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D4" w:rsidRPr="00C919E5" w:rsidRDefault="00B30DD4" w:rsidP="002B32EB">
      <w:pPr>
        <w:widowControl w:val="0"/>
        <w:jc w:val="center"/>
        <w:rPr>
          <w:rFonts w:ascii="Georgia" w:hAnsi="Georgia"/>
          <w:b/>
          <w:szCs w:val="24"/>
        </w:rPr>
      </w:pPr>
      <w:bookmarkStart w:id="0" w:name="_GoBack"/>
      <w:bookmarkEnd w:id="0"/>
      <w:r w:rsidRPr="00C919E5">
        <w:rPr>
          <w:rFonts w:ascii="Georgia" w:hAnsi="Georgia"/>
          <w:b/>
          <w:szCs w:val="24"/>
        </w:rPr>
        <w:t>Texas Commission on Environmental Quality</w:t>
      </w:r>
    </w:p>
    <w:p w:rsidR="00B30DD4" w:rsidRPr="00C919E5" w:rsidRDefault="007539BA" w:rsidP="002B32EB">
      <w:pPr>
        <w:widowControl w:val="0"/>
        <w:jc w:val="center"/>
        <w:rPr>
          <w:rFonts w:ascii="Georgia" w:hAnsi="Georgia"/>
          <w:b/>
          <w:szCs w:val="24"/>
        </w:rPr>
      </w:pPr>
      <w:r w:rsidRPr="00C919E5">
        <w:rPr>
          <w:rFonts w:ascii="Georgia" w:hAnsi="Georgia"/>
          <w:b/>
          <w:szCs w:val="24"/>
        </w:rPr>
        <w:t>National Emissions Standards for Hazardous Air Pollutants Reference Table</w:t>
      </w:r>
    </w:p>
    <w:p w:rsidR="007539BA" w:rsidRPr="00C919E5" w:rsidRDefault="00B30DD4" w:rsidP="001E42A9">
      <w:pPr>
        <w:widowControl w:val="0"/>
        <w:spacing w:after="480"/>
        <w:jc w:val="center"/>
        <w:rPr>
          <w:rFonts w:ascii="Georgia" w:hAnsi="Georgia"/>
          <w:b/>
          <w:szCs w:val="24"/>
        </w:rPr>
      </w:pPr>
      <w:r w:rsidRPr="00C919E5">
        <w:rPr>
          <w:rFonts w:ascii="Georgia" w:hAnsi="Georgia"/>
          <w:b/>
          <w:szCs w:val="24"/>
        </w:rPr>
        <w:t>(NESHAP-RT)</w:t>
      </w:r>
      <w:r w:rsidR="007539BA" w:rsidRPr="00C919E5">
        <w:rPr>
          <w:rFonts w:ascii="Georgia" w:hAnsi="Georgia"/>
          <w:b/>
          <w:szCs w:val="24"/>
        </w:rPr>
        <w:t xml:space="preserve"> for Air Quality Permits</w:t>
      </w:r>
    </w:p>
    <w:p w:rsidR="007539BA" w:rsidRPr="00C919E5" w:rsidRDefault="007539BA" w:rsidP="007C633D">
      <w:pPr>
        <w:widowControl w:val="0"/>
        <w:spacing w:after="120"/>
        <w:rPr>
          <w:rFonts w:ascii="Georgia" w:hAnsi="Georgia"/>
          <w:sz w:val="22"/>
          <w:szCs w:val="22"/>
        </w:rPr>
      </w:pPr>
      <w:r w:rsidRPr="00C919E5">
        <w:rPr>
          <w:rFonts w:ascii="Georgia" w:hAnsi="Georgia"/>
          <w:sz w:val="22"/>
          <w:szCs w:val="22"/>
        </w:rPr>
        <w:t>This document is used to help facilitate the submission of air quality permit application for</w:t>
      </w:r>
      <w:r w:rsidR="001E42A9" w:rsidRPr="00C919E5">
        <w:rPr>
          <w:rFonts w:ascii="Georgia" w:hAnsi="Georgia"/>
          <w:sz w:val="22"/>
          <w:szCs w:val="22"/>
        </w:rPr>
        <w:t>ms for sources subject to Title </w:t>
      </w:r>
      <w:r w:rsidRPr="00C919E5">
        <w:rPr>
          <w:rFonts w:ascii="Georgia" w:hAnsi="Georgia"/>
          <w:sz w:val="22"/>
          <w:szCs w:val="22"/>
        </w:rPr>
        <w:t>40 Code of Federal Regulations Part 61 (40 CFR Part 61).</w:t>
      </w:r>
    </w:p>
    <w:p w:rsidR="007539BA" w:rsidRPr="00C919E5" w:rsidRDefault="007539BA" w:rsidP="003D489E">
      <w:pPr>
        <w:widowControl w:val="0"/>
        <w:spacing w:after="360"/>
        <w:jc w:val="both"/>
        <w:rPr>
          <w:rFonts w:ascii="Georgia" w:hAnsi="Georgia"/>
          <w:sz w:val="22"/>
          <w:szCs w:val="22"/>
        </w:rPr>
      </w:pPr>
      <w:r w:rsidRPr="00C919E5">
        <w:rPr>
          <w:rFonts w:ascii="Georgia" w:hAnsi="Georgia"/>
          <w:sz w:val="22"/>
          <w:szCs w:val="22"/>
        </w:rPr>
        <w:t>Applicants should refer to the current version of 40 C</w:t>
      </w:r>
      <w:r w:rsidR="005208CB" w:rsidRPr="00C919E5">
        <w:rPr>
          <w:rFonts w:ascii="Georgia" w:hAnsi="Georgia"/>
          <w:sz w:val="22"/>
          <w:szCs w:val="22"/>
        </w:rPr>
        <w:t>FR</w:t>
      </w:r>
      <w:r w:rsidRPr="00C919E5">
        <w:rPr>
          <w:rFonts w:ascii="Georgia" w:hAnsi="Georgia"/>
          <w:sz w:val="22"/>
          <w:szCs w:val="22"/>
        </w:rPr>
        <w:t xml:space="preserve"> Part 61 for specific details concerning a</w:t>
      </w:r>
      <w:r w:rsidR="007C633D" w:rsidRPr="00C919E5">
        <w:rPr>
          <w:rFonts w:ascii="Georgia" w:hAnsi="Georgia"/>
          <w:sz w:val="22"/>
          <w:szCs w:val="22"/>
        </w:rPr>
        <w:t xml:space="preserve">pplicability of the standards. </w:t>
      </w:r>
      <w:r w:rsidRPr="00C919E5">
        <w:rPr>
          <w:rFonts w:ascii="Georgia" w:hAnsi="Georgia"/>
          <w:sz w:val="22"/>
          <w:szCs w:val="22"/>
        </w:rPr>
        <w:t xml:space="preserve">Copies of these standards can be found on the Government Printing Office Web site at </w:t>
      </w:r>
      <w:hyperlink r:id="rId8" w:history="1">
        <w:r w:rsidRPr="00C919E5">
          <w:rPr>
            <w:rStyle w:val="Hyperlink"/>
            <w:rFonts w:ascii="Georgia" w:hAnsi="Georgia"/>
            <w:sz w:val="22"/>
            <w:szCs w:val="22"/>
            <w:u w:val="none"/>
          </w:rPr>
          <w:t>www.gpoaccess.gov/cfr/</w:t>
        </w:r>
      </w:hyperlink>
      <w:r w:rsidRPr="00C919E5">
        <w:rPr>
          <w:rFonts w:ascii="Georgia" w:hAnsi="Georgia"/>
          <w:sz w:val="22"/>
          <w:szCs w:val="22"/>
        </w:rPr>
        <w:t>.</w:t>
      </w:r>
      <w:r w:rsidR="007C633D" w:rsidRPr="00C919E5">
        <w:rPr>
          <w:rFonts w:ascii="Georgia" w:hAnsi="Georgia"/>
          <w:sz w:val="22"/>
          <w:szCs w:val="22"/>
        </w:rPr>
        <w:t xml:space="preserve"> </w:t>
      </w:r>
      <w:r w:rsidR="00787A9B" w:rsidRPr="00C919E5">
        <w:rPr>
          <w:rFonts w:ascii="Georgia" w:hAnsi="Georgia"/>
          <w:sz w:val="22"/>
          <w:szCs w:val="22"/>
        </w:rPr>
        <w:t xml:space="preserve">Additional information such as the background information and EPA staff contacts may also be found on EPA’s Air Toxic Website at </w:t>
      </w:r>
      <w:hyperlink r:id="rId9" w:history="1">
        <w:r w:rsidR="00750EF9" w:rsidRPr="00C919E5">
          <w:rPr>
            <w:rStyle w:val="Hyperlink"/>
            <w:rFonts w:ascii="Georgia" w:hAnsi="Georgia"/>
            <w:sz w:val="22"/>
            <w:szCs w:val="22"/>
            <w:u w:val="none"/>
          </w:rPr>
          <w:t>www.epa.gov/ttn/atw/</w:t>
        </w:r>
      </w:hyperlink>
      <w:r w:rsidR="00787A9B" w:rsidRPr="00C919E5">
        <w:rPr>
          <w:rFonts w:ascii="Georgia" w:hAnsi="Georgia"/>
          <w:sz w:val="22"/>
          <w:szCs w:val="22"/>
        </w:rPr>
        <w:t>.</w:t>
      </w:r>
    </w:p>
    <w:tbl>
      <w:tblPr>
        <w:tblW w:w="1080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125"/>
        <w:gridCol w:w="4195"/>
        <w:gridCol w:w="1125"/>
        <w:gridCol w:w="4355"/>
      </w:tblGrid>
      <w:tr w:rsidR="007539BA" w:rsidRPr="00C919E5" w:rsidTr="006E2C3F">
        <w:trPr>
          <w:cantSplit/>
          <w:jc w:val="center"/>
        </w:trPr>
        <w:tc>
          <w:tcPr>
            <w:tcW w:w="1125" w:type="dxa"/>
            <w:tcBorders>
              <w:top w:val="double" w:sz="6" w:space="0" w:color="000000"/>
              <w:bottom w:val="single" w:sz="12" w:space="0" w:color="000000"/>
            </w:tcBorders>
            <w:shd w:val="pct10" w:color="000000" w:fill="auto"/>
          </w:tcPr>
          <w:p w:rsidR="007539BA" w:rsidRPr="00C919E5" w:rsidRDefault="007539BA" w:rsidP="002B32EB">
            <w:pPr>
              <w:widowControl w:val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C919E5">
              <w:rPr>
                <w:rFonts w:ascii="Georgia" w:hAnsi="Georgia"/>
                <w:b/>
                <w:sz w:val="22"/>
                <w:szCs w:val="22"/>
              </w:rPr>
              <w:t>40 CFR Part 61 Subpart:</w:t>
            </w:r>
          </w:p>
        </w:tc>
        <w:tc>
          <w:tcPr>
            <w:tcW w:w="4195" w:type="dxa"/>
            <w:tcBorders>
              <w:top w:val="double" w:sz="6" w:space="0" w:color="000000"/>
              <w:bottom w:val="single" w:sz="12" w:space="0" w:color="000000"/>
            </w:tcBorders>
            <w:shd w:val="pct10" w:color="000000" w:fill="auto"/>
            <w:vAlign w:val="center"/>
          </w:tcPr>
          <w:p w:rsidR="007539BA" w:rsidRPr="00C919E5" w:rsidRDefault="007539BA" w:rsidP="005208CB">
            <w:pPr>
              <w:widowControl w:val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C919E5">
              <w:rPr>
                <w:rFonts w:ascii="Georgia" w:hAnsi="Georgia"/>
                <w:b/>
                <w:sz w:val="22"/>
                <w:szCs w:val="22"/>
              </w:rPr>
              <w:t>Title</w:t>
            </w:r>
            <w:r w:rsidR="005208CB" w:rsidRPr="00C919E5">
              <w:rPr>
                <w:rFonts w:ascii="Georgia" w:hAnsi="Georgia"/>
                <w:b/>
                <w:sz w:val="22"/>
                <w:szCs w:val="22"/>
              </w:rPr>
              <w:t xml:space="preserve"> and Reference</w:t>
            </w:r>
          </w:p>
        </w:tc>
        <w:tc>
          <w:tcPr>
            <w:tcW w:w="1125" w:type="dxa"/>
            <w:tcBorders>
              <w:top w:val="double" w:sz="6" w:space="0" w:color="000000"/>
              <w:bottom w:val="single" w:sz="12" w:space="0" w:color="000000"/>
            </w:tcBorders>
            <w:shd w:val="pct10" w:color="000000" w:fill="auto"/>
          </w:tcPr>
          <w:p w:rsidR="007539BA" w:rsidRPr="00C919E5" w:rsidRDefault="007539BA" w:rsidP="002B32EB">
            <w:pPr>
              <w:widowControl w:val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C919E5">
              <w:rPr>
                <w:rFonts w:ascii="Georgia" w:hAnsi="Georgia"/>
                <w:b/>
                <w:sz w:val="22"/>
                <w:szCs w:val="22"/>
              </w:rPr>
              <w:t>40 CFR Part 61 Subpart:</w:t>
            </w:r>
          </w:p>
        </w:tc>
        <w:tc>
          <w:tcPr>
            <w:tcW w:w="4355" w:type="dxa"/>
            <w:tcBorders>
              <w:top w:val="double" w:sz="6" w:space="0" w:color="000000"/>
              <w:bottom w:val="single" w:sz="12" w:space="0" w:color="000000"/>
            </w:tcBorders>
            <w:shd w:val="pct10" w:color="000000" w:fill="auto"/>
            <w:vAlign w:val="center"/>
          </w:tcPr>
          <w:p w:rsidR="007539BA" w:rsidRPr="00C919E5" w:rsidRDefault="007539BA" w:rsidP="005208CB">
            <w:pPr>
              <w:widowControl w:val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C919E5">
              <w:rPr>
                <w:rFonts w:ascii="Georgia" w:hAnsi="Georgia"/>
                <w:b/>
                <w:sz w:val="22"/>
                <w:szCs w:val="22"/>
              </w:rPr>
              <w:t>Title</w:t>
            </w:r>
            <w:r w:rsidR="005208CB" w:rsidRPr="00C919E5">
              <w:rPr>
                <w:rFonts w:ascii="Georgia" w:hAnsi="Georgia"/>
                <w:b/>
                <w:sz w:val="22"/>
                <w:szCs w:val="22"/>
              </w:rPr>
              <w:t xml:space="preserve"> and Reference</w:t>
            </w:r>
          </w:p>
        </w:tc>
      </w:tr>
      <w:tr w:rsidR="00C15D17" w:rsidRPr="00C919E5" w:rsidTr="006E2C3F">
        <w:trPr>
          <w:cantSplit/>
          <w:jc w:val="center"/>
        </w:trPr>
        <w:tc>
          <w:tcPr>
            <w:tcW w:w="1125" w:type="dxa"/>
            <w:tcBorders>
              <w:top w:val="single" w:sz="12" w:space="0" w:color="000000"/>
            </w:tcBorders>
          </w:tcPr>
          <w:p w:rsidR="00C15D17" w:rsidRPr="00C919E5" w:rsidRDefault="00C15D17" w:rsidP="002B32EB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A</w:t>
            </w:r>
          </w:p>
        </w:tc>
        <w:tc>
          <w:tcPr>
            <w:tcW w:w="4195" w:type="dxa"/>
            <w:tcBorders>
              <w:top w:val="single" w:sz="12" w:space="0" w:color="000000"/>
            </w:tcBorders>
          </w:tcPr>
          <w:p w:rsidR="00C15D17" w:rsidRPr="00C919E5" w:rsidRDefault="00C15D17" w:rsidP="002B32EB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General Provisions</w:t>
            </w:r>
          </w:p>
          <w:p w:rsidR="00C15D17" w:rsidRPr="00C919E5" w:rsidRDefault="00C15D17" w:rsidP="002B32EB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§61.01-§61.19</w:t>
            </w:r>
          </w:p>
        </w:tc>
        <w:tc>
          <w:tcPr>
            <w:tcW w:w="1125" w:type="dxa"/>
            <w:tcBorders>
              <w:top w:val="single" w:sz="12" w:space="0" w:color="000000"/>
            </w:tcBorders>
          </w:tcPr>
          <w:p w:rsidR="00C15D17" w:rsidRPr="00C919E5" w:rsidRDefault="00C15D17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K</w:t>
            </w:r>
          </w:p>
        </w:tc>
        <w:tc>
          <w:tcPr>
            <w:tcW w:w="4355" w:type="dxa"/>
            <w:tcBorders>
              <w:top w:val="single" w:sz="12" w:space="0" w:color="000000"/>
            </w:tcBorders>
          </w:tcPr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Standards for Radionuclide Emissions From Elemental Phosphorous Plants</w:t>
            </w:r>
          </w:p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§61.120-§61.127</w:t>
            </w:r>
          </w:p>
        </w:tc>
      </w:tr>
      <w:tr w:rsidR="00C15D17" w:rsidRPr="00C919E5" w:rsidTr="006E2C3F">
        <w:trPr>
          <w:cantSplit/>
          <w:jc w:val="center"/>
        </w:trPr>
        <w:tc>
          <w:tcPr>
            <w:tcW w:w="1125" w:type="dxa"/>
          </w:tcPr>
          <w:p w:rsidR="00C15D17" w:rsidRPr="00C919E5" w:rsidRDefault="00C15D17" w:rsidP="002B32EB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B</w:t>
            </w:r>
          </w:p>
        </w:tc>
        <w:tc>
          <w:tcPr>
            <w:tcW w:w="4195" w:type="dxa"/>
          </w:tcPr>
          <w:p w:rsidR="00C15D17" w:rsidRPr="00C919E5" w:rsidRDefault="00C15D17" w:rsidP="002B32EB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Standards for Radon Emissions From Underground Uranium Mines</w:t>
            </w:r>
          </w:p>
          <w:p w:rsidR="00C15D17" w:rsidRPr="00C919E5" w:rsidRDefault="00C15D17" w:rsidP="002B32EB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§61.20-§61.26</w:t>
            </w:r>
          </w:p>
        </w:tc>
        <w:tc>
          <w:tcPr>
            <w:tcW w:w="1125" w:type="dxa"/>
          </w:tcPr>
          <w:p w:rsidR="00C15D17" w:rsidRPr="00C919E5" w:rsidRDefault="00C15D17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L</w:t>
            </w:r>
          </w:p>
        </w:tc>
        <w:tc>
          <w:tcPr>
            <w:tcW w:w="4355" w:type="dxa"/>
          </w:tcPr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 for Benzene Emissions From Coke By-Product Recovery Plants</w:t>
            </w:r>
          </w:p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§61.130-§61.139</w:t>
            </w:r>
          </w:p>
        </w:tc>
      </w:tr>
      <w:tr w:rsidR="00C15D17" w:rsidRPr="00C919E5" w:rsidTr="006E2C3F">
        <w:trPr>
          <w:cantSplit/>
          <w:jc w:val="center"/>
        </w:trPr>
        <w:tc>
          <w:tcPr>
            <w:tcW w:w="1125" w:type="dxa"/>
          </w:tcPr>
          <w:p w:rsidR="00C15D17" w:rsidRPr="00C919E5" w:rsidRDefault="00C15D17" w:rsidP="002B32EB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C</w:t>
            </w:r>
          </w:p>
        </w:tc>
        <w:tc>
          <w:tcPr>
            <w:tcW w:w="4195" w:type="dxa"/>
          </w:tcPr>
          <w:p w:rsidR="00C15D17" w:rsidRPr="00C919E5" w:rsidRDefault="00C15D17" w:rsidP="002B32EB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 for Beryllium</w:t>
            </w:r>
          </w:p>
          <w:p w:rsidR="00C15D17" w:rsidRPr="00C919E5" w:rsidRDefault="00C15D17" w:rsidP="002B32EB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§61.30-§61.34</w:t>
            </w:r>
          </w:p>
        </w:tc>
        <w:tc>
          <w:tcPr>
            <w:tcW w:w="1125" w:type="dxa"/>
          </w:tcPr>
          <w:p w:rsidR="00C15D17" w:rsidRPr="00C919E5" w:rsidRDefault="00C15D17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M</w:t>
            </w:r>
          </w:p>
        </w:tc>
        <w:tc>
          <w:tcPr>
            <w:tcW w:w="4355" w:type="dxa"/>
          </w:tcPr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 for Asbestos</w:t>
            </w:r>
          </w:p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§61.140-§61.157</w:t>
            </w:r>
          </w:p>
        </w:tc>
      </w:tr>
      <w:tr w:rsidR="00C15D17" w:rsidRPr="00C919E5" w:rsidTr="006E2C3F">
        <w:trPr>
          <w:cantSplit/>
          <w:jc w:val="center"/>
        </w:trPr>
        <w:tc>
          <w:tcPr>
            <w:tcW w:w="1125" w:type="dxa"/>
          </w:tcPr>
          <w:p w:rsidR="00C15D17" w:rsidRPr="00C919E5" w:rsidRDefault="00C15D17" w:rsidP="002B32EB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D</w:t>
            </w:r>
          </w:p>
        </w:tc>
        <w:tc>
          <w:tcPr>
            <w:tcW w:w="4195" w:type="dxa"/>
          </w:tcPr>
          <w:p w:rsidR="00C15D17" w:rsidRPr="00C919E5" w:rsidRDefault="00C15D17" w:rsidP="002B32EB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 for Beryllium Rocket Motor Firing</w:t>
            </w:r>
          </w:p>
          <w:p w:rsidR="00C15D17" w:rsidRPr="00C919E5" w:rsidRDefault="00C15D17" w:rsidP="002B32EB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§61.40-§61.44</w:t>
            </w:r>
          </w:p>
        </w:tc>
        <w:tc>
          <w:tcPr>
            <w:tcW w:w="1125" w:type="dxa"/>
          </w:tcPr>
          <w:p w:rsidR="00C15D17" w:rsidRPr="00C919E5" w:rsidRDefault="00C15D17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</w:t>
            </w:r>
          </w:p>
        </w:tc>
        <w:tc>
          <w:tcPr>
            <w:tcW w:w="4355" w:type="dxa"/>
          </w:tcPr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 for Inorganic Arsenic Emissions From Glass Manufacturing Plants</w:t>
            </w:r>
          </w:p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§61.160-§61.165</w:t>
            </w:r>
          </w:p>
        </w:tc>
      </w:tr>
      <w:tr w:rsidR="00C15D17" w:rsidRPr="00C919E5" w:rsidTr="006E2C3F">
        <w:trPr>
          <w:cantSplit/>
          <w:jc w:val="center"/>
        </w:trPr>
        <w:tc>
          <w:tcPr>
            <w:tcW w:w="1125" w:type="dxa"/>
          </w:tcPr>
          <w:p w:rsidR="00C15D17" w:rsidRPr="00C919E5" w:rsidRDefault="00C15D17" w:rsidP="002B32EB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E</w:t>
            </w:r>
          </w:p>
        </w:tc>
        <w:tc>
          <w:tcPr>
            <w:tcW w:w="4195" w:type="dxa"/>
          </w:tcPr>
          <w:p w:rsidR="00C15D17" w:rsidRPr="00C919E5" w:rsidRDefault="00C15D17" w:rsidP="002B32EB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 for Mercury</w:t>
            </w:r>
          </w:p>
          <w:p w:rsidR="00C15D17" w:rsidRPr="00C919E5" w:rsidRDefault="00C15D17" w:rsidP="002B32EB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§61.50-§61.56</w:t>
            </w:r>
          </w:p>
        </w:tc>
        <w:tc>
          <w:tcPr>
            <w:tcW w:w="1125" w:type="dxa"/>
          </w:tcPr>
          <w:p w:rsidR="00C15D17" w:rsidRPr="00C919E5" w:rsidRDefault="00C15D17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O</w:t>
            </w:r>
          </w:p>
        </w:tc>
        <w:tc>
          <w:tcPr>
            <w:tcW w:w="4355" w:type="dxa"/>
          </w:tcPr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</w:t>
            </w:r>
            <w:r w:rsidR="007C633D" w:rsidRPr="00C919E5">
              <w:rPr>
                <w:rFonts w:ascii="Georgia" w:hAnsi="Georgia"/>
                <w:sz w:val="22"/>
                <w:szCs w:val="22"/>
              </w:rPr>
              <w:t xml:space="preserve">mission Standard for Inorganic </w:t>
            </w:r>
            <w:r w:rsidRPr="00C919E5">
              <w:rPr>
                <w:rFonts w:ascii="Georgia" w:hAnsi="Georgia"/>
                <w:sz w:val="22"/>
                <w:szCs w:val="22"/>
              </w:rPr>
              <w:t>Arsenic Emissions From Primary Copper Smelters</w:t>
            </w:r>
          </w:p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§61.170-§61.177</w:t>
            </w:r>
          </w:p>
        </w:tc>
      </w:tr>
      <w:tr w:rsidR="00C15D17" w:rsidRPr="00C919E5" w:rsidTr="006E2C3F">
        <w:trPr>
          <w:cantSplit/>
          <w:jc w:val="center"/>
        </w:trPr>
        <w:tc>
          <w:tcPr>
            <w:tcW w:w="1125" w:type="dxa"/>
          </w:tcPr>
          <w:p w:rsidR="00C15D17" w:rsidRPr="00C919E5" w:rsidRDefault="00C15D17" w:rsidP="002B32EB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F</w:t>
            </w:r>
          </w:p>
        </w:tc>
        <w:tc>
          <w:tcPr>
            <w:tcW w:w="4195" w:type="dxa"/>
          </w:tcPr>
          <w:p w:rsidR="00C15D17" w:rsidRPr="00C919E5" w:rsidRDefault="00C15D17" w:rsidP="002B32EB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 for Vinyl Chloride</w:t>
            </w:r>
          </w:p>
          <w:p w:rsidR="00C15D17" w:rsidRPr="00C919E5" w:rsidRDefault="00C15D17" w:rsidP="002B32EB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§61.60-§61.71</w:t>
            </w:r>
          </w:p>
        </w:tc>
        <w:tc>
          <w:tcPr>
            <w:tcW w:w="1125" w:type="dxa"/>
          </w:tcPr>
          <w:p w:rsidR="00C15D17" w:rsidRPr="00C919E5" w:rsidRDefault="00C15D17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P</w:t>
            </w:r>
          </w:p>
        </w:tc>
        <w:tc>
          <w:tcPr>
            <w:tcW w:w="4355" w:type="dxa"/>
          </w:tcPr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 for Inorganic Arsenic Emissions From Arsenic Trioxide and Metallic Arsenic Production Facilities</w:t>
            </w:r>
          </w:p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§61.180-§61.186</w:t>
            </w:r>
          </w:p>
        </w:tc>
      </w:tr>
      <w:tr w:rsidR="00C15D17" w:rsidRPr="00C919E5" w:rsidTr="006E2C3F">
        <w:trPr>
          <w:cantSplit/>
          <w:jc w:val="center"/>
        </w:trPr>
        <w:tc>
          <w:tcPr>
            <w:tcW w:w="1125" w:type="dxa"/>
          </w:tcPr>
          <w:p w:rsidR="00C15D17" w:rsidRPr="00C919E5" w:rsidRDefault="00C15D17" w:rsidP="002B32EB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G</w:t>
            </w:r>
          </w:p>
        </w:tc>
        <w:tc>
          <w:tcPr>
            <w:tcW w:w="4195" w:type="dxa"/>
          </w:tcPr>
          <w:p w:rsidR="00C15D17" w:rsidRPr="00C919E5" w:rsidRDefault="00C15D17" w:rsidP="002B32EB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Reserved</w:t>
            </w:r>
          </w:p>
        </w:tc>
        <w:tc>
          <w:tcPr>
            <w:tcW w:w="1125" w:type="dxa"/>
          </w:tcPr>
          <w:p w:rsidR="00C15D17" w:rsidRPr="00C919E5" w:rsidRDefault="00C15D17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Q</w:t>
            </w:r>
          </w:p>
        </w:tc>
        <w:tc>
          <w:tcPr>
            <w:tcW w:w="4355" w:type="dxa"/>
          </w:tcPr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Standards for Radon Emissions From Department of Energy Facilities</w:t>
            </w:r>
          </w:p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§61.190-§61.193</w:t>
            </w:r>
          </w:p>
        </w:tc>
      </w:tr>
      <w:tr w:rsidR="00C15D17" w:rsidRPr="00C919E5" w:rsidTr="006E2C3F">
        <w:trPr>
          <w:cantSplit/>
          <w:jc w:val="center"/>
        </w:trPr>
        <w:tc>
          <w:tcPr>
            <w:tcW w:w="1125" w:type="dxa"/>
          </w:tcPr>
          <w:p w:rsidR="00C15D17" w:rsidRPr="00C919E5" w:rsidRDefault="00C15D17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H</w:t>
            </w:r>
          </w:p>
        </w:tc>
        <w:tc>
          <w:tcPr>
            <w:tcW w:w="4195" w:type="dxa"/>
          </w:tcPr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Standards for Emissions of Radionuclides Other Than Radon From Department of Energy Facilities</w:t>
            </w:r>
          </w:p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§61.90-§61.97</w:t>
            </w:r>
          </w:p>
        </w:tc>
        <w:tc>
          <w:tcPr>
            <w:tcW w:w="1125" w:type="dxa"/>
          </w:tcPr>
          <w:p w:rsidR="00C15D17" w:rsidRPr="00C919E5" w:rsidRDefault="00C15D17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R</w:t>
            </w:r>
          </w:p>
        </w:tc>
        <w:tc>
          <w:tcPr>
            <w:tcW w:w="4355" w:type="dxa"/>
          </w:tcPr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Standards for Radon Emissions From Phosphogypsum Stacks</w:t>
            </w:r>
          </w:p>
          <w:p w:rsidR="00C15D17" w:rsidRPr="00C919E5" w:rsidRDefault="00C15D17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§61.200-§61.210</w:t>
            </w:r>
          </w:p>
        </w:tc>
      </w:tr>
    </w:tbl>
    <w:p w:rsidR="00B30DD4" w:rsidRPr="00C919E5" w:rsidRDefault="001916F8" w:rsidP="00B30DD4">
      <w:pPr>
        <w:widowControl w:val="0"/>
        <w:jc w:val="center"/>
        <w:rPr>
          <w:rFonts w:ascii="Georgia" w:hAnsi="Georgia"/>
          <w:b/>
          <w:szCs w:val="24"/>
        </w:rPr>
      </w:pPr>
      <w:r w:rsidRPr="00C919E5">
        <w:rPr>
          <w:rFonts w:ascii="Georgia" w:hAnsi="Georgia"/>
          <w:b/>
          <w:sz w:val="22"/>
          <w:szCs w:val="22"/>
        </w:rPr>
        <w:br w:type="page"/>
      </w:r>
      <w:r w:rsidR="00B30DD4" w:rsidRPr="00C919E5">
        <w:rPr>
          <w:rFonts w:ascii="Georgia" w:hAnsi="Georgia"/>
          <w:b/>
          <w:szCs w:val="24"/>
        </w:rPr>
        <w:lastRenderedPageBreak/>
        <w:t>Texas Commission on Environmental Quality</w:t>
      </w:r>
    </w:p>
    <w:p w:rsidR="00B30DD4" w:rsidRPr="00C919E5" w:rsidRDefault="00B30DD4" w:rsidP="00B30DD4">
      <w:pPr>
        <w:widowControl w:val="0"/>
        <w:jc w:val="center"/>
        <w:rPr>
          <w:rFonts w:ascii="Georgia" w:hAnsi="Georgia"/>
          <w:b/>
          <w:szCs w:val="24"/>
        </w:rPr>
      </w:pPr>
      <w:r w:rsidRPr="00C919E5">
        <w:rPr>
          <w:rFonts w:ascii="Georgia" w:hAnsi="Georgia"/>
          <w:b/>
          <w:szCs w:val="24"/>
        </w:rPr>
        <w:t>National Emissions Standards for Hazardous Air Pollutants Reference Table</w:t>
      </w:r>
    </w:p>
    <w:p w:rsidR="00C15D17" w:rsidRPr="00C919E5" w:rsidRDefault="00B30DD4" w:rsidP="001E42A9">
      <w:pPr>
        <w:spacing w:after="480"/>
        <w:jc w:val="center"/>
        <w:rPr>
          <w:rFonts w:ascii="Georgia" w:hAnsi="Georgia"/>
          <w:b/>
          <w:szCs w:val="24"/>
        </w:rPr>
      </w:pPr>
      <w:r w:rsidRPr="00C919E5">
        <w:rPr>
          <w:rFonts w:ascii="Georgia" w:hAnsi="Georgia"/>
          <w:b/>
          <w:szCs w:val="24"/>
        </w:rPr>
        <w:t>(NESHAP-RT) for Air Quality Permits</w:t>
      </w:r>
    </w:p>
    <w:tbl>
      <w:tblPr>
        <w:tblW w:w="1080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137"/>
        <w:gridCol w:w="4184"/>
        <w:gridCol w:w="1136"/>
        <w:gridCol w:w="4343"/>
      </w:tblGrid>
      <w:tr w:rsidR="00C15D17" w:rsidRPr="00C919E5" w:rsidTr="006E2C3F">
        <w:trPr>
          <w:cantSplit/>
          <w:jc w:val="center"/>
        </w:trPr>
        <w:tc>
          <w:tcPr>
            <w:tcW w:w="1152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:rsidR="00C15D17" w:rsidRPr="00C919E5" w:rsidRDefault="00C15D17" w:rsidP="004166BB">
            <w:pPr>
              <w:widowControl w:val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C919E5">
              <w:rPr>
                <w:rFonts w:ascii="Georgia" w:hAnsi="Georgia"/>
                <w:b/>
                <w:sz w:val="22"/>
                <w:szCs w:val="22"/>
              </w:rPr>
              <w:t>40 CFR Part 61 Subpart:</w:t>
            </w:r>
          </w:p>
        </w:tc>
        <w:tc>
          <w:tcPr>
            <w:tcW w:w="4247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15D17" w:rsidRPr="00C919E5" w:rsidRDefault="00C15D17" w:rsidP="004166BB">
            <w:pPr>
              <w:widowControl w:val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C919E5">
              <w:rPr>
                <w:rFonts w:ascii="Georgia" w:hAnsi="Georgia"/>
                <w:b/>
                <w:sz w:val="22"/>
                <w:szCs w:val="22"/>
              </w:rPr>
              <w:t>Title and Reference</w:t>
            </w:r>
          </w:p>
        </w:tc>
        <w:tc>
          <w:tcPr>
            <w:tcW w:w="1152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:rsidR="00C15D17" w:rsidRPr="00C919E5" w:rsidRDefault="00C15D17" w:rsidP="004166BB">
            <w:pPr>
              <w:widowControl w:val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C919E5">
              <w:rPr>
                <w:rFonts w:ascii="Georgia" w:hAnsi="Georgia"/>
                <w:b/>
                <w:sz w:val="22"/>
                <w:szCs w:val="22"/>
              </w:rPr>
              <w:t>40 CFR Part 61 Subpart:</w:t>
            </w:r>
          </w:p>
        </w:tc>
        <w:tc>
          <w:tcPr>
            <w:tcW w:w="4409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E6E6E6"/>
            <w:vAlign w:val="center"/>
          </w:tcPr>
          <w:p w:rsidR="00C15D17" w:rsidRPr="00C919E5" w:rsidRDefault="00C15D17" w:rsidP="004166BB">
            <w:pPr>
              <w:widowControl w:val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C919E5">
              <w:rPr>
                <w:rFonts w:ascii="Georgia" w:hAnsi="Georgia"/>
                <w:b/>
                <w:sz w:val="22"/>
                <w:szCs w:val="22"/>
              </w:rPr>
              <w:t>Title and Reference</w:t>
            </w:r>
          </w:p>
        </w:tc>
      </w:tr>
      <w:tr w:rsidR="001916F8" w:rsidRPr="00C919E5" w:rsidTr="006E2C3F">
        <w:trPr>
          <w:cantSplit/>
          <w:jc w:val="center"/>
        </w:trPr>
        <w:tc>
          <w:tcPr>
            <w:tcW w:w="1152" w:type="dxa"/>
            <w:tcBorders>
              <w:top w:val="single" w:sz="12" w:space="0" w:color="000000"/>
            </w:tcBorders>
          </w:tcPr>
          <w:p w:rsidR="001916F8" w:rsidRPr="00C919E5" w:rsidRDefault="001916F8" w:rsidP="00BB36F4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I</w:t>
            </w:r>
          </w:p>
        </w:tc>
        <w:tc>
          <w:tcPr>
            <w:tcW w:w="4247" w:type="dxa"/>
            <w:tcBorders>
              <w:top w:val="single" w:sz="12" w:space="0" w:color="000000"/>
            </w:tcBorders>
          </w:tcPr>
          <w:p w:rsidR="001916F8" w:rsidRPr="00C919E5" w:rsidRDefault="001916F8" w:rsidP="00BB36F4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Standards for Radionuclide Emissions From Federal Facilities Other Than Nuclear Regulatory Commission Licensees and Not Covered by Subpart H</w:t>
            </w:r>
          </w:p>
          <w:p w:rsidR="001916F8" w:rsidRPr="00C919E5" w:rsidRDefault="001916F8" w:rsidP="00BB36F4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§61.100-§61.108</w:t>
            </w:r>
          </w:p>
        </w:tc>
        <w:tc>
          <w:tcPr>
            <w:tcW w:w="1152" w:type="dxa"/>
            <w:tcBorders>
              <w:top w:val="single" w:sz="12" w:space="0" w:color="000000"/>
            </w:tcBorders>
          </w:tcPr>
          <w:p w:rsidR="001916F8" w:rsidRPr="00C919E5" w:rsidRDefault="001916F8" w:rsidP="00BB36F4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S</w:t>
            </w:r>
          </w:p>
        </w:tc>
        <w:tc>
          <w:tcPr>
            <w:tcW w:w="4409" w:type="dxa"/>
            <w:tcBorders>
              <w:top w:val="single" w:sz="12" w:space="0" w:color="000000"/>
            </w:tcBorders>
          </w:tcPr>
          <w:p w:rsidR="001916F8" w:rsidRPr="00C919E5" w:rsidRDefault="001916F8" w:rsidP="00BB36F4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Reserved</w:t>
            </w:r>
          </w:p>
        </w:tc>
      </w:tr>
      <w:tr w:rsidR="007C633D" w:rsidRPr="00C919E5" w:rsidTr="006E2C3F">
        <w:trPr>
          <w:cantSplit/>
          <w:jc w:val="center"/>
        </w:trPr>
        <w:tc>
          <w:tcPr>
            <w:tcW w:w="1152" w:type="dxa"/>
            <w:tcBorders>
              <w:top w:val="single" w:sz="12" w:space="0" w:color="000000"/>
            </w:tcBorders>
          </w:tcPr>
          <w:p w:rsidR="007C633D" w:rsidRPr="00C919E5" w:rsidRDefault="007C633D" w:rsidP="00BB36F4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J</w:t>
            </w:r>
          </w:p>
        </w:tc>
        <w:tc>
          <w:tcPr>
            <w:tcW w:w="4247" w:type="dxa"/>
            <w:tcBorders>
              <w:top w:val="single" w:sz="12" w:space="0" w:color="000000"/>
            </w:tcBorders>
          </w:tcPr>
          <w:p w:rsidR="007C633D" w:rsidRPr="00C919E5" w:rsidRDefault="007C633D" w:rsidP="00BB36F4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 for Equipment Leaks (Fugitive Emission Sources) of Benzene</w:t>
            </w:r>
          </w:p>
          <w:p w:rsidR="007C633D" w:rsidRPr="00C919E5" w:rsidRDefault="007C633D" w:rsidP="00BB36F4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§61.110-§61.112</w:t>
            </w:r>
          </w:p>
        </w:tc>
        <w:tc>
          <w:tcPr>
            <w:tcW w:w="1152" w:type="dxa"/>
            <w:tcBorders>
              <w:top w:val="single" w:sz="12" w:space="0" w:color="000000"/>
            </w:tcBorders>
          </w:tcPr>
          <w:p w:rsidR="007C633D" w:rsidRPr="00C919E5" w:rsidRDefault="007C633D" w:rsidP="00BB36F4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T</w:t>
            </w:r>
          </w:p>
        </w:tc>
        <w:tc>
          <w:tcPr>
            <w:tcW w:w="4409" w:type="dxa"/>
            <w:tcBorders>
              <w:top w:val="single" w:sz="12" w:space="0" w:color="000000"/>
            </w:tcBorders>
          </w:tcPr>
          <w:p w:rsidR="007C633D" w:rsidRPr="00C919E5" w:rsidRDefault="007C633D" w:rsidP="00BB36F4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Standards for Radon Emissions From the Disposal of Uranium Mill Tailings</w:t>
            </w:r>
          </w:p>
          <w:p w:rsidR="007C633D" w:rsidRPr="00C919E5" w:rsidRDefault="007C633D" w:rsidP="00BB36F4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§61.220-§61.226</w:t>
            </w:r>
          </w:p>
        </w:tc>
      </w:tr>
      <w:tr w:rsidR="004166BB" w:rsidRPr="00C919E5" w:rsidTr="006E2C3F">
        <w:trPr>
          <w:cantSplit/>
          <w:jc w:val="center"/>
        </w:trPr>
        <w:tc>
          <w:tcPr>
            <w:tcW w:w="1152" w:type="dxa"/>
            <w:tcBorders>
              <w:top w:val="single" w:sz="12" w:space="0" w:color="000000"/>
            </w:tcBorders>
          </w:tcPr>
          <w:p w:rsidR="004166BB" w:rsidRPr="00C919E5" w:rsidRDefault="004166BB" w:rsidP="002B32EB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U</w:t>
            </w:r>
          </w:p>
        </w:tc>
        <w:tc>
          <w:tcPr>
            <w:tcW w:w="4247" w:type="dxa"/>
            <w:tcBorders>
              <w:top w:val="single" w:sz="12" w:space="0" w:color="000000"/>
            </w:tcBorders>
          </w:tcPr>
          <w:p w:rsidR="004166BB" w:rsidRPr="00C919E5" w:rsidRDefault="004166BB" w:rsidP="002B32EB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Reserved</w:t>
            </w:r>
          </w:p>
        </w:tc>
        <w:tc>
          <w:tcPr>
            <w:tcW w:w="1152" w:type="dxa"/>
            <w:tcBorders>
              <w:top w:val="single" w:sz="12" w:space="0" w:color="000000"/>
            </w:tcBorders>
          </w:tcPr>
          <w:p w:rsidR="004166BB" w:rsidRPr="00C919E5" w:rsidRDefault="004166BB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AA</w:t>
            </w:r>
          </w:p>
        </w:tc>
        <w:tc>
          <w:tcPr>
            <w:tcW w:w="4409" w:type="dxa"/>
            <w:tcBorders>
              <w:top w:val="single" w:sz="12" w:space="0" w:color="000000"/>
            </w:tcBorders>
          </w:tcPr>
          <w:p w:rsidR="004166BB" w:rsidRPr="00C919E5" w:rsidRDefault="004166BB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Reserved</w:t>
            </w:r>
          </w:p>
        </w:tc>
      </w:tr>
      <w:tr w:rsidR="004166BB" w:rsidRPr="00C919E5" w:rsidTr="006E2C3F">
        <w:trPr>
          <w:cantSplit/>
          <w:jc w:val="center"/>
        </w:trPr>
        <w:tc>
          <w:tcPr>
            <w:tcW w:w="1152" w:type="dxa"/>
          </w:tcPr>
          <w:p w:rsidR="004166BB" w:rsidRPr="00C919E5" w:rsidRDefault="004166BB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V</w:t>
            </w:r>
          </w:p>
        </w:tc>
        <w:tc>
          <w:tcPr>
            <w:tcW w:w="4247" w:type="dxa"/>
          </w:tcPr>
          <w:p w:rsidR="004166BB" w:rsidRPr="00C919E5" w:rsidRDefault="004166BB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 for Equipment Leaks (Fugitive Emission Sources)</w:t>
            </w:r>
          </w:p>
          <w:p w:rsidR="004166BB" w:rsidRPr="00C919E5" w:rsidRDefault="004166BB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§61.240-§61.247</w:t>
            </w:r>
          </w:p>
        </w:tc>
        <w:tc>
          <w:tcPr>
            <w:tcW w:w="1152" w:type="dxa"/>
          </w:tcPr>
          <w:p w:rsidR="004166BB" w:rsidRPr="00C919E5" w:rsidRDefault="004166BB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BB</w:t>
            </w:r>
          </w:p>
        </w:tc>
        <w:tc>
          <w:tcPr>
            <w:tcW w:w="4409" w:type="dxa"/>
          </w:tcPr>
          <w:p w:rsidR="004166BB" w:rsidRPr="00C919E5" w:rsidRDefault="004166BB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 for Benzene Emissions From Benzene Transfer Operations</w:t>
            </w:r>
          </w:p>
          <w:p w:rsidR="004166BB" w:rsidRPr="00C919E5" w:rsidRDefault="004166BB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§61.300-§61.306</w:t>
            </w:r>
          </w:p>
        </w:tc>
      </w:tr>
      <w:tr w:rsidR="004166BB" w:rsidRPr="00C919E5" w:rsidTr="006E2C3F">
        <w:trPr>
          <w:cantSplit/>
          <w:jc w:val="center"/>
        </w:trPr>
        <w:tc>
          <w:tcPr>
            <w:tcW w:w="1152" w:type="dxa"/>
          </w:tcPr>
          <w:p w:rsidR="004166BB" w:rsidRPr="00C919E5" w:rsidRDefault="004166BB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W</w:t>
            </w:r>
          </w:p>
        </w:tc>
        <w:tc>
          <w:tcPr>
            <w:tcW w:w="4247" w:type="dxa"/>
          </w:tcPr>
          <w:p w:rsidR="004166BB" w:rsidRPr="00C919E5" w:rsidRDefault="004166BB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Standards for Radon Emissions From Operating Mill Tailings</w:t>
            </w:r>
          </w:p>
          <w:p w:rsidR="004166BB" w:rsidRPr="00C919E5" w:rsidRDefault="004166BB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§61.250-§61.256</w:t>
            </w:r>
          </w:p>
        </w:tc>
        <w:tc>
          <w:tcPr>
            <w:tcW w:w="1152" w:type="dxa"/>
          </w:tcPr>
          <w:p w:rsidR="004166BB" w:rsidRPr="00C919E5" w:rsidRDefault="004166BB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CC</w:t>
            </w:r>
          </w:p>
        </w:tc>
        <w:tc>
          <w:tcPr>
            <w:tcW w:w="4409" w:type="dxa"/>
          </w:tcPr>
          <w:p w:rsidR="004166BB" w:rsidRPr="00C919E5" w:rsidRDefault="004166BB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Reserved</w:t>
            </w:r>
          </w:p>
        </w:tc>
      </w:tr>
      <w:tr w:rsidR="004166BB" w:rsidRPr="00C919E5" w:rsidTr="006E2C3F">
        <w:trPr>
          <w:cantSplit/>
          <w:jc w:val="center"/>
        </w:trPr>
        <w:tc>
          <w:tcPr>
            <w:tcW w:w="1152" w:type="dxa"/>
          </w:tcPr>
          <w:p w:rsidR="004166BB" w:rsidRPr="00C919E5" w:rsidRDefault="004166BB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4247" w:type="dxa"/>
          </w:tcPr>
          <w:p w:rsidR="004166BB" w:rsidRPr="00C919E5" w:rsidRDefault="004166BB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Reserved</w:t>
            </w:r>
          </w:p>
        </w:tc>
        <w:tc>
          <w:tcPr>
            <w:tcW w:w="1152" w:type="dxa"/>
          </w:tcPr>
          <w:p w:rsidR="004166BB" w:rsidRPr="00C919E5" w:rsidRDefault="004166BB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DD</w:t>
            </w:r>
          </w:p>
        </w:tc>
        <w:tc>
          <w:tcPr>
            <w:tcW w:w="4409" w:type="dxa"/>
          </w:tcPr>
          <w:p w:rsidR="004166BB" w:rsidRPr="00C919E5" w:rsidRDefault="004166BB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Reserved</w:t>
            </w:r>
          </w:p>
        </w:tc>
      </w:tr>
      <w:tr w:rsidR="004166BB" w:rsidRPr="00C919E5" w:rsidTr="006E2C3F">
        <w:trPr>
          <w:cantSplit/>
          <w:jc w:val="center"/>
        </w:trPr>
        <w:tc>
          <w:tcPr>
            <w:tcW w:w="1152" w:type="dxa"/>
          </w:tcPr>
          <w:p w:rsidR="004166BB" w:rsidRPr="00C919E5" w:rsidRDefault="004166BB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Y</w:t>
            </w:r>
          </w:p>
        </w:tc>
        <w:tc>
          <w:tcPr>
            <w:tcW w:w="4247" w:type="dxa"/>
          </w:tcPr>
          <w:p w:rsidR="004166BB" w:rsidRPr="00C919E5" w:rsidRDefault="004166BB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 for Benzene Emissions From Benzene Storage Vessels</w:t>
            </w:r>
          </w:p>
          <w:p w:rsidR="004166BB" w:rsidRPr="00C919E5" w:rsidRDefault="004166BB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§61.270-§61.277</w:t>
            </w:r>
          </w:p>
        </w:tc>
        <w:tc>
          <w:tcPr>
            <w:tcW w:w="1152" w:type="dxa"/>
          </w:tcPr>
          <w:p w:rsidR="004166BB" w:rsidRPr="00C919E5" w:rsidRDefault="004166BB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EE</w:t>
            </w:r>
          </w:p>
        </w:tc>
        <w:tc>
          <w:tcPr>
            <w:tcW w:w="4409" w:type="dxa"/>
          </w:tcPr>
          <w:p w:rsidR="004166BB" w:rsidRPr="00C919E5" w:rsidRDefault="004166BB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Reserved</w:t>
            </w:r>
          </w:p>
        </w:tc>
      </w:tr>
      <w:tr w:rsidR="004166BB" w:rsidRPr="00C919E5" w:rsidTr="006E2C3F">
        <w:trPr>
          <w:cantSplit/>
          <w:jc w:val="center"/>
        </w:trPr>
        <w:tc>
          <w:tcPr>
            <w:tcW w:w="1152" w:type="dxa"/>
            <w:tcBorders>
              <w:bottom w:val="double" w:sz="6" w:space="0" w:color="000000"/>
            </w:tcBorders>
          </w:tcPr>
          <w:p w:rsidR="004166BB" w:rsidRPr="00C919E5" w:rsidRDefault="004166BB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Z</w:t>
            </w:r>
          </w:p>
        </w:tc>
        <w:tc>
          <w:tcPr>
            <w:tcW w:w="4247" w:type="dxa"/>
            <w:tcBorders>
              <w:bottom w:val="double" w:sz="6" w:space="0" w:color="000000"/>
            </w:tcBorders>
          </w:tcPr>
          <w:p w:rsidR="004166BB" w:rsidRPr="00C919E5" w:rsidRDefault="004166BB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Reserved</w:t>
            </w:r>
          </w:p>
        </w:tc>
        <w:tc>
          <w:tcPr>
            <w:tcW w:w="1152" w:type="dxa"/>
            <w:tcBorders>
              <w:bottom w:val="double" w:sz="6" w:space="0" w:color="000000"/>
            </w:tcBorders>
          </w:tcPr>
          <w:p w:rsidR="004166BB" w:rsidRPr="00C919E5" w:rsidRDefault="004166BB" w:rsidP="006B1F39">
            <w:pPr>
              <w:widowControl w:val="0"/>
              <w:jc w:val="center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FF</w:t>
            </w:r>
          </w:p>
        </w:tc>
        <w:tc>
          <w:tcPr>
            <w:tcW w:w="4409" w:type="dxa"/>
            <w:tcBorders>
              <w:bottom w:val="double" w:sz="6" w:space="0" w:color="000000"/>
            </w:tcBorders>
          </w:tcPr>
          <w:p w:rsidR="004166BB" w:rsidRPr="00C919E5" w:rsidRDefault="004166BB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National Emission Standard for Benzene Waste Operations</w:t>
            </w:r>
          </w:p>
          <w:p w:rsidR="004166BB" w:rsidRPr="00C919E5" w:rsidRDefault="004166BB" w:rsidP="006B1F39">
            <w:pPr>
              <w:widowControl w:val="0"/>
              <w:rPr>
                <w:rFonts w:ascii="Georgia" w:hAnsi="Georgia"/>
                <w:sz w:val="22"/>
                <w:szCs w:val="22"/>
              </w:rPr>
            </w:pPr>
            <w:r w:rsidRPr="00C919E5">
              <w:rPr>
                <w:rFonts w:ascii="Georgia" w:hAnsi="Georgia"/>
                <w:sz w:val="22"/>
                <w:szCs w:val="22"/>
              </w:rPr>
              <w:t>§61.340-§61.359</w:t>
            </w:r>
          </w:p>
        </w:tc>
      </w:tr>
    </w:tbl>
    <w:p w:rsidR="00257393" w:rsidRPr="00C919E5" w:rsidRDefault="00257393" w:rsidP="00257393">
      <w:pPr>
        <w:rPr>
          <w:rFonts w:ascii="Georgia" w:hAnsi="Georgia"/>
          <w:sz w:val="22"/>
          <w:szCs w:val="22"/>
        </w:rPr>
      </w:pPr>
    </w:p>
    <w:sectPr w:rsidR="00257393" w:rsidRPr="00C919E5" w:rsidSect="00367D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06" w:rsidRDefault="00B14D06">
      <w:r>
        <w:separator/>
      </w:r>
    </w:p>
  </w:endnote>
  <w:endnote w:type="continuationSeparator" w:id="0">
    <w:p w:rsidR="00B14D06" w:rsidRDefault="00B1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F9" w:rsidRDefault="00750EF9">
    <w:pPr>
      <w:widowControl w:val="0"/>
      <w:tabs>
        <w:tab w:val="right" w:leader="dot" w:pos="-30957"/>
        <w:tab w:val="left" w:pos="2"/>
        <w:tab w:val="left" w:pos="0"/>
        <w:tab w:val="decimal" w:pos="-1"/>
        <w:tab w:val="left" w:pos="-13297"/>
        <w:tab w:val="left" w:leader="hyphen" w:pos="901"/>
        <w:tab w:val="left" w:pos="-31558"/>
        <w:tab w:val="left" w:pos="0"/>
        <w:tab w:val="left" w:pos="-25014"/>
        <w:tab w:val="left" w:pos="2"/>
        <w:tab w:val="left" w:pos="-1"/>
        <w:tab w:val="left" w:pos="-1"/>
        <w:tab w:val="left" w:pos="-1"/>
        <w:tab w:val="left" w:pos="-1"/>
        <w:tab w:val="left" w:pos="-31558"/>
        <w:tab w:val="left" w:pos="0"/>
        <w:tab w:val="left" w:pos="-25014"/>
        <w:tab w:val="left" w:pos="2"/>
        <w:tab w:val="left" w:pos="0"/>
        <w:tab w:val="left" w:pos="-1"/>
        <w:tab w:val="left" w:pos="-13328"/>
        <w:tab w:val="left" w:pos="901"/>
        <w:tab w:val="left" w:pos="-20128"/>
        <w:tab w:val="left" w:pos="0"/>
        <w:tab w:val="left" w:leader="dot" w:pos="1656"/>
        <w:tab w:val="right" w:pos="4"/>
        <w:tab w:val="center" w:pos="-1"/>
        <w:tab w:val="decimal" w:pos="-1"/>
        <w:tab w:val="left" w:pos="-1"/>
        <w:tab w:val="center" w:pos="-1"/>
        <w:tab w:val="left" w:pos="-20128"/>
        <w:tab w:val="left" w:pos="0"/>
        <w:tab w:val="right" w:leader="dot" w:pos="1656"/>
        <w:tab w:val="left" w:pos="4"/>
        <w:tab w:val="left" w:pos="0"/>
        <w:tab w:val="decimal" w:pos="-1"/>
        <w:tab w:val="left" w:pos="-13360"/>
        <w:tab w:val="left" w:leader="hyphen" w:pos="901"/>
        <w:tab w:val="left" w:pos="-12508"/>
        <w:tab w:val="left" w:pos="0"/>
      </w:tabs>
      <w:rPr>
        <w:b/>
        <w:sz w:val="16"/>
      </w:rPr>
    </w:pPr>
    <w:r>
      <w:rPr>
        <w:b/>
        <w:sz w:val="16"/>
      </w:rPr>
      <w:t>TCEQ - 20169b [Revised 10/04]</w:t>
    </w:r>
  </w:p>
  <w:p w:rsidR="00750EF9" w:rsidRDefault="00750EF9">
    <w:pPr>
      <w:widowControl w:val="0"/>
      <w:tabs>
        <w:tab w:val="right" w:leader="dot" w:pos="-30957"/>
        <w:tab w:val="left" w:pos="2"/>
        <w:tab w:val="left" w:pos="0"/>
        <w:tab w:val="decimal" w:pos="-1"/>
        <w:tab w:val="left" w:pos="-13297"/>
        <w:tab w:val="left" w:leader="hyphen" w:pos="901"/>
        <w:tab w:val="left" w:pos="-31558"/>
        <w:tab w:val="left" w:pos="0"/>
        <w:tab w:val="left" w:pos="-25014"/>
        <w:tab w:val="left" w:pos="2"/>
        <w:tab w:val="left" w:pos="-1"/>
        <w:tab w:val="left" w:pos="-1"/>
        <w:tab w:val="left" w:pos="-1"/>
        <w:tab w:val="left" w:pos="-1"/>
        <w:tab w:val="left" w:pos="-31558"/>
        <w:tab w:val="left" w:pos="0"/>
        <w:tab w:val="left" w:pos="-25014"/>
        <w:tab w:val="left" w:pos="2"/>
        <w:tab w:val="left" w:pos="0"/>
        <w:tab w:val="left" w:pos="-1"/>
        <w:tab w:val="left" w:pos="-13328"/>
        <w:tab w:val="left" w:pos="901"/>
        <w:tab w:val="left" w:pos="-20128"/>
        <w:tab w:val="left" w:pos="0"/>
        <w:tab w:val="left" w:leader="dot" w:pos="1656"/>
        <w:tab w:val="right" w:pos="4"/>
        <w:tab w:val="center" w:pos="-1"/>
        <w:tab w:val="decimal" w:pos="-1"/>
        <w:tab w:val="left" w:pos="-1"/>
        <w:tab w:val="center" w:pos="-1"/>
        <w:tab w:val="left" w:pos="-20128"/>
        <w:tab w:val="left" w:pos="0"/>
        <w:tab w:val="right" w:leader="dot" w:pos="1656"/>
        <w:tab w:val="left" w:pos="4"/>
        <w:tab w:val="left" w:pos="0"/>
        <w:tab w:val="decimal" w:pos="-1"/>
        <w:tab w:val="left" w:pos="-13360"/>
        <w:tab w:val="left" w:leader="hyphen" w:pos="901"/>
        <w:tab w:val="left" w:pos="-12508"/>
        <w:tab w:val="left" w:pos="0"/>
      </w:tabs>
      <w:spacing w:line="0" w:lineRule="atLeast"/>
      <w:rPr>
        <w:b/>
        <w:sz w:val="16"/>
      </w:rPr>
    </w:pPr>
    <w:r>
      <w:rPr>
        <w:b/>
        <w:sz w:val="16"/>
      </w:rPr>
      <w:t>NESHAP Reference Table.  This table for use by facilities subject to air quality permit requirements</w:t>
    </w:r>
  </w:p>
  <w:p w:rsidR="00750EF9" w:rsidRDefault="00750EF9">
    <w:pPr>
      <w:widowControl w:val="0"/>
      <w:tabs>
        <w:tab w:val="right" w:leader="dot" w:pos="-30957"/>
        <w:tab w:val="left" w:pos="2"/>
        <w:tab w:val="left" w:pos="0"/>
        <w:tab w:val="decimal" w:pos="-1"/>
        <w:tab w:val="left" w:pos="-13297"/>
        <w:tab w:val="left" w:leader="hyphen" w:pos="901"/>
        <w:tab w:val="left" w:pos="-31558"/>
        <w:tab w:val="left" w:pos="0"/>
        <w:tab w:val="left" w:pos="-25014"/>
        <w:tab w:val="left" w:pos="2"/>
        <w:tab w:val="left" w:pos="-1"/>
        <w:tab w:val="left" w:pos="-1"/>
        <w:tab w:val="left" w:pos="-1"/>
        <w:tab w:val="left" w:pos="-1"/>
        <w:tab w:val="left" w:pos="-31558"/>
        <w:tab w:val="left" w:pos="0"/>
        <w:tab w:val="left" w:pos="-25014"/>
        <w:tab w:val="left" w:pos="2"/>
        <w:tab w:val="left" w:pos="0"/>
        <w:tab w:val="left" w:pos="-1"/>
        <w:tab w:val="left" w:pos="-13328"/>
        <w:tab w:val="left" w:pos="901"/>
        <w:tab w:val="left" w:pos="-20128"/>
        <w:tab w:val="left" w:pos="0"/>
        <w:tab w:val="left" w:leader="dot" w:pos="1656"/>
        <w:tab w:val="right" w:pos="4"/>
        <w:tab w:val="center" w:pos="-1"/>
        <w:tab w:val="decimal" w:pos="-1"/>
        <w:tab w:val="left" w:pos="-1"/>
        <w:tab w:val="center" w:pos="-1"/>
        <w:tab w:val="left" w:pos="-20128"/>
        <w:tab w:val="left" w:pos="0"/>
        <w:tab w:val="right" w:leader="dot" w:pos="1656"/>
        <w:tab w:val="left" w:pos="4"/>
        <w:tab w:val="left" w:pos="0"/>
        <w:tab w:val="decimal" w:pos="-1"/>
        <w:tab w:val="left" w:pos="-13360"/>
        <w:tab w:val="left" w:leader="hyphen" w:pos="901"/>
        <w:tab w:val="left" w:pos="-12508"/>
        <w:tab w:val="left" w:pos="0"/>
      </w:tabs>
    </w:pPr>
    <w:r>
      <w:rPr>
        <w:b/>
        <w:sz w:val="16"/>
      </w:rPr>
      <w:t>and ay be revised periodically [APDG 5273 v1]</w:t>
    </w: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F9" w:rsidRPr="00C919E5" w:rsidRDefault="00750EF9" w:rsidP="004166BB">
    <w:pPr>
      <w:widowControl w:val="0"/>
      <w:rPr>
        <w:rFonts w:ascii="Georgia" w:hAnsi="Georgia"/>
        <w:b/>
        <w:sz w:val="16"/>
        <w:szCs w:val="16"/>
      </w:rPr>
    </w:pPr>
    <w:r w:rsidRPr="00C919E5">
      <w:rPr>
        <w:rFonts w:ascii="Georgia" w:hAnsi="Georgia"/>
        <w:b/>
        <w:sz w:val="16"/>
      </w:rPr>
      <w:t>T</w:t>
    </w:r>
    <w:r w:rsidRPr="00C919E5">
      <w:rPr>
        <w:rFonts w:ascii="Georgia" w:hAnsi="Georgia"/>
        <w:b/>
        <w:sz w:val="16"/>
        <w:szCs w:val="16"/>
      </w:rPr>
      <w:t>CEQ - 20169b (</w:t>
    </w:r>
    <w:r w:rsidR="00505108" w:rsidRPr="00C919E5">
      <w:rPr>
        <w:rFonts w:ascii="Georgia" w:hAnsi="Georgia"/>
        <w:b/>
        <w:sz w:val="16"/>
        <w:szCs w:val="16"/>
      </w:rPr>
      <w:t xml:space="preserve">08APDG 5273 v4, </w:t>
    </w:r>
    <w:r w:rsidRPr="00C919E5">
      <w:rPr>
        <w:rFonts w:ascii="Georgia" w:hAnsi="Georgia"/>
        <w:b/>
        <w:sz w:val="16"/>
        <w:szCs w:val="16"/>
      </w:rPr>
      <w:t>Revised 0</w:t>
    </w:r>
    <w:r w:rsidR="00505108" w:rsidRPr="00C919E5">
      <w:rPr>
        <w:rFonts w:ascii="Georgia" w:hAnsi="Georgia"/>
        <w:b/>
        <w:sz w:val="16"/>
        <w:szCs w:val="16"/>
      </w:rPr>
      <w:t>9</w:t>
    </w:r>
    <w:r w:rsidRPr="00C919E5">
      <w:rPr>
        <w:rFonts w:ascii="Georgia" w:hAnsi="Georgia"/>
        <w:b/>
        <w:sz w:val="16"/>
        <w:szCs w:val="16"/>
      </w:rPr>
      <w:t>/</w:t>
    </w:r>
    <w:r w:rsidR="00505108" w:rsidRPr="00C919E5">
      <w:rPr>
        <w:rFonts w:ascii="Georgia" w:hAnsi="Georgia"/>
        <w:b/>
        <w:sz w:val="16"/>
        <w:szCs w:val="16"/>
      </w:rPr>
      <w:t>14</w:t>
    </w:r>
    <w:r w:rsidRPr="00C919E5">
      <w:rPr>
        <w:rFonts w:ascii="Georgia" w:hAnsi="Georgia"/>
        <w:b/>
        <w:sz w:val="16"/>
        <w:szCs w:val="16"/>
      </w:rPr>
      <w:t>) NESHAP Reference Table</w:t>
    </w:r>
  </w:p>
  <w:p w:rsidR="00750EF9" w:rsidRPr="00C919E5" w:rsidRDefault="00750EF9" w:rsidP="004166BB">
    <w:pPr>
      <w:widowControl w:val="0"/>
      <w:rPr>
        <w:rFonts w:ascii="Georgia" w:hAnsi="Georgia"/>
        <w:b/>
        <w:sz w:val="16"/>
        <w:szCs w:val="16"/>
      </w:rPr>
    </w:pPr>
    <w:r w:rsidRPr="00C919E5">
      <w:rPr>
        <w:rFonts w:ascii="Georgia" w:hAnsi="Georgia"/>
        <w:b/>
        <w:sz w:val="16"/>
        <w:szCs w:val="16"/>
      </w:rPr>
      <w:t>This table is for use by facilities subject to air quality permit requirements</w:t>
    </w:r>
  </w:p>
  <w:p w:rsidR="00750EF9" w:rsidRPr="00C919E5" w:rsidRDefault="00750EF9" w:rsidP="00505108">
    <w:pPr>
      <w:pStyle w:val="Footer"/>
      <w:tabs>
        <w:tab w:val="clear" w:pos="4320"/>
        <w:tab w:val="clear" w:pos="8640"/>
        <w:tab w:val="right" w:pos="10710"/>
      </w:tabs>
      <w:rPr>
        <w:rFonts w:ascii="Georgia" w:hAnsi="Georgia"/>
      </w:rPr>
    </w:pPr>
    <w:r w:rsidRPr="00C919E5">
      <w:rPr>
        <w:rFonts w:ascii="Georgia" w:hAnsi="Georgia"/>
        <w:b/>
        <w:sz w:val="16"/>
        <w:szCs w:val="16"/>
      </w:rPr>
      <w:t xml:space="preserve">and may be revised periodically. </w:t>
    </w:r>
    <w:r w:rsidRPr="00C919E5">
      <w:rPr>
        <w:rFonts w:ascii="Georgia" w:hAnsi="Georgia"/>
        <w:b/>
        <w:sz w:val="16"/>
        <w:szCs w:val="16"/>
      </w:rPr>
      <w:tab/>
      <w:t xml:space="preserve">Page </w:t>
    </w:r>
    <w:r w:rsidRPr="00C919E5">
      <w:rPr>
        <w:rFonts w:ascii="Georgia" w:hAnsi="Georgia"/>
        <w:b/>
        <w:sz w:val="16"/>
        <w:szCs w:val="16"/>
      </w:rPr>
      <w:fldChar w:fldCharType="begin"/>
    </w:r>
    <w:r w:rsidRPr="00C919E5">
      <w:rPr>
        <w:rFonts w:ascii="Georgia" w:hAnsi="Georgia"/>
        <w:b/>
        <w:sz w:val="16"/>
        <w:szCs w:val="16"/>
      </w:rPr>
      <w:instrText xml:space="preserve"> PAGE </w:instrText>
    </w:r>
    <w:r w:rsidRPr="00C919E5">
      <w:rPr>
        <w:rFonts w:ascii="Georgia" w:hAnsi="Georgia"/>
        <w:b/>
        <w:sz w:val="16"/>
        <w:szCs w:val="16"/>
      </w:rPr>
      <w:fldChar w:fldCharType="separate"/>
    </w:r>
    <w:r w:rsidR="00462D86">
      <w:rPr>
        <w:rFonts w:ascii="Georgia" w:hAnsi="Georgia"/>
        <w:b/>
        <w:noProof/>
        <w:sz w:val="16"/>
        <w:szCs w:val="16"/>
      </w:rPr>
      <w:t>2</w:t>
    </w:r>
    <w:r w:rsidRPr="00C919E5">
      <w:rPr>
        <w:rFonts w:ascii="Georgia" w:hAnsi="Georgia"/>
        <w:b/>
        <w:sz w:val="16"/>
        <w:szCs w:val="16"/>
      </w:rPr>
      <w:fldChar w:fldCharType="end"/>
    </w:r>
    <w:r w:rsidRPr="00C919E5">
      <w:rPr>
        <w:rFonts w:ascii="Georgia" w:hAnsi="Georgia"/>
        <w:b/>
        <w:sz w:val="16"/>
        <w:szCs w:val="16"/>
      </w:rPr>
      <w:t xml:space="preserve"> of </w:t>
    </w:r>
    <w:r w:rsidRPr="00C919E5">
      <w:rPr>
        <w:rFonts w:ascii="Georgia" w:hAnsi="Georgia"/>
        <w:b/>
        <w:sz w:val="16"/>
        <w:szCs w:val="16"/>
      </w:rPr>
      <w:fldChar w:fldCharType="begin"/>
    </w:r>
    <w:r w:rsidRPr="00C919E5">
      <w:rPr>
        <w:rFonts w:ascii="Georgia" w:hAnsi="Georgia"/>
        <w:b/>
        <w:sz w:val="16"/>
        <w:szCs w:val="16"/>
      </w:rPr>
      <w:instrText xml:space="preserve"> NUMPAGES </w:instrText>
    </w:r>
    <w:r w:rsidRPr="00C919E5">
      <w:rPr>
        <w:rFonts w:ascii="Georgia" w:hAnsi="Georgia"/>
        <w:b/>
        <w:sz w:val="16"/>
        <w:szCs w:val="16"/>
      </w:rPr>
      <w:fldChar w:fldCharType="separate"/>
    </w:r>
    <w:r w:rsidR="00462D86">
      <w:rPr>
        <w:rFonts w:ascii="Georgia" w:hAnsi="Georgia"/>
        <w:b/>
        <w:noProof/>
        <w:sz w:val="16"/>
        <w:szCs w:val="16"/>
      </w:rPr>
      <w:t>2</w:t>
    </w:r>
    <w:r w:rsidRPr="00C919E5">
      <w:rPr>
        <w:rFonts w:ascii="Georgia" w:hAnsi="Georgia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F9" w:rsidRPr="00C919E5" w:rsidRDefault="00750EF9" w:rsidP="00257393">
    <w:pPr>
      <w:widowControl w:val="0"/>
      <w:rPr>
        <w:rFonts w:ascii="Georgia" w:hAnsi="Georgia"/>
        <w:b/>
        <w:sz w:val="16"/>
        <w:szCs w:val="16"/>
      </w:rPr>
    </w:pPr>
    <w:r w:rsidRPr="00C919E5">
      <w:rPr>
        <w:rFonts w:ascii="Georgia" w:hAnsi="Georgia"/>
        <w:b/>
        <w:sz w:val="16"/>
      </w:rPr>
      <w:t>T</w:t>
    </w:r>
    <w:r w:rsidRPr="00C919E5">
      <w:rPr>
        <w:rFonts w:ascii="Georgia" w:hAnsi="Georgia"/>
        <w:b/>
        <w:sz w:val="16"/>
        <w:szCs w:val="16"/>
      </w:rPr>
      <w:t>CEQ - 20169b (</w:t>
    </w:r>
    <w:r w:rsidR="001E42A9" w:rsidRPr="00C919E5">
      <w:rPr>
        <w:rFonts w:ascii="Georgia" w:hAnsi="Georgia"/>
        <w:b/>
        <w:sz w:val="16"/>
        <w:szCs w:val="16"/>
      </w:rPr>
      <w:t xml:space="preserve">APDG 5273v4, </w:t>
    </w:r>
    <w:r w:rsidRPr="00C919E5">
      <w:rPr>
        <w:rFonts w:ascii="Georgia" w:hAnsi="Georgia"/>
        <w:b/>
        <w:sz w:val="16"/>
        <w:szCs w:val="16"/>
      </w:rPr>
      <w:t>Revised</w:t>
    </w:r>
    <w:r w:rsidR="00A61237">
      <w:rPr>
        <w:rFonts w:ascii="Georgia" w:hAnsi="Georgia"/>
        <w:b/>
        <w:sz w:val="16"/>
        <w:szCs w:val="16"/>
      </w:rPr>
      <w:t xml:space="preserve"> 09/14</w:t>
    </w:r>
    <w:r w:rsidRPr="00C919E5">
      <w:rPr>
        <w:rFonts w:ascii="Georgia" w:hAnsi="Georgia"/>
        <w:b/>
        <w:sz w:val="16"/>
        <w:szCs w:val="16"/>
      </w:rPr>
      <w:t>) NESHAP Reference Table</w:t>
    </w:r>
  </w:p>
  <w:p w:rsidR="00750EF9" w:rsidRPr="00C919E5" w:rsidRDefault="00750EF9" w:rsidP="00257393">
    <w:pPr>
      <w:widowControl w:val="0"/>
      <w:rPr>
        <w:rFonts w:ascii="Georgia" w:hAnsi="Georgia"/>
        <w:b/>
        <w:sz w:val="16"/>
        <w:szCs w:val="16"/>
      </w:rPr>
    </w:pPr>
    <w:r w:rsidRPr="00C919E5">
      <w:rPr>
        <w:rFonts w:ascii="Georgia" w:hAnsi="Georgia"/>
        <w:b/>
        <w:sz w:val="16"/>
        <w:szCs w:val="16"/>
      </w:rPr>
      <w:t>This table is for use by facilities subject to air quality permit requirements</w:t>
    </w:r>
  </w:p>
  <w:p w:rsidR="00750EF9" w:rsidRPr="00C919E5" w:rsidRDefault="00750EF9" w:rsidP="00257393">
    <w:pPr>
      <w:pStyle w:val="Footer"/>
      <w:tabs>
        <w:tab w:val="clear" w:pos="4320"/>
        <w:tab w:val="clear" w:pos="8640"/>
        <w:tab w:val="right" w:pos="10710"/>
      </w:tabs>
      <w:rPr>
        <w:rFonts w:ascii="Georgia" w:hAnsi="Georgia"/>
        <w:b/>
        <w:sz w:val="16"/>
        <w:szCs w:val="16"/>
      </w:rPr>
    </w:pPr>
    <w:r w:rsidRPr="00C919E5">
      <w:rPr>
        <w:rFonts w:ascii="Georgia" w:hAnsi="Georgia"/>
        <w:b/>
        <w:sz w:val="16"/>
        <w:szCs w:val="16"/>
      </w:rPr>
      <w:t>and may be revised periodically</w:t>
    </w:r>
    <w:r w:rsidR="00C919E5" w:rsidRPr="00C919E5">
      <w:rPr>
        <w:rFonts w:ascii="Georgia" w:hAnsi="Georgia"/>
        <w:b/>
        <w:sz w:val="16"/>
        <w:szCs w:val="16"/>
      </w:rPr>
      <w:t>.</w:t>
    </w:r>
    <w:r w:rsidRPr="00C919E5">
      <w:rPr>
        <w:rFonts w:ascii="Georgia" w:hAnsi="Georgia"/>
        <w:b/>
        <w:sz w:val="16"/>
        <w:szCs w:val="16"/>
      </w:rPr>
      <w:tab/>
      <w:t xml:space="preserve">Page </w:t>
    </w:r>
    <w:r w:rsidRPr="00C919E5">
      <w:rPr>
        <w:rFonts w:ascii="Georgia" w:hAnsi="Georgia"/>
        <w:b/>
        <w:sz w:val="16"/>
        <w:szCs w:val="16"/>
      </w:rPr>
      <w:fldChar w:fldCharType="begin"/>
    </w:r>
    <w:r w:rsidRPr="00C919E5">
      <w:rPr>
        <w:rFonts w:ascii="Georgia" w:hAnsi="Georgia"/>
        <w:b/>
        <w:sz w:val="16"/>
        <w:szCs w:val="16"/>
      </w:rPr>
      <w:instrText xml:space="preserve"> PAGE </w:instrText>
    </w:r>
    <w:r w:rsidRPr="00C919E5">
      <w:rPr>
        <w:rFonts w:ascii="Georgia" w:hAnsi="Georgia"/>
        <w:b/>
        <w:sz w:val="16"/>
        <w:szCs w:val="16"/>
      </w:rPr>
      <w:fldChar w:fldCharType="separate"/>
    </w:r>
    <w:r w:rsidR="00462D86">
      <w:rPr>
        <w:rFonts w:ascii="Georgia" w:hAnsi="Georgia"/>
        <w:b/>
        <w:noProof/>
        <w:sz w:val="16"/>
        <w:szCs w:val="16"/>
      </w:rPr>
      <w:t>1</w:t>
    </w:r>
    <w:r w:rsidRPr="00C919E5">
      <w:rPr>
        <w:rFonts w:ascii="Georgia" w:hAnsi="Georgia"/>
        <w:b/>
        <w:sz w:val="16"/>
        <w:szCs w:val="16"/>
      </w:rPr>
      <w:fldChar w:fldCharType="end"/>
    </w:r>
    <w:r w:rsidRPr="00C919E5">
      <w:rPr>
        <w:rFonts w:ascii="Georgia" w:hAnsi="Georgia"/>
        <w:b/>
        <w:sz w:val="16"/>
        <w:szCs w:val="16"/>
      </w:rPr>
      <w:t xml:space="preserve"> of </w:t>
    </w:r>
    <w:r w:rsidRPr="00C919E5">
      <w:rPr>
        <w:rFonts w:ascii="Georgia" w:hAnsi="Georgia"/>
        <w:b/>
        <w:sz w:val="16"/>
        <w:szCs w:val="16"/>
      </w:rPr>
      <w:fldChar w:fldCharType="begin"/>
    </w:r>
    <w:r w:rsidRPr="00C919E5">
      <w:rPr>
        <w:rFonts w:ascii="Georgia" w:hAnsi="Georgia"/>
        <w:b/>
        <w:sz w:val="16"/>
        <w:szCs w:val="16"/>
      </w:rPr>
      <w:instrText xml:space="preserve"> NUMPAGES </w:instrText>
    </w:r>
    <w:r w:rsidRPr="00C919E5">
      <w:rPr>
        <w:rFonts w:ascii="Georgia" w:hAnsi="Georgia"/>
        <w:b/>
        <w:sz w:val="16"/>
        <w:szCs w:val="16"/>
      </w:rPr>
      <w:fldChar w:fldCharType="separate"/>
    </w:r>
    <w:r w:rsidR="00462D86">
      <w:rPr>
        <w:rFonts w:ascii="Georgia" w:hAnsi="Georgia"/>
        <w:b/>
        <w:noProof/>
        <w:sz w:val="16"/>
        <w:szCs w:val="16"/>
      </w:rPr>
      <w:t>1</w:t>
    </w:r>
    <w:r w:rsidRPr="00C919E5">
      <w:rPr>
        <w:rFonts w:ascii="Georgia" w:hAnsi="Georgi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06" w:rsidRDefault="00B14D06">
      <w:r>
        <w:separator/>
      </w:r>
    </w:p>
  </w:footnote>
  <w:footnote w:type="continuationSeparator" w:id="0">
    <w:p w:rsidR="00B14D06" w:rsidRDefault="00B14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F9" w:rsidRDefault="00750EF9">
    <w:pPr>
      <w:widowControl w:val="0"/>
      <w:tabs>
        <w:tab w:val="right" w:leader="dot" w:pos="-30957"/>
        <w:tab w:val="left" w:pos="2"/>
        <w:tab w:val="left" w:pos="0"/>
        <w:tab w:val="decimal" w:pos="-1"/>
        <w:tab w:val="left" w:pos="-13297"/>
        <w:tab w:val="left" w:leader="hyphen" w:pos="901"/>
        <w:tab w:val="left" w:pos="-31558"/>
        <w:tab w:val="left" w:pos="0"/>
        <w:tab w:val="left" w:pos="-25014"/>
        <w:tab w:val="left" w:pos="2"/>
        <w:tab w:val="left" w:pos="-1"/>
        <w:tab w:val="left" w:pos="-1"/>
        <w:tab w:val="left" w:pos="-1"/>
        <w:tab w:val="left" w:pos="-1"/>
        <w:tab w:val="left" w:pos="-31558"/>
        <w:tab w:val="left" w:pos="0"/>
        <w:tab w:val="left" w:pos="-25014"/>
        <w:tab w:val="left" w:pos="2"/>
        <w:tab w:val="left" w:pos="0"/>
        <w:tab w:val="left" w:pos="-1"/>
        <w:tab w:val="left" w:pos="-13328"/>
        <w:tab w:val="left" w:pos="901"/>
        <w:tab w:val="left" w:pos="-20128"/>
        <w:tab w:val="left" w:pos="0"/>
        <w:tab w:val="left" w:leader="dot" w:pos="1656"/>
        <w:tab w:val="right" w:pos="4"/>
        <w:tab w:val="center" w:pos="-1"/>
        <w:tab w:val="decimal" w:pos="-1"/>
        <w:tab w:val="left" w:pos="-1"/>
        <w:tab w:val="center" w:pos="-1"/>
        <w:tab w:val="left" w:pos="-20128"/>
        <w:tab w:val="left" w:pos="0"/>
        <w:tab w:val="right" w:leader="dot" w:pos="1656"/>
        <w:tab w:val="left" w:pos="4"/>
        <w:tab w:val="left" w:pos="0"/>
        <w:tab w:val="decimal" w:pos="-1"/>
        <w:tab w:val="left" w:pos="-13360"/>
        <w:tab w:val="left" w:leader="hyphen" w:pos="901"/>
        <w:tab w:val="left" w:pos="-12508"/>
        <w:tab w:val="left" w:pos="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F9" w:rsidRDefault="00750EF9">
    <w:pPr>
      <w:widowControl w:val="0"/>
      <w:tabs>
        <w:tab w:val="right" w:leader="dot" w:pos="-30957"/>
        <w:tab w:val="left" w:pos="2"/>
        <w:tab w:val="left" w:pos="0"/>
        <w:tab w:val="decimal" w:pos="-1"/>
        <w:tab w:val="left" w:pos="-13297"/>
        <w:tab w:val="left" w:leader="hyphen" w:pos="901"/>
        <w:tab w:val="left" w:pos="-31558"/>
        <w:tab w:val="left" w:pos="0"/>
        <w:tab w:val="left" w:pos="-25014"/>
        <w:tab w:val="left" w:pos="2"/>
        <w:tab w:val="left" w:pos="-1"/>
        <w:tab w:val="left" w:pos="-1"/>
        <w:tab w:val="left" w:pos="-1"/>
        <w:tab w:val="left" w:pos="-1"/>
        <w:tab w:val="left" w:pos="-31558"/>
        <w:tab w:val="left" w:pos="0"/>
        <w:tab w:val="left" w:pos="-25014"/>
        <w:tab w:val="left" w:pos="2"/>
        <w:tab w:val="left" w:pos="0"/>
        <w:tab w:val="left" w:pos="-1"/>
        <w:tab w:val="left" w:pos="-13328"/>
        <w:tab w:val="left" w:pos="901"/>
        <w:tab w:val="left" w:pos="-20128"/>
        <w:tab w:val="left" w:pos="0"/>
        <w:tab w:val="left" w:leader="dot" w:pos="1656"/>
        <w:tab w:val="right" w:pos="4"/>
        <w:tab w:val="center" w:pos="-1"/>
        <w:tab w:val="decimal" w:pos="-1"/>
        <w:tab w:val="left" w:pos="-1"/>
        <w:tab w:val="center" w:pos="-1"/>
        <w:tab w:val="left" w:pos="-20128"/>
        <w:tab w:val="left" w:pos="0"/>
        <w:tab w:val="right" w:leader="dot" w:pos="1656"/>
        <w:tab w:val="left" w:pos="4"/>
        <w:tab w:val="left" w:pos="0"/>
        <w:tab w:val="decimal" w:pos="-1"/>
        <w:tab w:val="left" w:pos="-13360"/>
        <w:tab w:val="left" w:leader="hyphen" w:pos="901"/>
        <w:tab w:val="left" w:pos="-12508"/>
        <w:tab w:val="left" w:pos="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36C" w:rsidRDefault="00DE23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EB"/>
    <w:rsid w:val="00073558"/>
    <w:rsid w:val="001916F8"/>
    <w:rsid w:val="001E42A9"/>
    <w:rsid w:val="00257393"/>
    <w:rsid w:val="00280B52"/>
    <w:rsid w:val="002B32EB"/>
    <w:rsid w:val="002B599F"/>
    <w:rsid w:val="00343B0D"/>
    <w:rsid w:val="00367D95"/>
    <w:rsid w:val="003D489E"/>
    <w:rsid w:val="004166BB"/>
    <w:rsid w:val="00462D86"/>
    <w:rsid w:val="00505108"/>
    <w:rsid w:val="005208CB"/>
    <w:rsid w:val="00630C5D"/>
    <w:rsid w:val="00653875"/>
    <w:rsid w:val="006A4FC8"/>
    <w:rsid w:val="006B1F39"/>
    <w:rsid w:val="006E2C3F"/>
    <w:rsid w:val="00750EF9"/>
    <w:rsid w:val="007539BA"/>
    <w:rsid w:val="00787A9B"/>
    <w:rsid w:val="007C6072"/>
    <w:rsid w:val="007C633D"/>
    <w:rsid w:val="00810D2A"/>
    <w:rsid w:val="008C3B00"/>
    <w:rsid w:val="00941958"/>
    <w:rsid w:val="00973AFA"/>
    <w:rsid w:val="00A1625D"/>
    <w:rsid w:val="00A61237"/>
    <w:rsid w:val="00B14D06"/>
    <w:rsid w:val="00B30DD4"/>
    <w:rsid w:val="00C15D17"/>
    <w:rsid w:val="00C47BDA"/>
    <w:rsid w:val="00C76A6D"/>
    <w:rsid w:val="00C919E5"/>
    <w:rsid w:val="00CD28BE"/>
    <w:rsid w:val="00D646C1"/>
    <w:rsid w:val="00DE236C"/>
    <w:rsid w:val="00E60050"/>
    <w:rsid w:val="00E83E60"/>
    <w:rsid w:val="00EA17BF"/>
    <w:rsid w:val="00F66CE6"/>
    <w:rsid w:val="00F81321"/>
    <w:rsid w:val="00F9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7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7393"/>
    <w:pPr>
      <w:tabs>
        <w:tab w:val="center" w:pos="4320"/>
        <w:tab w:val="right" w:pos="8640"/>
      </w:tabs>
    </w:pPr>
  </w:style>
  <w:style w:type="character" w:styleId="Hyperlink">
    <w:name w:val="Hyperlink"/>
    <w:rsid w:val="00F81321"/>
    <w:rPr>
      <w:color w:val="0000FF"/>
      <w:u w:val="single"/>
    </w:rPr>
  </w:style>
  <w:style w:type="character" w:customStyle="1" w:styleId="a1">
    <w:name w:val="a1"/>
    <w:rsid w:val="00343B0D"/>
    <w:rPr>
      <w:color w:val="008000"/>
    </w:rPr>
  </w:style>
  <w:style w:type="character" w:styleId="FollowedHyperlink">
    <w:name w:val="FollowedHyperlink"/>
    <w:rsid w:val="006E2C3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7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7393"/>
    <w:pPr>
      <w:tabs>
        <w:tab w:val="center" w:pos="4320"/>
        <w:tab w:val="right" w:pos="8640"/>
      </w:tabs>
    </w:pPr>
  </w:style>
  <w:style w:type="character" w:styleId="Hyperlink">
    <w:name w:val="Hyperlink"/>
    <w:rsid w:val="00F81321"/>
    <w:rPr>
      <w:color w:val="0000FF"/>
      <w:u w:val="single"/>
    </w:rPr>
  </w:style>
  <w:style w:type="character" w:customStyle="1" w:styleId="a1">
    <w:name w:val="a1"/>
    <w:rsid w:val="00343B0D"/>
    <w:rPr>
      <w:color w:val="008000"/>
    </w:rPr>
  </w:style>
  <w:style w:type="character" w:styleId="FollowedHyperlink">
    <w:name w:val="FollowedHyperlink"/>
    <w:rsid w:val="006E2C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access.gov/cfr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a.gov/ttn/atw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126874-8DF4-47EC-9004-94E2E75A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 National Emissions Standards for Hazardous Air Pollutants Reference Table (NESHAP-RT) for Air Quality Permits</vt:lpstr>
    </vt:vector>
  </TitlesOfParts>
  <Company>TCEQ</Company>
  <LinksUpToDate>false</LinksUpToDate>
  <CharactersWithSpaces>3439</CharactersWithSpaces>
  <SharedDoc>false</SharedDoc>
  <HLinks>
    <vt:vector size="12" baseType="variant">
      <vt:variant>
        <vt:i4>3276897</vt:i4>
      </vt:variant>
      <vt:variant>
        <vt:i4>3</vt:i4>
      </vt:variant>
      <vt:variant>
        <vt:i4>0</vt:i4>
      </vt:variant>
      <vt:variant>
        <vt:i4>5</vt:i4>
      </vt:variant>
      <vt:variant>
        <vt:lpwstr>http://www.epa.gov/ttn/atw/</vt:lpwstr>
      </vt:variant>
      <vt:variant>
        <vt:lpwstr/>
      </vt:variant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http://www.gpoaccess.gov/cfr/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National Emissions Standards for Hazardous Air Pollutants Reference Table (NESHAP-RT) for Air Quality Permits</dc:title>
  <dc:subject>TCEQ National Emissions Standards for Hazardous Air Pollutants Reference Table (NESHAP-RT) for Air Quality Permits</dc:subject>
  <dc:creator>TCEQ National Emissions Standards for Hazardous Air Pollutants Reference Table (NESHAP-RT) for Air Quality Permits</dc:creator>
  <cp:keywords>hazardous, air, pollutant, table, reference, permit, and neshap</cp:keywords>
  <cp:lastModifiedBy>TSpencer</cp:lastModifiedBy>
  <cp:revision>2</cp:revision>
  <cp:lastPrinted>2008-02-29T20:52:00Z</cp:lastPrinted>
  <dcterms:created xsi:type="dcterms:W3CDTF">2014-09-08T20:05:00Z</dcterms:created>
  <dcterms:modified xsi:type="dcterms:W3CDTF">2014-09-08T20:05:00Z</dcterms:modified>
</cp:coreProperties>
</file>