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4B" w:rsidRDefault="00E53E4B" w:rsidP="00BE083E">
      <w:pPr>
        <w:widowControl w:val="0"/>
        <w:tabs>
          <w:tab w:val="center" w:pos="5400"/>
        </w:tabs>
        <w:jc w:val="center"/>
        <w:rPr>
          <w:b/>
        </w:rPr>
      </w:pPr>
      <w:r>
        <w:fldChar w:fldCharType="begin"/>
      </w:r>
      <w:r>
        <w:instrText xml:space="preserve"> SEQ CHAPTER \h \r 1</w:instrText>
      </w:r>
      <w:r>
        <w:fldChar w:fldCharType="end"/>
      </w:r>
      <w:r w:rsidR="002C422C">
        <w:rPr>
          <w:noProof/>
        </w:rPr>
        <mc:AlternateContent>
          <mc:Choice Requires="wps">
            <w:drawing>
              <wp:anchor distT="57150" distB="57150" distL="57150" distR="57150" simplePos="0" relativeHeight="251657728" behindDoc="0" locked="0" layoutInCell="0" allowOverlap="1" wp14:anchorId="7058DCB9" wp14:editId="1C18A8C9">
                <wp:simplePos x="0" y="0"/>
                <wp:positionH relativeFrom="margin">
                  <wp:posOffset>635</wp:posOffset>
                </wp:positionH>
                <wp:positionV relativeFrom="margin">
                  <wp:posOffset>-3810</wp:posOffset>
                </wp:positionV>
                <wp:extent cx="501015" cy="8667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E4B" w:rsidRDefault="002C422C">
                            <w:pPr>
                              <w:widowControl w:val="0"/>
                            </w:pPr>
                            <w:r>
                              <w:rPr>
                                <w:noProof/>
                              </w:rPr>
                              <w:drawing>
                                <wp:inline distT="0" distB="0" distL="0" distR="0" wp14:anchorId="392FEEC2" wp14:editId="7EE74979">
                                  <wp:extent cx="501015" cy="866775"/>
                                  <wp:effectExtent l="0" t="0" r="0" b="0"/>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8667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3pt;width:39.45pt;height:68.25pt;z-index:251657728;visibility:visible;mso-wrap-style:non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" o:allowincell="f" stroked="f">
                <v:textbox style="mso-fit-shape-to-text:t" inset="0,0,0,0">
                  <w:txbxContent>
                    <w:p w:rsidR="00E53E4B" w:rsidRDefault="002C422C">
                      <w:pPr>
                        <w:widowControl w:val="0"/>
                      </w:pPr>
                      <w:r>
                        <w:rPr>
                          <w:noProof/>
                        </w:rPr>
                        <w:drawing>
                          <wp:inline distT="0" distB="0" distL="0" distR="0" wp14:anchorId="392FEEC2" wp14:editId="7EE74979">
                            <wp:extent cx="501015" cy="866775"/>
                            <wp:effectExtent l="0" t="0" r="0" b="0"/>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 cy="866775"/>
                                    </a:xfrm>
                                    <a:prstGeom prst="rect">
                                      <a:avLst/>
                                    </a:prstGeom>
                                    <a:noFill/>
                                    <a:ln>
                                      <a:noFill/>
                                    </a:ln>
                                  </pic:spPr>
                                </pic:pic>
                              </a:graphicData>
                            </a:graphic>
                          </wp:inline>
                        </w:drawing>
                      </w:r>
                    </w:p>
                  </w:txbxContent>
                </v:textbox>
                <w10:wrap type="square" anchorx="margin" anchory="margin"/>
              </v:shape>
            </w:pict>
          </mc:Fallback>
        </mc:AlternateContent>
      </w:r>
      <w:r>
        <w:rPr>
          <w:b/>
        </w:rPr>
        <w:t xml:space="preserve">Exemption </w:t>
      </w:r>
      <w:r w:rsidR="009A5D00">
        <w:rPr>
          <w:b/>
        </w:rPr>
        <w:t xml:space="preserve">§ </w:t>
      </w:r>
      <w:r>
        <w:rPr>
          <w:b/>
        </w:rPr>
        <w:t>106.374 Checklist</w:t>
      </w:r>
    </w:p>
    <w:p w:rsidR="00E53E4B" w:rsidRDefault="00E53E4B" w:rsidP="00BE083E">
      <w:pPr>
        <w:widowControl w:val="0"/>
        <w:jc w:val="center"/>
        <w:rPr>
          <w:b/>
        </w:rPr>
      </w:pPr>
      <w:r>
        <w:rPr>
          <w:b/>
        </w:rPr>
        <w:t>(Previously Standard Exemption 121)</w:t>
      </w:r>
    </w:p>
    <w:p w:rsidR="00E53E4B" w:rsidRDefault="00E53E4B" w:rsidP="002C422C">
      <w:pPr>
        <w:widowControl w:val="0"/>
        <w:tabs>
          <w:tab w:val="center" w:pos="5400"/>
        </w:tabs>
        <w:spacing w:after="360"/>
        <w:jc w:val="center"/>
        <w:rPr>
          <w:sz w:val="22"/>
        </w:rPr>
      </w:pPr>
      <w:r>
        <w:rPr>
          <w:b/>
        </w:rPr>
        <w:t>Lime Slaking Facilities</w:t>
      </w:r>
    </w:p>
    <w:p w:rsidR="002C422C" w:rsidRDefault="002C422C" w:rsidP="00BE083E">
      <w:pPr>
        <w:widowControl w:val="0"/>
        <w:rPr>
          <w:sz w:val="22"/>
        </w:rPr>
      </w:pPr>
    </w:p>
    <w:p w:rsidR="002C422C" w:rsidRDefault="002C422C" w:rsidP="00BE083E">
      <w:pPr>
        <w:widowControl w:val="0"/>
        <w:rPr>
          <w:sz w:val="22"/>
        </w:rPr>
      </w:pPr>
    </w:p>
    <w:p w:rsidR="00E53E4B" w:rsidRDefault="002C422C" w:rsidP="00464DD1">
      <w:pPr>
        <w:widowControl w:val="0"/>
        <w:spacing w:after="120"/>
        <w:rPr>
          <w:sz w:val="20"/>
        </w:rPr>
      </w:pPr>
      <w:r>
        <w:rPr>
          <w:sz w:val="22"/>
        </w:rPr>
        <w:t>T</w:t>
      </w:r>
      <w:r w:rsidR="00E53E4B" w:rsidRPr="009A5D00">
        <w:rPr>
          <w:sz w:val="20"/>
        </w:rPr>
        <w:t>he following checklist has been developed so the Texas Commission on Environmental Quality (TCEQ) can confirm that you meet exemption requirements.  The question</w:t>
      </w:r>
      <w:bookmarkStart w:id="0" w:name="_GoBack"/>
      <w:bookmarkEnd w:id="0"/>
      <w:r w:rsidR="00E53E4B" w:rsidRPr="009A5D00">
        <w:rPr>
          <w:sz w:val="20"/>
        </w:rPr>
        <w:t xml:space="preserve">s are derived from </w:t>
      </w:r>
      <w:r w:rsidR="009A5D00">
        <w:rPr>
          <w:sz w:val="20"/>
        </w:rPr>
        <w:t xml:space="preserve">§ </w:t>
      </w:r>
      <w:r w:rsidR="00E53E4B" w:rsidRPr="009A5D00">
        <w:rPr>
          <w:sz w:val="20"/>
        </w:rPr>
        <w:t xml:space="preserve">106.4, previously </w:t>
      </w:r>
      <w:r w:rsidR="009A5D00">
        <w:rPr>
          <w:sz w:val="20"/>
        </w:rPr>
        <w:t xml:space="preserve">§ </w:t>
      </w:r>
      <w:r w:rsidR="00E53E4B" w:rsidRPr="009A5D00">
        <w:rPr>
          <w:sz w:val="20"/>
        </w:rPr>
        <w:t xml:space="preserve">116.211(a), and the exemption list. Please read all questions and check YES or NO (equivalent to True or False), or give specific information as applicable to your facility. If you do not meet all conditions of a specific exemption, you will not be allowed to operate the facility under exemption and you must apply for a construction permit as required under </w:t>
      </w:r>
      <w:r w:rsidR="009A5D00">
        <w:rPr>
          <w:sz w:val="20"/>
        </w:rPr>
        <w:t xml:space="preserve">§ </w:t>
      </w:r>
      <w:r w:rsidR="00E53E4B" w:rsidRPr="009A5D00">
        <w:rPr>
          <w:sz w:val="20"/>
        </w:rPr>
        <w:t>116.110(a) prior to construction.</w:t>
      </w:r>
    </w:p>
    <w:p w:rsidR="006C35FA" w:rsidRDefault="006C35FA" w:rsidP="00464DD1">
      <w:pPr>
        <w:spacing w:after="120"/>
        <w:rPr>
          <w:sz w:val="20"/>
        </w:rPr>
      </w:pPr>
      <w:r>
        <w:rPr>
          <w:sz w:val="20"/>
        </w:rPr>
        <w:t>For additional assistance with your application, including resources to help calculate your emissions, please visit the Small Business and Local Government Assistance (SBLGA) webpage at the following link:</w:t>
      </w:r>
      <w:r w:rsidR="00464DD1">
        <w:rPr>
          <w:sz w:val="20"/>
        </w:rPr>
        <w:t xml:space="preserve"> </w:t>
      </w:r>
      <w:r>
        <w:rPr>
          <w:color w:val="1F497D"/>
          <w:sz w:val="20"/>
        </w:rPr>
        <w:t xml:space="preserve"> </w:t>
      </w:r>
      <w:hyperlink r:id="rId10" w:history="1">
        <w:r>
          <w:rPr>
            <w:rStyle w:val="Hyperlink"/>
            <w:sz w:val="20"/>
          </w:rPr>
          <w:t>www.TexasEnviroHelp.org</w:t>
        </w:r>
      </w:hyperlink>
      <w:r>
        <w:rPr>
          <w:sz w:val="20"/>
        </w:rPr>
        <w:t xml:space="preserve"> </w:t>
      </w:r>
    </w:p>
    <w:p w:rsidR="00BE083E" w:rsidRPr="009A5D00" w:rsidRDefault="00BE083E" w:rsidP="00BE083E">
      <w:pPr>
        <w:widowControl w:val="0"/>
        <w:rPr>
          <w:sz w:val="20"/>
        </w:rPr>
      </w:pPr>
    </w:p>
    <w:tbl>
      <w:tblPr>
        <w:tblW w:w="108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Pr>
      <w:tblGrid>
        <w:gridCol w:w="5400"/>
        <w:gridCol w:w="1980"/>
        <w:gridCol w:w="1260"/>
        <w:gridCol w:w="1260"/>
        <w:gridCol w:w="900"/>
      </w:tblGrid>
      <w:tr w:rsidR="00BE083E" w:rsidRPr="001A71CD" w:rsidTr="00464DD1">
        <w:trPr>
          <w:jc w:val="center"/>
        </w:trPr>
        <w:tc>
          <w:tcPr>
            <w:tcW w:w="10800" w:type="dxa"/>
            <w:gridSpan w:val="5"/>
            <w:tcBorders>
              <w:top w:val="double" w:sz="4" w:space="0" w:color="auto"/>
              <w:bottom w:val="single" w:sz="6" w:space="0" w:color="auto"/>
            </w:tcBorders>
            <w:shd w:val="pct10" w:color="auto" w:fill="auto"/>
          </w:tcPr>
          <w:p w:rsidR="00BE083E" w:rsidRPr="001A71CD" w:rsidRDefault="00BE083E" w:rsidP="001A71CD">
            <w:pPr>
              <w:widowControl w:val="0"/>
              <w:spacing w:before="120" w:after="120"/>
              <w:jc w:val="center"/>
              <w:rPr>
                <w:b/>
                <w:sz w:val="20"/>
              </w:rPr>
            </w:pPr>
            <w:r w:rsidRPr="001A71CD">
              <w:rPr>
                <w:b/>
                <w:sz w:val="20"/>
              </w:rPr>
              <w:t>Description</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tabs>
                <w:tab w:val="left" w:pos="547"/>
              </w:tabs>
              <w:rPr>
                <w:szCs w:val="24"/>
              </w:rPr>
            </w:pPr>
            <w:r w:rsidRPr="002C422C">
              <w:rPr>
                <w:szCs w:val="24"/>
              </w:rPr>
              <w:t>This lime slaking facility is used to mix quicklime with water</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bookmarkStart w:id="1" w:name="Check1"/>
            <w:r w:rsidRPr="002C422C">
              <w:rPr>
                <w:szCs w:val="24"/>
              </w:rPr>
              <w:instrText xml:space="preserve"> FORMCHECKBOX </w:instrText>
            </w:r>
            <w:r w:rsidRPr="002C422C">
              <w:rPr>
                <w:szCs w:val="24"/>
              </w:rPr>
            </w:r>
            <w:r w:rsidRPr="002C422C">
              <w:rPr>
                <w:szCs w:val="24"/>
              </w:rPr>
              <w:fldChar w:fldCharType="end"/>
            </w:r>
            <w:bookmarkEnd w:id="1"/>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1A71CD">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The mixing vessel is horizontal</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The mixing vessel uses interior mechanical agitation parallel to the bottom and agitates the water over the full length of the vessel</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Quicklime is injected into the mixing vessel</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Injection is from a pneumatic transfer system</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tabs>
                <w:tab w:val="left" w:pos="547"/>
              </w:tabs>
              <w:rPr>
                <w:szCs w:val="24"/>
              </w:rPr>
            </w:pPr>
            <w:r w:rsidRPr="002C422C">
              <w:rPr>
                <w:szCs w:val="24"/>
              </w:rPr>
              <w:t>The quicklime is injected at a point at least twelve inches under the surface of the agitated water</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The quicklime is injected by a non-pneumatic conveying system unloading at the top of the vessel</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Emissions from any vent on the vessel are controlled by an appropriately sized wet scrubber</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Table 13 “Wet Scrubbers” is attached</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2C422C" w:rsidRPr="002C422C" w:rsidTr="00464DD1">
        <w:trPr>
          <w:jc w:val="center"/>
        </w:trPr>
        <w:tc>
          <w:tcPr>
            <w:tcW w:w="8640" w:type="dxa"/>
            <w:gridSpan w:val="3"/>
            <w:tcBorders>
              <w:top w:val="single" w:sz="6" w:space="0" w:color="auto"/>
              <w:bottom w:val="single" w:sz="6" w:space="0" w:color="auto"/>
              <w:right w:val="nil"/>
            </w:tcBorders>
            <w:shd w:val="clear" w:color="auto" w:fill="auto"/>
          </w:tcPr>
          <w:p w:rsidR="002C422C" w:rsidRPr="002C422C" w:rsidRDefault="002C422C" w:rsidP="002C422C">
            <w:pPr>
              <w:widowControl w:val="0"/>
              <w:rPr>
                <w:szCs w:val="24"/>
              </w:rPr>
            </w:pPr>
            <w:r w:rsidRPr="002C422C">
              <w:rPr>
                <w:szCs w:val="24"/>
              </w:rPr>
              <w:t>There will be no visible emissions (other than uncombined water) due to the operation</w:t>
            </w:r>
            <w:r>
              <w:rPr>
                <w:szCs w:val="24"/>
              </w:rPr>
              <w:t xml:space="preserve"> </w:t>
            </w:r>
            <w:r w:rsidRPr="002C422C">
              <w:rPr>
                <w:szCs w:val="24"/>
              </w:rPr>
              <w:t>of this facility</w:t>
            </w:r>
          </w:p>
        </w:tc>
        <w:tc>
          <w:tcPr>
            <w:tcW w:w="1260" w:type="dxa"/>
            <w:tcBorders>
              <w:top w:val="single" w:sz="6" w:space="0" w:color="auto"/>
              <w:left w:val="nil"/>
              <w:bottom w:val="single" w:sz="6" w:space="0" w:color="auto"/>
              <w:right w:val="nil"/>
            </w:tcBorders>
            <w:shd w:val="clear" w:color="auto" w:fill="auto"/>
          </w:tcPr>
          <w:p w:rsidR="002C422C" w:rsidRPr="002C422C" w:rsidRDefault="002C422C" w:rsidP="002C422C">
            <w:pPr>
              <w:widowControl w:val="0"/>
              <w:ind w:firstLine="331"/>
              <w:rPr>
                <w:szCs w:val="24"/>
              </w:rPr>
            </w:pPr>
            <w:r w:rsidRPr="002C422C">
              <w:rPr>
                <w:szCs w:val="24"/>
              </w:rPr>
              <w:fldChar w:fldCharType="begin">
                <w:ffData>
                  <w:name w:val="Check1"/>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YES</w:t>
            </w:r>
          </w:p>
        </w:tc>
        <w:tc>
          <w:tcPr>
            <w:tcW w:w="900" w:type="dxa"/>
            <w:tcBorders>
              <w:top w:val="single" w:sz="6" w:space="0" w:color="auto"/>
              <w:left w:val="nil"/>
              <w:bottom w:val="single" w:sz="6" w:space="0" w:color="auto"/>
            </w:tcBorders>
            <w:shd w:val="clear" w:color="auto" w:fill="auto"/>
          </w:tcPr>
          <w:p w:rsidR="002C422C" w:rsidRPr="002C422C" w:rsidRDefault="002C422C" w:rsidP="00FE038C">
            <w:pPr>
              <w:widowControl w:val="0"/>
              <w:rPr>
                <w:szCs w:val="24"/>
              </w:rPr>
            </w:pPr>
            <w:r w:rsidRPr="002C422C">
              <w:rPr>
                <w:szCs w:val="24"/>
              </w:rPr>
              <w:fldChar w:fldCharType="begin">
                <w:ffData>
                  <w:name w:val="Check2"/>
                  <w:enabled/>
                  <w:calcOnExit w:val="0"/>
                  <w:checkBox>
                    <w:sizeAuto/>
                    <w:default w:val="0"/>
                  </w:checkBox>
                </w:ffData>
              </w:fldChar>
            </w:r>
            <w:r w:rsidRPr="002C422C">
              <w:rPr>
                <w:szCs w:val="24"/>
              </w:rPr>
              <w:instrText xml:space="preserve"> FORMCHECKBOX </w:instrText>
            </w:r>
            <w:r w:rsidRPr="002C422C">
              <w:rPr>
                <w:szCs w:val="24"/>
              </w:rPr>
            </w:r>
            <w:r w:rsidRPr="002C422C">
              <w:rPr>
                <w:szCs w:val="24"/>
              </w:rPr>
              <w:fldChar w:fldCharType="end"/>
            </w:r>
            <w:r w:rsidRPr="002C422C">
              <w:rPr>
                <w:szCs w:val="24"/>
              </w:rPr>
              <w:t xml:space="preserve"> NO</w:t>
            </w:r>
          </w:p>
        </w:tc>
      </w:tr>
      <w:tr w:rsidR="00BE083E" w:rsidRPr="002C422C" w:rsidTr="00464DD1">
        <w:trPr>
          <w:jc w:val="center"/>
        </w:trPr>
        <w:tc>
          <w:tcPr>
            <w:tcW w:w="10800" w:type="dxa"/>
            <w:gridSpan w:val="5"/>
            <w:tcBorders>
              <w:top w:val="single" w:sz="6" w:space="0" w:color="auto"/>
            </w:tcBorders>
            <w:shd w:val="clear" w:color="auto" w:fill="auto"/>
          </w:tcPr>
          <w:p w:rsidR="00BE083E" w:rsidRPr="002C422C" w:rsidRDefault="00BE083E" w:rsidP="001A71CD">
            <w:pPr>
              <w:widowControl w:val="0"/>
              <w:rPr>
                <w:szCs w:val="24"/>
              </w:rPr>
            </w:pPr>
            <w:r w:rsidRPr="002C422C">
              <w:rPr>
                <w:szCs w:val="24"/>
              </w:rPr>
              <w:t>Name:</w:t>
            </w:r>
          </w:p>
        </w:tc>
      </w:tr>
      <w:tr w:rsidR="00BE083E" w:rsidRPr="002C422C" w:rsidTr="00464DD1">
        <w:trPr>
          <w:jc w:val="center"/>
        </w:trPr>
        <w:tc>
          <w:tcPr>
            <w:tcW w:w="10800" w:type="dxa"/>
            <w:gridSpan w:val="5"/>
            <w:shd w:val="clear" w:color="auto" w:fill="auto"/>
          </w:tcPr>
          <w:p w:rsidR="00BE083E" w:rsidRPr="002C422C" w:rsidRDefault="002579EB" w:rsidP="001A71CD">
            <w:pPr>
              <w:widowControl w:val="0"/>
              <w:rPr>
                <w:szCs w:val="24"/>
              </w:rPr>
            </w:pPr>
            <w:r w:rsidRPr="002C422C">
              <w:rPr>
                <w:szCs w:val="24"/>
              </w:rPr>
              <w:t>Company:</w:t>
            </w:r>
          </w:p>
        </w:tc>
      </w:tr>
      <w:tr w:rsidR="00BE083E" w:rsidRPr="002C422C" w:rsidTr="00464DD1">
        <w:trPr>
          <w:jc w:val="center"/>
        </w:trPr>
        <w:tc>
          <w:tcPr>
            <w:tcW w:w="10800" w:type="dxa"/>
            <w:gridSpan w:val="5"/>
            <w:shd w:val="clear" w:color="auto" w:fill="auto"/>
          </w:tcPr>
          <w:p w:rsidR="00BE083E" w:rsidRPr="002C422C" w:rsidRDefault="002579EB" w:rsidP="001A71CD">
            <w:pPr>
              <w:widowControl w:val="0"/>
              <w:rPr>
                <w:szCs w:val="24"/>
              </w:rPr>
            </w:pPr>
            <w:r w:rsidRPr="002C422C">
              <w:rPr>
                <w:szCs w:val="24"/>
              </w:rPr>
              <w:t>Title:</w:t>
            </w:r>
          </w:p>
        </w:tc>
      </w:tr>
      <w:tr w:rsidR="00BE083E" w:rsidRPr="002C422C" w:rsidTr="00464DD1">
        <w:trPr>
          <w:jc w:val="center"/>
        </w:trPr>
        <w:tc>
          <w:tcPr>
            <w:tcW w:w="10800" w:type="dxa"/>
            <w:gridSpan w:val="5"/>
            <w:shd w:val="clear" w:color="auto" w:fill="auto"/>
          </w:tcPr>
          <w:p w:rsidR="00BE083E" w:rsidRPr="002C422C" w:rsidRDefault="002579EB" w:rsidP="001A71CD">
            <w:pPr>
              <w:widowControl w:val="0"/>
              <w:rPr>
                <w:szCs w:val="24"/>
              </w:rPr>
            </w:pPr>
            <w:r w:rsidRPr="002C422C">
              <w:rPr>
                <w:szCs w:val="24"/>
              </w:rPr>
              <w:t>Facility Name:</w:t>
            </w:r>
          </w:p>
        </w:tc>
      </w:tr>
      <w:tr w:rsidR="002579EB" w:rsidRPr="002C422C" w:rsidTr="00464DD1">
        <w:trPr>
          <w:jc w:val="center"/>
        </w:trPr>
        <w:tc>
          <w:tcPr>
            <w:tcW w:w="10800" w:type="dxa"/>
            <w:gridSpan w:val="5"/>
            <w:shd w:val="clear" w:color="auto" w:fill="auto"/>
          </w:tcPr>
          <w:p w:rsidR="002579EB" w:rsidRPr="002C422C" w:rsidRDefault="002579EB" w:rsidP="001A71CD">
            <w:pPr>
              <w:widowControl w:val="0"/>
              <w:rPr>
                <w:szCs w:val="24"/>
              </w:rPr>
            </w:pPr>
            <w:r w:rsidRPr="002C422C">
              <w:rPr>
                <w:szCs w:val="24"/>
              </w:rPr>
              <w:t>Location:</w:t>
            </w:r>
          </w:p>
        </w:tc>
      </w:tr>
      <w:tr w:rsidR="002579EB" w:rsidRPr="002C422C" w:rsidTr="00464DD1">
        <w:trPr>
          <w:jc w:val="center"/>
        </w:trPr>
        <w:tc>
          <w:tcPr>
            <w:tcW w:w="5400" w:type="dxa"/>
            <w:shd w:val="clear" w:color="auto" w:fill="auto"/>
          </w:tcPr>
          <w:p w:rsidR="002579EB" w:rsidRPr="002C422C" w:rsidRDefault="002579EB" w:rsidP="001A71CD">
            <w:pPr>
              <w:widowControl w:val="0"/>
              <w:rPr>
                <w:szCs w:val="24"/>
              </w:rPr>
            </w:pPr>
            <w:r w:rsidRPr="002C422C">
              <w:rPr>
                <w:szCs w:val="24"/>
              </w:rPr>
              <w:t>Phone No.:</w:t>
            </w:r>
          </w:p>
        </w:tc>
        <w:tc>
          <w:tcPr>
            <w:tcW w:w="5400" w:type="dxa"/>
            <w:gridSpan w:val="4"/>
            <w:shd w:val="clear" w:color="auto" w:fill="auto"/>
          </w:tcPr>
          <w:p w:rsidR="002579EB" w:rsidRPr="002C422C" w:rsidRDefault="002579EB" w:rsidP="001A71CD">
            <w:pPr>
              <w:widowControl w:val="0"/>
              <w:rPr>
                <w:szCs w:val="24"/>
              </w:rPr>
            </w:pPr>
            <w:r w:rsidRPr="002C422C">
              <w:rPr>
                <w:szCs w:val="24"/>
              </w:rPr>
              <w:t>Fax No.:</w:t>
            </w:r>
          </w:p>
        </w:tc>
      </w:tr>
      <w:tr w:rsidR="002579EB" w:rsidRPr="002C422C" w:rsidTr="00464DD1">
        <w:trPr>
          <w:jc w:val="center"/>
        </w:trPr>
        <w:tc>
          <w:tcPr>
            <w:tcW w:w="5400" w:type="dxa"/>
            <w:shd w:val="clear" w:color="auto" w:fill="auto"/>
          </w:tcPr>
          <w:p w:rsidR="002579EB" w:rsidRPr="002C422C" w:rsidRDefault="002579EB" w:rsidP="001A71CD">
            <w:pPr>
              <w:widowControl w:val="0"/>
              <w:rPr>
                <w:szCs w:val="24"/>
              </w:rPr>
            </w:pPr>
            <w:r w:rsidRPr="002C422C">
              <w:rPr>
                <w:szCs w:val="24"/>
              </w:rPr>
              <w:t>E-mail Address:</w:t>
            </w:r>
          </w:p>
        </w:tc>
        <w:tc>
          <w:tcPr>
            <w:tcW w:w="5400" w:type="dxa"/>
            <w:gridSpan w:val="4"/>
            <w:shd w:val="clear" w:color="auto" w:fill="auto"/>
          </w:tcPr>
          <w:p w:rsidR="002579EB" w:rsidRPr="002C422C" w:rsidRDefault="002579EB" w:rsidP="001A71CD">
            <w:pPr>
              <w:widowControl w:val="0"/>
              <w:rPr>
                <w:szCs w:val="24"/>
              </w:rPr>
            </w:pPr>
            <w:r w:rsidRPr="002C422C">
              <w:rPr>
                <w:szCs w:val="24"/>
              </w:rPr>
              <w:t>Account ID No.:</w:t>
            </w:r>
          </w:p>
        </w:tc>
      </w:tr>
      <w:tr w:rsidR="002579EB" w:rsidRPr="002C422C" w:rsidTr="00464DD1">
        <w:trPr>
          <w:jc w:val="center"/>
        </w:trPr>
        <w:tc>
          <w:tcPr>
            <w:tcW w:w="7380" w:type="dxa"/>
            <w:gridSpan w:val="2"/>
            <w:shd w:val="clear" w:color="auto" w:fill="auto"/>
          </w:tcPr>
          <w:p w:rsidR="002579EB" w:rsidRPr="002C422C" w:rsidRDefault="002579EB" w:rsidP="001A71CD">
            <w:pPr>
              <w:widowControl w:val="0"/>
              <w:rPr>
                <w:szCs w:val="24"/>
              </w:rPr>
            </w:pPr>
            <w:r w:rsidRPr="002C422C">
              <w:rPr>
                <w:szCs w:val="24"/>
              </w:rPr>
              <w:t>Signature of Company Officer:</w:t>
            </w:r>
          </w:p>
        </w:tc>
        <w:tc>
          <w:tcPr>
            <w:tcW w:w="3420" w:type="dxa"/>
            <w:gridSpan w:val="3"/>
            <w:shd w:val="clear" w:color="auto" w:fill="auto"/>
          </w:tcPr>
          <w:p w:rsidR="002579EB" w:rsidRPr="002C422C" w:rsidRDefault="002579EB" w:rsidP="001A71CD">
            <w:pPr>
              <w:widowControl w:val="0"/>
              <w:rPr>
                <w:szCs w:val="24"/>
              </w:rPr>
            </w:pPr>
            <w:r w:rsidRPr="002C422C">
              <w:rPr>
                <w:szCs w:val="24"/>
              </w:rPr>
              <w:t>Date:</w:t>
            </w:r>
          </w:p>
        </w:tc>
      </w:tr>
    </w:tbl>
    <w:p w:rsidR="00E53E4B" w:rsidRPr="002C422C" w:rsidRDefault="00E53E4B" w:rsidP="00625BD9">
      <w:pPr>
        <w:widowControl w:val="0"/>
        <w:rPr>
          <w:szCs w:val="24"/>
        </w:rPr>
      </w:pPr>
    </w:p>
    <w:sectPr w:rsidR="00E53E4B" w:rsidRPr="002C422C" w:rsidSect="00464DD1">
      <w:headerReference w:type="even" r:id="rId11"/>
      <w:headerReference w:type="default" r:id="rId12"/>
      <w:footerReference w:type="even" r:id="rId13"/>
      <w:footerReference w:type="default" r:id="rId14"/>
      <w:footerReference w:type="first" r:id="rId15"/>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80" w:rsidRDefault="00E55180">
      <w:r>
        <w:separator/>
      </w:r>
    </w:p>
  </w:endnote>
  <w:endnote w:type="continuationSeparator" w:id="0">
    <w:p w:rsidR="00E55180" w:rsidRDefault="00E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4B" w:rsidRDefault="00E53E4B">
    <w:pPr>
      <w:widowControl w:val="0"/>
      <w:rPr>
        <w:b/>
        <w:sz w:val="16"/>
      </w:rPr>
    </w:pPr>
    <w:r>
      <w:rPr>
        <w:b/>
        <w:sz w:val="16"/>
      </w:rPr>
      <w:t>TCEQ 10131 [Revised 10/04</w:t>
    </w:r>
    <w:proofErr w:type="gramStart"/>
    <w:r>
      <w:rPr>
        <w:b/>
        <w:sz w:val="16"/>
      </w:rPr>
      <w:t>]</w:t>
    </w:r>
    <w:r>
      <w:rPr>
        <w:sz w:val="16"/>
      </w:rPr>
      <w:t xml:space="preserve"> </w:t>
    </w:r>
    <w:r>
      <w:rPr>
        <w:b/>
        <w:sz w:val="16"/>
      </w:rPr>
      <w:t xml:space="preserve"> 106.374ckl</w:t>
    </w:r>
    <w:proofErr w:type="gramEnd"/>
    <w:r>
      <w:rPr>
        <w:b/>
        <w:sz w:val="16"/>
      </w:rPr>
      <w:t xml:space="preserve"> - Permits by Rule Lime Slaking Facilities </w:t>
    </w:r>
  </w:p>
  <w:p w:rsidR="00E53E4B" w:rsidRDefault="00E53E4B">
    <w:pPr>
      <w:widowControl w:val="0"/>
      <w:rPr>
        <w:b/>
        <w:sz w:val="16"/>
      </w:rPr>
    </w:pPr>
    <w:r>
      <w:rPr>
        <w:b/>
        <w:sz w:val="16"/>
      </w:rPr>
      <w:t xml:space="preserve">106.374 </w:t>
    </w:r>
    <w:proofErr w:type="gramStart"/>
    <w:r>
      <w:rPr>
        <w:b/>
        <w:sz w:val="16"/>
      </w:rPr>
      <w:t>Checklist</w:t>
    </w:r>
    <w:r>
      <w:rPr>
        <w:sz w:val="16"/>
      </w:rPr>
      <w:t xml:space="preserve">  </w:t>
    </w:r>
    <w:r>
      <w:rPr>
        <w:b/>
        <w:sz w:val="16"/>
      </w:rPr>
      <w:t>This</w:t>
    </w:r>
    <w:proofErr w:type="gramEnd"/>
    <w:r>
      <w:rPr>
        <w:b/>
        <w:sz w:val="16"/>
      </w:rPr>
      <w:t xml:space="preserve"> form is for use by sources subject to air quality </w:t>
    </w:r>
  </w:p>
  <w:p w:rsidR="00E53E4B" w:rsidRDefault="00E53E4B">
    <w:pPr>
      <w:widowControl w:val="0"/>
    </w:pPr>
    <w:r>
      <w:rPr>
        <w:b/>
        <w:sz w:val="16"/>
      </w:rPr>
      <w:t>permit requirements and may be revised periodically</w:t>
    </w:r>
    <w:proofErr w:type="gramStart"/>
    <w:r>
      <w:rPr>
        <w:b/>
        <w:sz w:val="16"/>
      </w:rPr>
      <w:t xml:space="preserve">.  </w:t>
    </w:r>
    <w:proofErr w:type="gramEnd"/>
    <w:r>
      <w:rPr>
        <w:b/>
        <w:sz w:val="16"/>
      </w:rPr>
      <w:t>[</w:t>
    </w:r>
    <w:proofErr w:type="gramStart"/>
    <w:r>
      <w:rPr>
        <w:b/>
        <w:sz w:val="16"/>
      </w:rPr>
      <w:t>APDG  5029v3</w:t>
    </w:r>
    <w:proofErr w:type="gramEnd"/>
    <w:r>
      <w:rPr>
        <w:b/>
        <w:sz w:val="16"/>
      </w:rPr>
      <w:t>]</w:t>
    </w:r>
  </w:p>
  <w:p w:rsidR="00E53E4B" w:rsidRDefault="00E53E4B">
    <w:pPr>
      <w:framePr w:w="10800" w:h="186" w:hRule="exact" w:wrap="notBeside" w:vAnchor="page" w:hAnchor="text" w:y="15120"/>
      <w:widowControl w:val="0"/>
      <w:spacing w:line="0" w:lineRule="atLeast"/>
      <w:jc w:val="right"/>
      <w:rPr>
        <w:rFonts w:ascii="Univers" w:hAnsi="Univers"/>
        <w:vanish/>
        <w:sz w:val="22"/>
      </w:rPr>
    </w:pPr>
    <w:r>
      <w:rPr>
        <w:b/>
        <w:sz w:val="16"/>
      </w:rPr>
      <w:t>Page _____ of _____</w:t>
    </w:r>
  </w:p>
  <w:p w:rsidR="00E53E4B" w:rsidRDefault="00E53E4B">
    <w:pPr>
      <w:widowControl w:val="0"/>
      <w:rPr>
        <w:rFonts w:ascii="Univers" w:hAnsi="Univers"/>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4B" w:rsidRDefault="00E53E4B">
    <w:pPr>
      <w:widowControl w:val="0"/>
      <w:rPr>
        <w:b/>
        <w:sz w:val="16"/>
      </w:rPr>
    </w:pPr>
    <w:r>
      <w:rPr>
        <w:b/>
        <w:sz w:val="16"/>
      </w:rPr>
      <w:t>TCEQ 10131 [Revised 10/04</w:t>
    </w:r>
    <w:proofErr w:type="gramStart"/>
    <w:r>
      <w:rPr>
        <w:b/>
        <w:sz w:val="16"/>
      </w:rPr>
      <w:t>]</w:t>
    </w:r>
    <w:r>
      <w:rPr>
        <w:sz w:val="16"/>
      </w:rPr>
      <w:t xml:space="preserve"> </w:t>
    </w:r>
    <w:r>
      <w:rPr>
        <w:b/>
        <w:sz w:val="16"/>
      </w:rPr>
      <w:t xml:space="preserve"> 106.374ckl</w:t>
    </w:r>
    <w:proofErr w:type="gramEnd"/>
    <w:r>
      <w:rPr>
        <w:b/>
        <w:sz w:val="16"/>
      </w:rPr>
      <w:t xml:space="preserve"> - Permits by Rule Lime Slaking Facilities </w:t>
    </w:r>
  </w:p>
  <w:p w:rsidR="00E53E4B" w:rsidRDefault="00E53E4B">
    <w:pPr>
      <w:widowControl w:val="0"/>
      <w:rPr>
        <w:b/>
        <w:sz w:val="16"/>
      </w:rPr>
    </w:pPr>
    <w:r>
      <w:rPr>
        <w:b/>
        <w:sz w:val="16"/>
      </w:rPr>
      <w:t xml:space="preserve">106.374 </w:t>
    </w:r>
    <w:proofErr w:type="gramStart"/>
    <w:r>
      <w:rPr>
        <w:b/>
        <w:sz w:val="16"/>
      </w:rPr>
      <w:t>Checklist</w:t>
    </w:r>
    <w:r>
      <w:rPr>
        <w:sz w:val="16"/>
      </w:rPr>
      <w:t xml:space="preserve">  </w:t>
    </w:r>
    <w:r>
      <w:rPr>
        <w:b/>
        <w:sz w:val="16"/>
      </w:rPr>
      <w:t>This</w:t>
    </w:r>
    <w:proofErr w:type="gramEnd"/>
    <w:r>
      <w:rPr>
        <w:b/>
        <w:sz w:val="16"/>
      </w:rPr>
      <w:t xml:space="preserve"> form is for use by sources subject to air quality </w:t>
    </w:r>
  </w:p>
  <w:p w:rsidR="00E53E4B" w:rsidRDefault="00E53E4B">
    <w:pPr>
      <w:widowControl w:val="0"/>
    </w:pPr>
    <w:r>
      <w:rPr>
        <w:b/>
        <w:sz w:val="16"/>
      </w:rPr>
      <w:t>permit requirements and may be revised periodically</w:t>
    </w:r>
    <w:proofErr w:type="gramStart"/>
    <w:r>
      <w:rPr>
        <w:b/>
        <w:sz w:val="16"/>
      </w:rPr>
      <w:t xml:space="preserve">.  </w:t>
    </w:r>
    <w:proofErr w:type="gramEnd"/>
    <w:r>
      <w:rPr>
        <w:b/>
        <w:sz w:val="16"/>
      </w:rPr>
      <w:t>[</w:t>
    </w:r>
    <w:proofErr w:type="gramStart"/>
    <w:r>
      <w:rPr>
        <w:b/>
        <w:sz w:val="16"/>
      </w:rPr>
      <w:t>APDG  5029v3</w:t>
    </w:r>
    <w:proofErr w:type="gramEnd"/>
    <w:r>
      <w:rPr>
        <w:b/>
        <w:sz w:val="16"/>
      </w:rPr>
      <w:t>]</w:t>
    </w:r>
  </w:p>
  <w:p w:rsidR="00E53E4B" w:rsidRDefault="00E53E4B">
    <w:pPr>
      <w:framePr w:w="10800" w:h="186" w:hRule="exact" w:wrap="notBeside" w:vAnchor="page" w:hAnchor="text" w:y="15120"/>
      <w:widowControl w:val="0"/>
      <w:jc w:val="right"/>
      <w:rPr>
        <w:rFonts w:ascii="Univers" w:hAnsi="Univers"/>
        <w:vanish/>
        <w:sz w:val="22"/>
      </w:rPr>
    </w:pPr>
    <w:r>
      <w:rPr>
        <w:b/>
        <w:sz w:val="16"/>
      </w:rPr>
      <w:t>Page _____ of _____</w:t>
    </w:r>
  </w:p>
  <w:p w:rsidR="00E53E4B" w:rsidRDefault="00E53E4B">
    <w:pPr>
      <w:widowControl w:val="0"/>
      <w:spacing w:line="0" w:lineRule="atLeast"/>
      <w:rPr>
        <w:rFonts w:ascii="Univers" w:hAnsi="Univers"/>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00" w:rsidRDefault="009A5D00" w:rsidP="009A5D00">
    <w:pPr>
      <w:pStyle w:val="Footer"/>
      <w:tabs>
        <w:tab w:val="clear" w:pos="4320"/>
        <w:tab w:val="clear" w:pos="8640"/>
        <w:tab w:val="right" w:pos="10710"/>
      </w:tabs>
      <w:rPr>
        <w:b/>
        <w:sz w:val="16"/>
        <w:szCs w:val="16"/>
      </w:rPr>
    </w:pPr>
    <w:r>
      <w:rPr>
        <w:b/>
        <w:sz w:val="16"/>
        <w:szCs w:val="16"/>
      </w:rPr>
      <w:t xml:space="preserve">TCEQ - 10131 </w:t>
    </w:r>
    <w:r w:rsidR="00625BD9">
      <w:rPr>
        <w:b/>
        <w:sz w:val="16"/>
        <w:szCs w:val="16"/>
      </w:rPr>
      <w:t>PBR Checklist 106.374 Lime Slaking Facilities</w:t>
    </w:r>
    <w:r w:rsidR="00464DD1">
      <w:rPr>
        <w:b/>
        <w:sz w:val="16"/>
        <w:szCs w:val="16"/>
      </w:rPr>
      <w:t xml:space="preserve"> </w:t>
    </w:r>
    <w:r w:rsidR="00464DD1">
      <w:rPr>
        <w:b/>
        <w:sz w:val="16"/>
        <w:szCs w:val="16"/>
      </w:rPr>
      <w:t>(Revised 08/13)</w:t>
    </w:r>
  </w:p>
  <w:p w:rsidR="009A5D00" w:rsidRDefault="009A5D00" w:rsidP="009A5D00">
    <w:pPr>
      <w:pStyle w:val="Footer"/>
      <w:tabs>
        <w:tab w:val="clear" w:pos="4320"/>
        <w:tab w:val="clear" w:pos="8640"/>
        <w:tab w:val="right" w:pos="10710"/>
      </w:tabs>
      <w:rPr>
        <w:b/>
        <w:sz w:val="16"/>
        <w:szCs w:val="16"/>
      </w:rPr>
    </w:pPr>
    <w:r>
      <w:rPr>
        <w:b/>
        <w:sz w:val="16"/>
        <w:szCs w:val="16"/>
      </w:rPr>
      <w:t xml:space="preserve">This form is for use by sources subject to air quality permit requirements and </w:t>
    </w:r>
  </w:p>
  <w:p w:rsidR="009A5D00" w:rsidRPr="009A5D00" w:rsidRDefault="009A5D00" w:rsidP="009A5D00">
    <w:pPr>
      <w:pStyle w:val="Footer"/>
      <w:tabs>
        <w:tab w:val="clear" w:pos="4320"/>
        <w:tab w:val="clear" w:pos="8640"/>
        <w:tab w:val="right" w:pos="10710"/>
      </w:tabs>
      <w:rPr>
        <w:b/>
        <w:sz w:val="16"/>
        <w:szCs w:val="16"/>
      </w:rPr>
    </w:pPr>
    <w:r>
      <w:rPr>
        <w:b/>
        <w:sz w:val="16"/>
        <w:szCs w:val="16"/>
      </w:rPr>
      <w:t>may be revi</w:t>
    </w:r>
    <w:r w:rsidR="006C35FA">
      <w:rPr>
        <w:b/>
        <w:sz w:val="16"/>
        <w:szCs w:val="16"/>
      </w:rPr>
      <w:t>sed periodically</w:t>
    </w:r>
    <w:proofErr w:type="gramStart"/>
    <w:r w:rsidR="006C35FA">
      <w:rPr>
        <w:b/>
        <w:sz w:val="16"/>
        <w:szCs w:val="16"/>
      </w:rPr>
      <w:t xml:space="preserve">. </w:t>
    </w:r>
    <w:proofErr w:type="gramEnd"/>
    <w:r w:rsidR="006C35FA">
      <w:rPr>
        <w:b/>
        <w:sz w:val="16"/>
        <w:szCs w:val="16"/>
      </w:rPr>
      <w:t>(APDG 5029 v5</w:t>
    </w:r>
    <w:r>
      <w:rPr>
        <w:b/>
        <w:sz w:val="16"/>
        <w:szCs w:val="16"/>
      </w:rPr>
      <w:t>)</w:t>
    </w:r>
    <w:r>
      <w:rPr>
        <w:b/>
        <w:sz w:val="16"/>
        <w:szCs w:val="16"/>
      </w:rPr>
      <w:tab/>
    </w:r>
    <w:r w:rsidR="00464DD1" w:rsidRPr="00464DD1">
      <w:rPr>
        <w:b/>
        <w:sz w:val="16"/>
        <w:szCs w:val="16"/>
      </w:rPr>
      <w:t xml:space="preserve">Page </w:t>
    </w:r>
    <w:r w:rsidR="00464DD1" w:rsidRPr="00464DD1">
      <w:rPr>
        <w:b/>
        <w:sz w:val="16"/>
        <w:szCs w:val="16"/>
      </w:rPr>
      <w:fldChar w:fldCharType="begin"/>
    </w:r>
    <w:r w:rsidR="00464DD1" w:rsidRPr="00464DD1">
      <w:rPr>
        <w:b/>
        <w:sz w:val="16"/>
        <w:szCs w:val="16"/>
      </w:rPr>
      <w:instrText xml:space="preserve"> PAGE  \* Arabic  \* MERGEFORMAT </w:instrText>
    </w:r>
    <w:r w:rsidR="00464DD1" w:rsidRPr="00464DD1">
      <w:rPr>
        <w:b/>
        <w:sz w:val="16"/>
        <w:szCs w:val="16"/>
      </w:rPr>
      <w:fldChar w:fldCharType="separate"/>
    </w:r>
    <w:r w:rsidR="00464DD1">
      <w:rPr>
        <w:b/>
        <w:noProof/>
        <w:sz w:val="16"/>
        <w:szCs w:val="16"/>
      </w:rPr>
      <w:t>1</w:t>
    </w:r>
    <w:r w:rsidR="00464DD1" w:rsidRPr="00464DD1">
      <w:rPr>
        <w:b/>
        <w:sz w:val="16"/>
        <w:szCs w:val="16"/>
      </w:rPr>
      <w:fldChar w:fldCharType="end"/>
    </w:r>
    <w:r w:rsidR="00464DD1" w:rsidRPr="00464DD1">
      <w:rPr>
        <w:b/>
        <w:sz w:val="16"/>
        <w:szCs w:val="16"/>
      </w:rPr>
      <w:t xml:space="preserve"> of </w:t>
    </w:r>
    <w:r w:rsidR="00464DD1" w:rsidRPr="00464DD1">
      <w:rPr>
        <w:b/>
        <w:sz w:val="16"/>
        <w:szCs w:val="16"/>
      </w:rPr>
      <w:fldChar w:fldCharType="begin"/>
    </w:r>
    <w:r w:rsidR="00464DD1" w:rsidRPr="00464DD1">
      <w:rPr>
        <w:b/>
        <w:sz w:val="16"/>
        <w:szCs w:val="16"/>
      </w:rPr>
      <w:instrText xml:space="preserve"> NUMPAGES  \* Arabic  \* MERGEFORMAT </w:instrText>
    </w:r>
    <w:r w:rsidR="00464DD1" w:rsidRPr="00464DD1">
      <w:rPr>
        <w:b/>
        <w:sz w:val="16"/>
        <w:szCs w:val="16"/>
      </w:rPr>
      <w:fldChar w:fldCharType="separate"/>
    </w:r>
    <w:r w:rsidR="00464DD1">
      <w:rPr>
        <w:b/>
        <w:noProof/>
        <w:sz w:val="16"/>
        <w:szCs w:val="16"/>
      </w:rPr>
      <w:t>1</w:t>
    </w:r>
    <w:r w:rsidR="00464DD1" w:rsidRPr="00464DD1">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80" w:rsidRDefault="00E55180">
      <w:r>
        <w:separator/>
      </w:r>
    </w:p>
  </w:footnote>
  <w:footnote w:type="continuationSeparator" w:id="0">
    <w:p w:rsidR="00E55180" w:rsidRDefault="00E55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4B" w:rsidRDefault="00E53E4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E4B" w:rsidRDefault="00E53E4B">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51F3D"/>
    <w:multiLevelType w:val="hybridMultilevel"/>
    <w:tmpl w:val="87BA767A"/>
    <w:lvl w:ilvl="0" w:tplc="CDD4DAF4">
      <w:start w:val="1"/>
      <w:numFmt w:val="lowerLetter"/>
      <w:lvlText w:val="(%1.)"/>
      <w:lvlJc w:val="left"/>
      <w:pPr>
        <w:tabs>
          <w:tab w:val="num" w:pos="547"/>
        </w:tabs>
        <w:ind w:left="547" w:hanging="547"/>
      </w:pPr>
      <w:rPr>
        <w:rFonts w:hint="default"/>
      </w:rPr>
    </w:lvl>
    <w:lvl w:ilvl="1" w:tplc="BEDA5D0A">
      <w:start w:val="1"/>
      <w:numFmt w:val="decimal"/>
      <w:lvlText w:val="(%2.)"/>
      <w:lvlJc w:val="left"/>
      <w:pPr>
        <w:tabs>
          <w:tab w:val="num" w:pos="547"/>
        </w:tabs>
        <w:ind w:left="547" w:hanging="547"/>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A70002"/>
    <w:multiLevelType w:val="multilevel"/>
    <w:tmpl w:val="B5D05B1E"/>
    <w:lvl w:ilvl="0">
      <w:start w:val="1"/>
      <w:numFmt w:val="lowerLetter"/>
      <w:lvlText w:val="(%1.)"/>
      <w:lvlJc w:val="left"/>
      <w:pPr>
        <w:tabs>
          <w:tab w:val="num" w:pos="547"/>
        </w:tabs>
        <w:ind w:left="547" w:hanging="547"/>
      </w:pPr>
      <w:rPr>
        <w:rFonts w:hint="default"/>
      </w:rPr>
    </w:lvl>
    <w:lvl w:ilvl="1">
      <w:start w:val="1"/>
      <w:numFmt w:val="decimal"/>
      <w:lvlText w:val="(%2.)"/>
      <w:lvlJc w:val="left"/>
      <w:pPr>
        <w:tabs>
          <w:tab w:val="num" w:pos="2160"/>
        </w:tabs>
        <w:ind w:left="2160" w:hanging="1080"/>
      </w:pPr>
      <w:rPr>
        <w:rFonts w:ascii="Times New Roman" w:hAnsi="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00"/>
    <w:rsid w:val="001A71CD"/>
    <w:rsid w:val="002579EB"/>
    <w:rsid w:val="002C422C"/>
    <w:rsid w:val="00464DD1"/>
    <w:rsid w:val="00625BD9"/>
    <w:rsid w:val="006A58B0"/>
    <w:rsid w:val="006C35FA"/>
    <w:rsid w:val="007F0B09"/>
    <w:rsid w:val="009A5D00"/>
    <w:rsid w:val="00A862FB"/>
    <w:rsid w:val="00BE083E"/>
    <w:rsid w:val="00BE2AA3"/>
    <w:rsid w:val="00E53E4B"/>
    <w:rsid w:val="00E5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5D00"/>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Heading">
    <w:name w:val="Heading"/>
    <w:rPr>
      <w:b/>
      <w:sz w:val="29"/>
    </w:rPr>
  </w:style>
  <w:style w:type="character" w:customStyle="1" w:styleId="RightPar">
    <w:name w:val="Right Par"/>
    <w:basedOn w:val="DefaultParagraphFont"/>
  </w:style>
  <w:style w:type="character" w:customStyle="1" w:styleId="Subheading">
    <w:name w:val="Subheading"/>
    <w:rPr>
      <w:b/>
    </w:rPr>
  </w:style>
  <w:style w:type="paragraph" w:styleId="Footer">
    <w:name w:val="footer"/>
    <w:basedOn w:val="Normal"/>
    <w:rsid w:val="009A5D00"/>
    <w:pPr>
      <w:tabs>
        <w:tab w:val="center" w:pos="4320"/>
        <w:tab w:val="right" w:pos="8640"/>
      </w:tabs>
    </w:pPr>
  </w:style>
  <w:style w:type="table" w:styleId="TableGrid">
    <w:name w:val="Table Grid"/>
    <w:basedOn w:val="TableNormal"/>
    <w:rsid w:val="00BE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22C"/>
    <w:rPr>
      <w:rFonts w:ascii="Tahoma" w:hAnsi="Tahoma" w:cs="Tahoma"/>
      <w:sz w:val="16"/>
      <w:szCs w:val="16"/>
    </w:rPr>
  </w:style>
  <w:style w:type="character" w:customStyle="1" w:styleId="BalloonTextChar">
    <w:name w:val="Balloon Text Char"/>
    <w:basedOn w:val="DefaultParagraphFont"/>
    <w:link w:val="BalloonText"/>
    <w:rsid w:val="002C422C"/>
    <w:rPr>
      <w:rFonts w:ascii="Tahoma" w:hAnsi="Tahoma" w:cs="Tahoma"/>
      <w:sz w:val="16"/>
      <w:szCs w:val="16"/>
    </w:rPr>
  </w:style>
  <w:style w:type="character" w:styleId="Hyperlink">
    <w:name w:val="Hyperlink"/>
    <w:unhideWhenUsed/>
    <w:rsid w:val="006C35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5D00"/>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Heading">
    <w:name w:val="Heading"/>
    <w:rPr>
      <w:b/>
      <w:sz w:val="29"/>
    </w:rPr>
  </w:style>
  <w:style w:type="character" w:customStyle="1" w:styleId="RightPar">
    <w:name w:val="Right Par"/>
    <w:basedOn w:val="DefaultParagraphFont"/>
  </w:style>
  <w:style w:type="character" w:customStyle="1" w:styleId="Subheading">
    <w:name w:val="Subheading"/>
    <w:rPr>
      <w:b/>
    </w:rPr>
  </w:style>
  <w:style w:type="paragraph" w:styleId="Footer">
    <w:name w:val="footer"/>
    <w:basedOn w:val="Normal"/>
    <w:rsid w:val="009A5D00"/>
    <w:pPr>
      <w:tabs>
        <w:tab w:val="center" w:pos="4320"/>
        <w:tab w:val="right" w:pos="8640"/>
      </w:tabs>
    </w:pPr>
  </w:style>
  <w:style w:type="table" w:styleId="TableGrid">
    <w:name w:val="Table Grid"/>
    <w:basedOn w:val="TableNormal"/>
    <w:rsid w:val="00BE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22C"/>
    <w:rPr>
      <w:rFonts w:ascii="Tahoma" w:hAnsi="Tahoma" w:cs="Tahoma"/>
      <w:sz w:val="16"/>
      <w:szCs w:val="16"/>
    </w:rPr>
  </w:style>
  <w:style w:type="character" w:customStyle="1" w:styleId="BalloonTextChar">
    <w:name w:val="Balloon Text Char"/>
    <w:basedOn w:val="DefaultParagraphFont"/>
    <w:link w:val="BalloonText"/>
    <w:rsid w:val="002C422C"/>
    <w:rPr>
      <w:rFonts w:ascii="Tahoma" w:hAnsi="Tahoma" w:cs="Tahoma"/>
      <w:sz w:val="16"/>
      <w:szCs w:val="16"/>
    </w:rPr>
  </w:style>
  <w:style w:type="character" w:styleId="Hyperlink">
    <w:name w:val="Hyperlink"/>
    <w:unhideWhenUsed/>
    <w:rsid w:val="006C3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exasEnviroHelp.org"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Exemption § 106.374 Checklist</dc:title>
  <dc:subject>TCEQ- Exemption § 106.374 Checklist</dc:subject>
  <dc:creator>TCEQ- Exemption § 106.374 Checklist</dc:creator>
  <cp:keywords>standard, exemption, lime, slaking, facilities, application, calculate, emission, mix, quicklime and water</cp:keywords>
  <cp:lastModifiedBy>lacarpen</cp:lastModifiedBy>
  <cp:revision>5</cp:revision>
  <cp:lastPrinted>2008-03-11T18:34:00Z</cp:lastPrinted>
  <dcterms:created xsi:type="dcterms:W3CDTF">2013-06-18T20:45:00Z</dcterms:created>
  <dcterms:modified xsi:type="dcterms:W3CDTF">2013-08-14T11:19:00Z</dcterms:modified>
</cp:coreProperties>
</file>