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26B" w:rsidRDefault="004C0BEC" w:rsidP="004C0BEC">
      <w:pPr>
        <w:pStyle w:val="APDHEADINGI"/>
      </w:pPr>
      <w:r w:rsidRPr="004C0BEC">
        <w:t>Texas Commission on Environmental Quality</w:t>
      </w:r>
    </w:p>
    <w:p w:rsidR="004C0BEC" w:rsidRDefault="004C0BEC" w:rsidP="004C0BEC">
      <w:pPr>
        <w:pStyle w:val="APDHEADINGI"/>
      </w:pPr>
      <w:r>
        <w:t>Form OP-UA49</w:t>
      </w:r>
    </w:p>
    <w:p w:rsidR="004C0BEC" w:rsidRDefault="004C0BEC" w:rsidP="004C0BEC">
      <w:pPr>
        <w:pStyle w:val="APDHEADINGI"/>
      </w:pPr>
      <w:r>
        <w:t>Vacuum Producing System Attributes</w:t>
      </w:r>
    </w:p>
    <w:p w:rsidR="004C0BEC" w:rsidRDefault="004C0BEC" w:rsidP="004C0BEC">
      <w:pPr>
        <w:spacing w:after="600"/>
      </w:pPr>
    </w:p>
    <w:p w:rsidR="004C0BEC" w:rsidRDefault="004C0BEC" w:rsidP="004C0BEC">
      <w:pPr>
        <w:pStyle w:val="APDGENERAL"/>
      </w:pPr>
      <w:r>
        <w:t>General:</w:t>
      </w:r>
    </w:p>
    <w:p w:rsidR="004C0BEC" w:rsidRDefault="004C0BEC" w:rsidP="004C0BEC">
      <w:r w:rsidRPr="004C0BEC">
        <w:t xml:space="preserve">This form is used to provide a description and data pertaining to all vacuum-producing systems in petroleum refineries with potentially applicable requirements associated with a </w:t>
      </w:r>
      <w:proofErr w:type="gramStart"/>
      <w:r w:rsidRPr="004C0BEC">
        <w:t>particular account</w:t>
      </w:r>
      <w:proofErr w:type="gramEnd"/>
      <w:r w:rsidRPr="004C0BEC">
        <w:t xml:space="preserve"> number and application. Each table number, along with the possibility of a corresponding letter (i.e., Table 1a, Table 1b), corresponds to a certain state or federal rule. If the table is not applicable to a vacuum-producing system in a petroleum refinery, then it should be left blank and need not be submitted with the application. If the codes entered by the applicant show negative applicability to that rule or sections of that rule, then the applicant does not have to complete the remainder of the tables that correspond to the rule in question. Further instruction as to which questions should be answered and which questions should not be answered </w:t>
      </w:r>
      <w:proofErr w:type="gramStart"/>
      <w:r w:rsidRPr="004C0BEC">
        <w:t>are located in</w:t>
      </w:r>
      <w:proofErr w:type="gramEnd"/>
      <w:r w:rsidRPr="004C0BEC">
        <w:t xml:space="preserve"> the “Specific” section of the instruction text. The following is a table included in this form:</w:t>
      </w:r>
    </w:p>
    <w:p w:rsidR="008929A6" w:rsidRPr="008929A6" w:rsidRDefault="00C33C80" w:rsidP="008929A6">
      <w:pPr>
        <w:pStyle w:val="APDTABLETITLE"/>
      </w:pPr>
      <w:hyperlink w:anchor="Table_1" w:history="1">
        <w:r w:rsidR="008929A6" w:rsidRPr="001A29AD">
          <w:rPr>
            <w:rStyle w:val="Hyperlink"/>
          </w:rPr>
          <w:t>Table 1:</w:t>
        </w:r>
      </w:hyperlink>
      <w:r w:rsidR="008929A6">
        <w:tab/>
      </w:r>
      <w:r w:rsidR="008929A6" w:rsidRPr="008929A6">
        <w:t>Title 30 Texas Administrative Code Chapter 115 (30 TAC § 115)</w:t>
      </w:r>
    </w:p>
    <w:p w:rsidR="008929A6" w:rsidRPr="008929A6" w:rsidRDefault="008929A6" w:rsidP="00AF4D57">
      <w:pPr>
        <w:pStyle w:val="APDTABLESUBCHAPTER"/>
      </w:pPr>
      <w:r w:rsidRPr="008929A6">
        <w:t>Subchapter D: Process Unit Turnaround and Vacuum-Producing Systems in Petroleum Refineries</w:t>
      </w:r>
    </w:p>
    <w:p w:rsidR="008929A6" w:rsidRDefault="008929A6" w:rsidP="003B60B7">
      <w:pPr>
        <w:spacing w:after="120"/>
      </w:pPr>
      <w:r>
        <w:t xml:space="preserve">The Texas Commission on Environmental Quality (TCEQ) primary account number (XX-XXXX-X) and the application area name from Form OP-1 (Site Information Summary) must appear in the header of each page </w:t>
      </w:r>
      <w:proofErr w:type="gramStart"/>
      <w:r>
        <w:t>for the purpose of</w:t>
      </w:r>
      <w:proofErr w:type="gramEnd"/>
      <w:r>
        <w:t xml:space="preserve"> identification for the initial submittal. The date of the initial form submittal must also be included and should be consistent throughout the application (MM/DD/YYYY). Leave the permit number blank for the initial form submittal. If this form is included as part of the permit revision process, enter the permit number assigned by the TCEQ the area name (from Form OP-1), the date of the revision submittal, and the account number. </w:t>
      </w:r>
    </w:p>
    <w:p w:rsidR="008929A6" w:rsidRDefault="008929A6" w:rsidP="008929A6">
      <w:pPr>
        <w:spacing w:after="120"/>
      </w:pPr>
      <w:r>
        <w:t>Unit attribute questions that do not require a response from all applicants are preceded by qualification criteria in the instructions. If the unit does not meet the qualification criteria, a response to the question is not required. Anytime a response is not required based on the qualification criteria, leave the space on the form blank.</w:t>
      </w:r>
    </w:p>
    <w:p w:rsidR="008929A6" w:rsidRDefault="008929A6" w:rsidP="008929A6">
      <w:pPr>
        <w:spacing w:after="120"/>
      </w:pPr>
      <w:r>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rsidR="004C3BCC" w:rsidRDefault="008929A6" w:rsidP="003B60B7">
      <w:pPr>
        <w:spacing w:after="240"/>
      </w:pPr>
      <w:r>
        <w:t>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(EPA) Administrator before the federal operating permit (FOP) application is submitted.</w:t>
      </w:r>
    </w:p>
    <w:p w:rsidR="004C3BCC" w:rsidRDefault="004C3BCC" w:rsidP="00686353">
      <w:pPr>
        <w:spacing w:before="100" w:beforeAutospacing="1" w:after="100" w:afterAutospacing="1"/>
        <w:sectPr w:rsidR="004C3BCC" w:rsidSect="00D71173">
          <w:footerReference w:type="first" r:id="rId8"/>
          <w:type w:val="continuous"/>
          <w:pgSz w:w="12240" w:h="15840" w:code="1"/>
          <w:pgMar w:top="720" w:right="720" w:bottom="720" w:left="720" w:header="720" w:footer="720" w:gutter="0"/>
          <w:cols w:space="720"/>
          <w:titlePg/>
          <w:docGrid w:linePitch="360"/>
        </w:sectPr>
      </w:pPr>
    </w:p>
    <w:p w:rsidR="003B60B7" w:rsidRDefault="003B60B7" w:rsidP="003660CD">
      <w:pPr>
        <w:tabs>
          <w:tab w:val="right" w:pos="10710"/>
        </w:tabs>
        <w:rPr>
          <w:u w:val="double"/>
        </w:rPr>
      </w:pPr>
      <w:r>
        <w:rPr>
          <w:u w:val="double"/>
        </w:rPr>
        <w:lastRenderedPageBreak/>
        <w:tab/>
      </w:r>
    </w:p>
    <w:p w:rsidR="003B60B7" w:rsidRDefault="003B60B7" w:rsidP="003660CD">
      <w:pPr>
        <w:pStyle w:val="APDSPECIFIC"/>
      </w:pPr>
      <w:r w:rsidRPr="003B60B7">
        <w:t>Specific:</w:t>
      </w:r>
    </w:p>
    <w:p w:rsidR="003B60B7" w:rsidRDefault="003B60B7" w:rsidP="004C3BCC">
      <w:pPr>
        <w:pStyle w:val="APDTABLES1A"/>
      </w:pPr>
      <w:bookmarkStart w:id="0" w:name="Table_1"/>
      <w:r w:rsidRPr="00547F43">
        <w:t>Table 1:</w:t>
      </w:r>
      <w:r w:rsidR="004C3BCC">
        <w:tab/>
        <w:t>Title 30 Texas Administrative Code Chapter 115 (30 TAC § 115)</w:t>
      </w:r>
    </w:p>
    <w:p w:rsidR="004C3BCC" w:rsidRDefault="004C3BCC" w:rsidP="004C3BCC">
      <w:pPr>
        <w:pStyle w:val="APDSUBCHAPTER"/>
      </w:pPr>
      <w:r>
        <w:t>Subchapter D:  Process Unit Turnaround and Vacuum-Producing Systems in Petroleum Refineries</w:t>
      </w:r>
    </w:p>
    <w:bookmarkEnd w:id="0"/>
    <w:p w:rsidR="004C3BCC" w:rsidRDefault="004C3BCC" w:rsidP="004C3BCC">
      <w:pPr>
        <w:pStyle w:val="APDSTARITALICIZED"/>
      </w:pPr>
      <w:r w:rsidRPr="004C3BCC">
        <w:t>Complete only for units in petroleum refineries located in the Beaumont/Port Arthur, Dallas/Fort</w:t>
      </w:r>
      <w:r w:rsidR="00AE2D37">
        <w:t> </w:t>
      </w:r>
      <w:r w:rsidRPr="004C3BCC">
        <w:t>Worth, El Paso, or Houston/Galveston areas or located in Gregg, Nueces, or Victoria counties.</w:t>
      </w:r>
    </w:p>
    <w:p w:rsidR="004C3BCC" w:rsidRDefault="004C3BCC" w:rsidP="004C3BCC">
      <w:pPr>
        <w:rPr>
          <w:b/>
        </w:rPr>
      </w:pPr>
      <w:r>
        <w:rPr>
          <w:b/>
        </w:rPr>
        <w:t>Unit ID No.:</w:t>
      </w:r>
    </w:p>
    <w:p w:rsidR="004C3BCC" w:rsidRDefault="004C3BCC" w:rsidP="00AE2D37">
      <w:pPr>
        <w:spacing w:after="120"/>
      </w:pPr>
      <w:r w:rsidRPr="00AE2D37">
        <w:t>Enter the identification number (ID No.) for the vacuum-producing system (maximum 10 characters as list on Form OP</w:t>
      </w:r>
      <w:r w:rsidR="004E1102">
        <w:noBreakHyphen/>
      </w:r>
      <w:r w:rsidRPr="00AE2D37">
        <w:t>SUM (Individual Unit Summary).</w:t>
      </w:r>
    </w:p>
    <w:p w:rsidR="00AE2D37" w:rsidRDefault="00AE2D37" w:rsidP="004C3BCC">
      <w:pPr>
        <w:rPr>
          <w:b/>
        </w:rPr>
      </w:pPr>
      <w:r>
        <w:rPr>
          <w:b/>
        </w:rPr>
        <w:t>SOP Index No.:</w:t>
      </w:r>
    </w:p>
    <w:p w:rsidR="00AE2D37" w:rsidRDefault="00AE2D37" w:rsidP="00AE2D37">
      <w:pPr>
        <w:spacing w:after="120"/>
      </w:pPr>
      <w:r w:rsidRPr="00AE2D37">
        <w:t>Site operating permit (SOP) applicants should indicate the SOP index number for the unit or group of units (maximum</w:t>
      </w:r>
      <w:r w:rsidR="004E1102">
        <w:t> </w:t>
      </w:r>
      <w:r w:rsidRPr="00AE2D37">
        <w:t>10</w:t>
      </w:r>
      <w:r w:rsidR="004E1102">
        <w:t> </w:t>
      </w:r>
      <w:r w:rsidRPr="00AE2D37">
        <w:t>characters consisting of numeric, alphanumeric characters, and/or dashes prefixed by a code for the applicable regulation [i.e., 60KB-XXXX]). For additional information relating to SOP Index Numbers, please refer to the TCEQ guidance document entitled “Federal Operating Permit Application Guidance Document.”</w:t>
      </w:r>
    </w:p>
    <w:p w:rsidR="00AE2D37" w:rsidRDefault="00AE2D37" w:rsidP="00AE2D37">
      <w:r w:rsidRPr="00AE2D37">
        <w:rPr>
          <w:b/>
        </w:rPr>
        <w:t>Alternate Control Requirement (ACR):</w:t>
      </w:r>
    </w:p>
    <w:p w:rsidR="00AE2D37" w:rsidRDefault="00AE2D37" w:rsidP="00AE2D37">
      <w:pPr>
        <w:spacing w:after="120"/>
      </w:pPr>
      <w:r w:rsidRPr="00AE2D37">
        <w:t>Enter “YES” if the TCEQ Executive Director has approved an ACR demonstrating and documenting compliance. Otherwise, enter “NO.”</w:t>
      </w:r>
    </w:p>
    <w:p w:rsidR="00AE2D37" w:rsidRPr="00AE2D37" w:rsidRDefault="00AE2D37" w:rsidP="00AE2D37">
      <w:pPr>
        <w:rPr>
          <w:b/>
        </w:rPr>
      </w:pPr>
      <w:r w:rsidRPr="00AE2D37">
        <w:rPr>
          <w:b/>
        </w:rPr>
        <w:t>ACR ID No.:</w:t>
      </w:r>
    </w:p>
    <w:p w:rsidR="00AE2D37" w:rsidRDefault="00AE2D37" w:rsidP="008470F2">
      <w:pPr>
        <w:spacing w:after="120"/>
      </w:pPr>
      <w:r w:rsidRPr="00AE2D37">
        <w:t>If an ACR has been approved, then enter the corresponding ACR unique identifier for each unit or process. If the unique identifier is unavailable, then enter the date of the ACR approval letter. The unique identifier and/or the date of the approval letter are contained in the Compliance File under the appropriate account number. Otherwise, leave this column blank.</w:t>
      </w:r>
    </w:p>
    <w:p w:rsidR="008470F2" w:rsidRDefault="002257F8" w:rsidP="000C4FD6">
      <w:pPr>
        <w:pStyle w:val="APDUPSIDEDOWNTRIANGEL"/>
      </w:pPr>
      <w:r>
        <w:t>▼</w:t>
      </w:r>
      <w:r w:rsidR="000C4FD6">
        <w:tab/>
      </w:r>
      <w:r w:rsidR="000C4FD6" w:rsidRPr="000C4FD6">
        <w:t>Continue only if “Alternate Control Requirement” is “NO</w:t>
      </w:r>
      <w:r w:rsidR="000C4FD6">
        <w:t>.</w:t>
      </w:r>
      <w:r w:rsidR="000C4FD6" w:rsidRPr="000C4FD6">
        <w:t>”</w:t>
      </w:r>
    </w:p>
    <w:p w:rsidR="000C4FD6" w:rsidRDefault="000C4FD6" w:rsidP="000C4FD6">
      <w:pPr>
        <w:pStyle w:val="APDSTARBOLD"/>
      </w:pPr>
      <w:r w:rsidRPr="000C4FD6">
        <w:t xml:space="preserve">Complete “Weight of VOC Emitted” only if the petroleum refinery </w:t>
      </w:r>
      <w:proofErr w:type="gramStart"/>
      <w:r w:rsidRPr="000C4FD6">
        <w:t>is located in</w:t>
      </w:r>
      <w:proofErr w:type="gramEnd"/>
      <w:r w:rsidRPr="000C4FD6">
        <w:t xml:space="preserve"> Gregg, Nueces, or Victoria County</w:t>
      </w:r>
      <w:r>
        <w:t>.</w:t>
      </w:r>
    </w:p>
    <w:p w:rsidR="000C4FD6" w:rsidRDefault="000C4FD6" w:rsidP="000C4FD6">
      <w:pPr>
        <w:rPr>
          <w:b/>
        </w:rPr>
      </w:pPr>
      <w:r>
        <w:rPr>
          <w:b/>
        </w:rPr>
        <w:t>Weight of VOC Emitted:</w:t>
      </w:r>
    </w:p>
    <w:p w:rsidR="000C4FD6" w:rsidRDefault="000C4FD6" w:rsidP="000C4FD6">
      <w:pPr>
        <w:spacing w:after="120"/>
      </w:pPr>
      <w:r w:rsidRPr="000C4FD6">
        <w:t>Select one of the following options for the combined weight of VOC emitted by the vacuum-producing system. Enter the code on the form.</w:t>
      </w:r>
    </w:p>
    <w:p w:rsidR="000C4FD6" w:rsidRDefault="000C4FD6" w:rsidP="004E1102">
      <w:pPr>
        <w:pStyle w:val="APDCODEANDDESCRIPTION"/>
      </w:pPr>
      <w:r w:rsidRPr="00F62EFD">
        <w:t>Code</w:t>
      </w:r>
      <w:r w:rsidRPr="00F62EFD">
        <w:tab/>
        <w:t>Description</w:t>
      </w:r>
    </w:p>
    <w:p w:rsidR="00F62EFD" w:rsidRDefault="00F62EFD" w:rsidP="005838B6">
      <w:pPr>
        <w:pStyle w:val="APDCODEAFTER"/>
      </w:pPr>
      <w:r>
        <w:t>100-</w:t>
      </w:r>
      <w:r>
        <w:tab/>
      </w:r>
      <w:r w:rsidRPr="00F62EFD">
        <w:t>Combined weight of VOC is less than or equal to 100 pounds (45.4 kg) in any consecutive 24</w:t>
      </w:r>
      <w:r w:rsidR="00BA0810">
        <w:noBreakHyphen/>
      </w:r>
      <w:r w:rsidRPr="00F62EFD">
        <w:t>hour period</w:t>
      </w:r>
    </w:p>
    <w:p w:rsidR="00F62EFD" w:rsidRDefault="00F62EFD" w:rsidP="005838B6">
      <w:pPr>
        <w:pStyle w:val="APDCODEAFTER"/>
      </w:pPr>
      <w:r>
        <w:t>100+</w:t>
      </w:r>
      <w:r>
        <w:tab/>
      </w:r>
      <w:r w:rsidRPr="00F62EFD">
        <w:t>Combined weight of VOC is greater than 100 pounds (45.4 kg) in any consecutive 24-hour period</w:t>
      </w:r>
    </w:p>
    <w:p w:rsidR="00F62EFD" w:rsidRPr="00F61C3E" w:rsidRDefault="00CD7616" w:rsidP="00CD7616">
      <w:pPr>
        <w:pStyle w:val="APDUPSIDEDOWNTRIANGEL"/>
      </w:pPr>
      <w:bookmarkStart w:id="1" w:name="_Hlk2669407"/>
      <w:r>
        <w:t>▼</w:t>
      </w:r>
      <w:r>
        <w:tab/>
      </w:r>
      <w:r w:rsidR="00F62EFD" w:rsidRPr="00F61C3E">
        <w:t>Do not continue only if “Weight of VOC Emitted” is “100-”.</w:t>
      </w:r>
    </w:p>
    <w:bookmarkEnd w:id="1"/>
    <w:p w:rsidR="000C4FD6" w:rsidRPr="00F61C3E" w:rsidRDefault="00F61C3E" w:rsidP="00F61C3E">
      <w:pPr>
        <w:rPr>
          <w:b/>
        </w:rPr>
      </w:pPr>
      <w:r w:rsidRPr="00F61C3E">
        <w:rPr>
          <w:b/>
        </w:rPr>
        <w:t>Steam Ejector or Mechanical Vacuum Pump</w:t>
      </w:r>
      <w:r>
        <w:rPr>
          <w:b/>
        </w:rPr>
        <w:t>:</w:t>
      </w:r>
    </w:p>
    <w:p w:rsidR="00F61C3E" w:rsidRDefault="00F61C3E" w:rsidP="000C4FD6">
      <w:pPr>
        <w:spacing w:after="120"/>
      </w:pPr>
      <w:r w:rsidRPr="00F61C3E">
        <w:t>Enter “YES” if the vacuum-producing system contains a steam ejector or mechanical vacuum pump. Otherwise, enter</w:t>
      </w:r>
      <w:r w:rsidR="00BA0810">
        <w:t> </w:t>
      </w:r>
      <w:r w:rsidRPr="00F61C3E">
        <w:t>“NO.”</w:t>
      </w:r>
    </w:p>
    <w:p w:rsidR="00F61C3E" w:rsidRDefault="00F61C3E" w:rsidP="00BA0810">
      <w:pPr>
        <w:rPr>
          <w:b/>
        </w:rPr>
      </w:pPr>
      <w:proofErr w:type="spellStart"/>
      <w:r w:rsidRPr="00F61C3E">
        <w:rPr>
          <w:b/>
        </w:rPr>
        <w:t>Hotwell</w:t>
      </w:r>
      <w:proofErr w:type="spellEnd"/>
      <w:r w:rsidRPr="00F61C3E">
        <w:rPr>
          <w:b/>
        </w:rPr>
        <w:t xml:space="preserve"> With Contact Condenser:</w:t>
      </w:r>
    </w:p>
    <w:p w:rsidR="00F61C3E" w:rsidRDefault="00F61C3E" w:rsidP="00BA0810">
      <w:pPr>
        <w:spacing w:after="120"/>
      </w:pPr>
      <w:r w:rsidRPr="00BA0810">
        <w:t xml:space="preserve">Enter “YES” if the vacuum-producing system contains a </w:t>
      </w:r>
      <w:proofErr w:type="spellStart"/>
      <w:r w:rsidRPr="00BA0810">
        <w:t>hotwell</w:t>
      </w:r>
      <w:proofErr w:type="spellEnd"/>
      <w:r w:rsidRPr="00BA0810">
        <w:t xml:space="preserve"> with a contact condenser. Otherwise, enter “NO</w:t>
      </w:r>
      <w:r w:rsidR="00BA0810" w:rsidRPr="00BA0810">
        <w:t>.”</w:t>
      </w:r>
    </w:p>
    <w:p w:rsidR="00D71173" w:rsidRDefault="00D71173" w:rsidP="00234D76">
      <w:pPr>
        <w:rPr>
          <w:b/>
        </w:rPr>
        <w:sectPr w:rsidR="00D71173" w:rsidSect="00F61C3E">
          <w:headerReference w:type="first" r:id="rId9"/>
          <w:pgSz w:w="12240" w:h="15840" w:code="1"/>
          <w:pgMar w:top="720" w:right="720" w:bottom="720" w:left="720" w:header="720" w:footer="720" w:gutter="0"/>
          <w:cols w:space="720"/>
          <w:titlePg/>
          <w:docGrid w:linePitch="360"/>
        </w:sectPr>
      </w:pPr>
    </w:p>
    <w:p w:rsidR="00BA0810" w:rsidRDefault="00234D76" w:rsidP="00234D76">
      <w:pPr>
        <w:rPr>
          <w:b/>
        </w:rPr>
      </w:pPr>
      <w:r w:rsidRPr="00234D76">
        <w:rPr>
          <w:b/>
        </w:rPr>
        <w:lastRenderedPageBreak/>
        <w:t>Control Device:</w:t>
      </w:r>
    </w:p>
    <w:p w:rsidR="00234D76" w:rsidRDefault="00234D76" w:rsidP="00234D76">
      <w:pPr>
        <w:spacing w:after="120"/>
      </w:pPr>
      <w:r w:rsidRPr="00234D76">
        <w:t>Select one of the following options for the type of control device. Enter the code on the form.</w:t>
      </w:r>
    </w:p>
    <w:p w:rsidR="00234D76" w:rsidRDefault="00234D76" w:rsidP="004E1102">
      <w:pPr>
        <w:pStyle w:val="APDCODEANDDESCRIPTION"/>
      </w:pPr>
      <w:r>
        <w:t>Code</w:t>
      </w:r>
      <w:r>
        <w:tab/>
        <w:t>Description</w:t>
      </w:r>
    </w:p>
    <w:p w:rsidR="00234D76" w:rsidRPr="004E1102" w:rsidRDefault="00AA2403" w:rsidP="005838B6">
      <w:pPr>
        <w:pStyle w:val="APDCODEAFTER"/>
      </w:pPr>
      <w:r w:rsidRPr="004E1102">
        <w:t>NCIN</w:t>
      </w:r>
      <w:r w:rsidRPr="004E1102">
        <w:tab/>
      </w:r>
      <w:r w:rsidR="004E1102" w:rsidRPr="004E1102">
        <w:t>Direct flame incinerator at a temperature greater than or equal to 1300EF (704EC)</w:t>
      </w:r>
    </w:p>
    <w:p w:rsidR="004E1102" w:rsidRPr="004E1102" w:rsidRDefault="004E1102" w:rsidP="005838B6">
      <w:pPr>
        <w:pStyle w:val="APDCODEAFTER"/>
      </w:pPr>
      <w:r w:rsidRPr="004E1102">
        <w:t>FLARE</w:t>
      </w:r>
      <w:r w:rsidRPr="004E1102">
        <w:tab/>
        <w:t>Smokeless flare</w:t>
      </w:r>
    </w:p>
    <w:p w:rsidR="004E1102" w:rsidRPr="004E1102" w:rsidRDefault="004E1102" w:rsidP="005838B6">
      <w:pPr>
        <w:pStyle w:val="APDCODEAFTER"/>
      </w:pPr>
      <w:r w:rsidRPr="004E1102">
        <w:t>CATINC</w:t>
      </w:r>
      <w:r w:rsidRPr="004E1102">
        <w:tab/>
        <w:t>Catalytic incinerator or chiller</w:t>
      </w:r>
    </w:p>
    <w:p w:rsidR="004E1102" w:rsidRDefault="004E1102" w:rsidP="005838B6">
      <w:pPr>
        <w:pStyle w:val="APDCODEAFTER"/>
      </w:pPr>
      <w:r w:rsidRPr="004E1102">
        <w:t>CADS</w:t>
      </w:r>
      <w:r w:rsidRPr="004E1102">
        <w:tab/>
        <w:t>Carbon adsorption system as defined in 30 TAC § 115</w:t>
      </w:r>
    </w:p>
    <w:p w:rsidR="005838B6" w:rsidRDefault="004E1102" w:rsidP="005838B6">
      <w:pPr>
        <w:pStyle w:val="APDCODEAFTER"/>
      </w:pPr>
      <w:r>
        <w:t>VAP</w:t>
      </w:r>
      <w:r>
        <w:tab/>
        <w:t>Any other vapor recovery system</w:t>
      </w:r>
    </w:p>
    <w:p w:rsidR="005838B6" w:rsidRDefault="005838B6" w:rsidP="005838B6">
      <w:pPr>
        <w:rPr>
          <w:b/>
        </w:rPr>
      </w:pPr>
      <w:r w:rsidRPr="00935B34">
        <w:rPr>
          <w:b/>
        </w:rPr>
        <w:t>Control Device ID No.:</w:t>
      </w:r>
    </w:p>
    <w:p w:rsidR="005838B6" w:rsidRPr="00935B34" w:rsidRDefault="005838B6" w:rsidP="005838B6">
      <w:r w:rsidRPr="00D71173">
        <w:t xml:space="preserve">If applicable, enter the </w:t>
      </w:r>
      <w:r w:rsidR="00880A07">
        <w:t>identification number (</w:t>
      </w:r>
      <w:r w:rsidRPr="00D71173">
        <w:t>ID No.</w:t>
      </w:r>
      <w:r w:rsidR="00880A07">
        <w:t>)</w:t>
      </w:r>
      <w:bookmarkStart w:id="2" w:name="_GoBack"/>
      <w:bookmarkEnd w:id="2"/>
      <w:r w:rsidRPr="00D71173">
        <w:t xml:space="preserve"> for the control device (maximum 10 characters) to which emissions are routed. This number should be consistent with the control device identification number listed on Form OP-SUM.</w:t>
      </w:r>
    </w:p>
    <w:p w:rsidR="005838B6" w:rsidRDefault="005838B6" w:rsidP="005838B6">
      <w:pPr>
        <w:pStyle w:val="APDCODEAFTER"/>
      </w:pPr>
    </w:p>
    <w:p w:rsidR="005838B6" w:rsidRDefault="005838B6" w:rsidP="005838B6">
      <w:pPr>
        <w:sectPr w:rsidR="005838B6" w:rsidSect="00F61C3E">
          <w:footerReference w:type="first" r:id="rId10"/>
          <w:pgSz w:w="12240" w:h="15840" w:code="1"/>
          <w:pgMar w:top="720" w:right="720" w:bottom="720" w:left="720" w:header="720" w:footer="720" w:gutter="0"/>
          <w:cols w:space="720"/>
          <w:titlePg/>
          <w:docGrid w:linePitch="360"/>
        </w:sectPr>
      </w:pPr>
    </w:p>
    <w:p w:rsidR="00C07334" w:rsidRPr="00C07334" w:rsidRDefault="00C07334" w:rsidP="00C07334">
      <w:pPr>
        <w:pStyle w:val="APDHEADING1ONFORMS"/>
      </w:pPr>
      <w:r w:rsidRPr="00C07334">
        <w:lastRenderedPageBreak/>
        <w:t>Texas Commission on Environmental Quality</w:t>
      </w:r>
    </w:p>
    <w:p w:rsidR="00C07334" w:rsidRPr="00C07334" w:rsidRDefault="00C07334" w:rsidP="00C07334">
      <w:pPr>
        <w:pStyle w:val="APDHEADING1ONFORMS"/>
      </w:pPr>
      <w:r w:rsidRPr="00C07334">
        <w:t>Vacuum-Producing System Attributes Form OP-UA49</w:t>
      </w:r>
    </w:p>
    <w:p w:rsidR="00C07334" w:rsidRPr="00C07334" w:rsidRDefault="00C07334" w:rsidP="00C07334">
      <w:pPr>
        <w:pStyle w:val="APDHEADING1ONFORMS"/>
      </w:pPr>
      <w:r w:rsidRPr="00C07334">
        <w:t>Federal Operating Permit Program</w:t>
      </w:r>
    </w:p>
    <w:p w:rsidR="00935B34" w:rsidRDefault="00C07334" w:rsidP="00C07334">
      <w:pPr>
        <w:pStyle w:val="APDHEADING1ONFORMS"/>
      </w:pPr>
      <w:r w:rsidRPr="00C07334">
        <w:t>Table 1: Title 30 Texas Administrative Code Chapter 115 (30 TAC Chapter 115) Subchapter D: Process Unit Turnaround and Vacuum-Producing Systems in Petroleum Refineries</w:t>
      </w:r>
    </w:p>
    <w:p w:rsidR="00C07334" w:rsidRDefault="00C07334" w:rsidP="00C07334">
      <w:pPr>
        <w:spacing w:before="360"/>
      </w:pPr>
    </w:p>
    <w:tbl>
      <w:tblPr>
        <w:tblStyle w:val="TableGrid10"/>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 Title 30 Texas Administrative Code Chapter 115 (30 TAC Chapter 115) Subchapter D: Process Unit Turnaround and Vacuum-Producing Systems in Petroleum Refineries"/>
      </w:tblPr>
      <w:tblGrid>
        <w:gridCol w:w="7201"/>
        <w:gridCol w:w="7199"/>
      </w:tblGrid>
      <w:tr w:rsidR="00C07334" w:rsidRPr="00C07334" w:rsidTr="00C2238A">
        <w:trPr>
          <w:cantSplit/>
          <w:tblHeader/>
          <w:jc w:val="center"/>
        </w:trPr>
        <w:tc>
          <w:tcPr>
            <w:tcW w:w="7178" w:type="dxa"/>
            <w:shd w:val="clear" w:color="auto" w:fill="D9D9D9" w:themeFill="background1" w:themeFillShade="D9"/>
          </w:tcPr>
          <w:p w:rsidR="00C07334" w:rsidRPr="00C07334" w:rsidRDefault="00C07334" w:rsidP="00C07334">
            <w:pPr>
              <w:rPr>
                <w:rFonts w:cs="Times New Roman"/>
                <w:b/>
              </w:rPr>
            </w:pPr>
            <w:bookmarkStart w:id="3" w:name="_Hlk2328284"/>
            <w:r w:rsidRPr="00C07334">
              <w:rPr>
                <w:rFonts w:cs="Times New Roman"/>
                <w:b/>
              </w:rPr>
              <w:t>Date:</w:t>
            </w:r>
          </w:p>
        </w:tc>
        <w:tc>
          <w:tcPr>
            <w:tcW w:w="7176" w:type="dxa"/>
          </w:tcPr>
          <w:p w:rsidR="00C07334" w:rsidRPr="00C07334" w:rsidRDefault="00C07334" w:rsidP="00C07334">
            <w:pPr>
              <w:rPr>
                <w:rFonts w:cs="Times New Roman"/>
                <w:b/>
              </w:rPr>
            </w:pPr>
          </w:p>
        </w:tc>
      </w:tr>
      <w:tr w:rsidR="00C07334" w:rsidRPr="00C07334" w:rsidTr="00C2238A">
        <w:trPr>
          <w:cantSplit/>
          <w:tblHeader/>
          <w:jc w:val="center"/>
        </w:trPr>
        <w:tc>
          <w:tcPr>
            <w:tcW w:w="7178" w:type="dxa"/>
            <w:shd w:val="clear" w:color="auto" w:fill="D9D9D9" w:themeFill="background1" w:themeFillShade="D9"/>
          </w:tcPr>
          <w:p w:rsidR="00C07334" w:rsidRPr="00C07334" w:rsidRDefault="00C07334" w:rsidP="00C07334">
            <w:pPr>
              <w:rPr>
                <w:rFonts w:cs="Times New Roman"/>
                <w:b/>
              </w:rPr>
            </w:pPr>
            <w:r w:rsidRPr="00C07334">
              <w:rPr>
                <w:rFonts w:cs="Times New Roman"/>
                <w:b/>
              </w:rPr>
              <w:t>Permit No.:</w:t>
            </w:r>
          </w:p>
        </w:tc>
        <w:tc>
          <w:tcPr>
            <w:tcW w:w="7176" w:type="dxa"/>
          </w:tcPr>
          <w:p w:rsidR="00C07334" w:rsidRPr="00C07334" w:rsidRDefault="00C07334" w:rsidP="00C07334">
            <w:pPr>
              <w:rPr>
                <w:rFonts w:cs="Times New Roman"/>
                <w:b/>
              </w:rPr>
            </w:pPr>
          </w:p>
        </w:tc>
      </w:tr>
      <w:tr w:rsidR="00C07334" w:rsidRPr="00C07334" w:rsidTr="00C2238A">
        <w:trPr>
          <w:cantSplit/>
          <w:tblHeader/>
          <w:jc w:val="center"/>
        </w:trPr>
        <w:tc>
          <w:tcPr>
            <w:tcW w:w="7178" w:type="dxa"/>
            <w:shd w:val="clear" w:color="auto" w:fill="D9D9D9" w:themeFill="background1" w:themeFillShade="D9"/>
          </w:tcPr>
          <w:p w:rsidR="00C07334" w:rsidRPr="00C07334" w:rsidRDefault="00C07334" w:rsidP="00C07334">
            <w:pPr>
              <w:rPr>
                <w:rFonts w:cs="Times New Roman"/>
                <w:b/>
              </w:rPr>
            </w:pPr>
            <w:r w:rsidRPr="00C07334">
              <w:rPr>
                <w:rFonts w:cs="Times New Roman"/>
                <w:b/>
              </w:rPr>
              <w:t>Customer Reference No.:</w:t>
            </w:r>
          </w:p>
        </w:tc>
        <w:tc>
          <w:tcPr>
            <w:tcW w:w="7176" w:type="dxa"/>
          </w:tcPr>
          <w:p w:rsidR="00C07334" w:rsidRPr="00C07334" w:rsidRDefault="00C07334" w:rsidP="00C07334">
            <w:pPr>
              <w:rPr>
                <w:rFonts w:cs="Times New Roman"/>
                <w:b/>
              </w:rPr>
            </w:pPr>
          </w:p>
        </w:tc>
      </w:tr>
      <w:tr w:rsidR="00C07334" w:rsidRPr="00C07334" w:rsidTr="00C2238A">
        <w:trPr>
          <w:cantSplit/>
          <w:tblHeader/>
          <w:jc w:val="center"/>
        </w:trPr>
        <w:tc>
          <w:tcPr>
            <w:tcW w:w="7178" w:type="dxa"/>
            <w:shd w:val="clear" w:color="auto" w:fill="D9D9D9" w:themeFill="background1" w:themeFillShade="D9"/>
          </w:tcPr>
          <w:p w:rsidR="00C07334" w:rsidRPr="00C07334" w:rsidRDefault="00C07334" w:rsidP="00C07334">
            <w:pPr>
              <w:rPr>
                <w:rFonts w:cs="Times New Roman"/>
                <w:b/>
              </w:rPr>
            </w:pPr>
            <w:r w:rsidRPr="00C07334">
              <w:rPr>
                <w:rFonts w:cs="Times New Roman"/>
                <w:b/>
              </w:rPr>
              <w:t>Regulated Entity No.:</w:t>
            </w:r>
          </w:p>
        </w:tc>
        <w:tc>
          <w:tcPr>
            <w:tcW w:w="7176" w:type="dxa"/>
          </w:tcPr>
          <w:p w:rsidR="00C07334" w:rsidRPr="00C07334" w:rsidRDefault="00C07334" w:rsidP="00C07334">
            <w:pPr>
              <w:rPr>
                <w:rFonts w:cs="Times New Roman"/>
                <w:b/>
              </w:rPr>
            </w:pPr>
          </w:p>
        </w:tc>
      </w:tr>
      <w:tr w:rsidR="00C07334" w:rsidRPr="00C07334" w:rsidTr="00C2238A">
        <w:trPr>
          <w:cantSplit/>
          <w:tblHeader/>
          <w:jc w:val="center"/>
        </w:trPr>
        <w:tc>
          <w:tcPr>
            <w:tcW w:w="7178" w:type="dxa"/>
            <w:shd w:val="clear" w:color="auto" w:fill="D9D9D9" w:themeFill="background1" w:themeFillShade="D9"/>
          </w:tcPr>
          <w:p w:rsidR="00C07334" w:rsidRPr="00C07334" w:rsidRDefault="00C07334" w:rsidP="00C07334">
            <w:pPr>
              <w:rPr>
                <w:rFonts w:cs="Times New Roman"/>
                <w:b/>
              </w:rPr>
            </w:pPr>
            <w:r w:rsidRPr="00C07334">
              <w:rPr>
                <w:rFonts w:cs="Times New Roman"/>
                <w:b/>
              </w:rPr>
              <w:t>Area Name:</w:t>
            </w:r>
          </w:p>
        </w:tc>
        <w:tc>
          <w:tcPr>
            <w:tcW w:w="7176" w:type="dxa"/>
          </w:tcPr>
          <w:p w:rsidR="00C07334" w:rsidRPr="00C07334" w:rsidRDefault="00C07334" w:rsidP="00C07334">
            <w:pPr>
              <w:rPr>
                <w:rFonts w:cs="Times New Roman"/>
                <w:b/>
              </w:rPr>
            </w:pPr>
          </w:p>
        </w:tc>
      </w:tr>
      <w:bookmarkEnd w:id="3"/>
    </w:tbl>
    <w:p w:rsidR="00C07334" w:rsidRDefault="00C07334" w:rsidP="00C07334"/>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620" w:firstRow="1" w:lastRow="0" w:firstColumn="0" w:lastColumn="0" w:noHBand="1" w:noVBand="1"/>
        <w:tblDescription w:val="Table 1: Title 30 Texas Administrative Code Chapter 115 (30 TAC Chapter 115) Subchapter D: Process Unit Turnaround and Vacuum-Producing Systems in Petroleum Refineries"/>
      </w:tblPr>
      <w:tblGrid>
        <w:gridCol w:w="1596"/>
        <w:gridCol w:w="1911"/>
        <w:gridCol w:w="1600"/>
        <w:gridCol w:w="1440"/>
        <w:gridCol w:w="1276"/>
        <w:gridCol w:w="1472"/>
        <w:gridCol w:w="1439"/>
        <w:gridCol w:w="1833"/>
        <w:gridCol w:w="1833"/>
      </w:tblGrid>
      <w:tr w:rsidR="001420B7" w:rsidRPr="001420B7" w:rsidTr="00D918EC">
        <w:trPr>
          <w:cantSplit/>
          <w:trHeight w:val="20"/>
          <w:tblHeader/>
          <w:jc w:val="center"/>
        </w:trPr>
        <w:tc>
          <w:tcPr>
            <w:tcW w:w="1596" w:type="dxa"/>
            <w:tcBorders>
              <w:top w:val="double" w:sz="6" w:space="0" w:color="000000"/>
              <w:bottom w:val="single" w:sz="6" w:space="0" w:color="000000"/>
            </w:tcBorders>
            <w:shd w:val="clear" w:color="auto" w:fill="D9D9D9" w:themeFill="background1" w:themeFillShade="D9"/>
            <w:vAlign w:val="center"/>
          </w:tcPr>
          <w:p w:rsidR="001420B7" w:rsidRPr="00C07334" w:rsidRDefault="001420B7" w:rsidP="00C07334">
            <w:pPr>
              <w:widowControl w:val="0"/>
              <w:jc w:val="center"/>
              <w:rPr>
                <w:rFonts w:cs="Times New Roman"/>
                <w:b/>
                <w:sz w:val="20"/>
                <w:szCs w:val="20"/>
              </w:rPr>
            </w:pPr>
            <w:bookmarkStart w:id="4" w:name="_Hlk2328486"/>
            <w:r w:rsidRPr="00C07334">
              <w:rPr>
                <w:rFonts w:cs="Times New Roman"/>
                <w:b/>
                <w:sz w:val="20"/>
                <w:szCs w:val="20"/>
              </w:rPr>
              <w:t>Unit ID No.</w:t>
            </w:r>
          </w:p>
        </w:tc>
        <w:tc>
          <w:tcPr>
            <w:tcW w:w="1911" w:type="dxa"/>
            <w:tcBorders>
              <w:top w:val="double" w:sz="6" w:space="0" w:color="000000"/>
              <w:bottom w:val="single" w:sz="6" w:space="0" w:color="000000"/>
            </w:tcBorders>
            <w:shd w:val="clear" w:color="auto" w:fill="D9D9D9" w:themeFill="background1" w:themeFillShade="D9"/>
            <w:vAlign w:val="center"/>
          </w:tcPr>
          <w:p w:rsidR="001420B7" w:rsidRPr="00C07334" w:rsidRDefault="001420B7" w:rsidP="00C07334">
            <w:pPr>
              <w:widowControl w:val="0"/>
              <w:jc w:val="center"/>
              <w:rPr>
                <w:rFonts w:cs="Times New Roman"/>
                <w:b/>
                <w:sz w:val="20"/>
                <w:szCs w:val="20"/>
              </w:rPr>
            </w:pPr>
            <w:r w:rsidRPr="00C07334">
              <w:rPr>
                <w:rFonts w:cs="Times New Roman"/>
                <w:b/>
                <w:sz w:val="20"/>
                <w:szCs w:val="20"/>
              </w:rPr>
              <w:t>SOP/GOP Index No.</w:t>
            </w:r>
          </w:p>
        </w:tc>
        <w:tc>
          <w:tcPr>
            <w:tcW w:w="1600" w:type="dxa"/>
            <w:tcBorders>
              <w:top w:val="double" w:sz="6" w:space="0" w:color="000000"/>
              <w:bottom w:val="single" w:sz="6" w:space="0" w:color="000000"/>
            </w:tcBorders>
            <w:shd w:val="clear" w:color="auto" w:fill="D9D9D9" w:themeFill="background1" w:themeFillShade="D9"/>
            <w:vAlign w:val="center"/>
          </w:tcPr>
          <w:p w:rsidR="001420B7" w:rsidRPr="00C07334" w:rsidRDefault="001420B7" w:rsidP="00C07334">
            <w:pPr>
              <w:widowControl w:val="0"/>
              <w:jc w:val="center"/>
              <w:rPr>
                <w:rFonts w:cs="Times New Roman"/>
                <w:b/>
                <w:sz w:val="20"/>
                <w:szCs w:val="20"/>
              </w:rPr>
            </w:pPr>
            <w:r w:rsidRPr="001420B7">
              <w:rPr>
                <w:rFonts w:cs="Times New Roman"/>
                <w:b/>
                <w:sz w:val="20"/>
                <w:szCs w:val="20"/>
              </w:rPr>
              <w:t>Alternate Control Requirement (ACR)</w:t>
            </w:r>
          </w:p>
        </w:tc>
        <w:tc>
          <w:tcPr>
            <w:tcW w:w="1440" w:type="dxa"/>
            <w:tcBorders>
              <w:top w:val="double" w:sz="6" w:space="0" w:color="000000"/>
              <w:bottom w:val="single" w:sz="6" w:space="0" w:color="000000"/>
            </w:tcBorders>
            <w:shd w:val="clear" w:color="auto" w:fill="D9D9D9" w:themeFill="background1" w:themeFillShade="D9"/>
            <w:vAlign w:val="center"/>
          </w:tcPr>
          <w:p w:rsidR="001420B7" w:rsidRPr="00C07334" w:rsidRDefault="001420B7" w:rsidP="00C07334">
            <w:pPr>
              <w:widowControl w:val="0"/>
              <w:jc w:val="center"/>
              <w:rPr>
                <w:rFonts w:cs="Times New Roman"/>
                <w:b/>
                <w:sz w:val="20"/>
                <w:szCs w:val="20"/>
              </w:rPr>
            </w:pPr>
            <w:r w:rsidRPr="001420B7">
              <w:rPr>
                <w:rFonts w:cs="Times New Roman"/>
                <w:b/>
                <w:sz w:val="20"/>
                <w:szCs w:val="20"/>
              </w:rPr>
              <w:t>ACR ID No.</w:t>
            </w:r>
          </w:p>
        </w:tc>
        <w:tc>
          <w:tcPr>
            <w:tcW w:w="1276" w:type="dxa"/>
            <w:tcBorders>
              <w:top w:val="double" w:sz="6" w:space="0" w:color="000000"/>
              <w:bottom w:val="single" w:sz="6" w:space="0" w:color="000000"/>
            </w:tcBorders>
            <w:shd w:val="clear" w:color="auto" w:fill="D9D9D9" w:themeFill="background1" w:themeFillShade="D9"/>
            <w:vAlign w:val="center"/>
          </w:tcPr>
          <w:p w:rsidR="001420B7" w:rsidRPr="00C07334" w:rsidRDefault="001420B7" w:rsidP="00C07334">
            <w:pPr>
              <w:widowControl w:val="0"/>
              <w:jc w:val="center"/>
              <w:rPr>
                <w:rFonts w:cs="Times New Roman"/>
                <w:b/>
                <w:sz w:val="20"/>
                <w:szCs w:val="20"/>
              </w:rPr>
            </w:pPr>
            <w:r w:rsidRPr="001420B7">
              <w:rPr>
                <w:rFonts w:cs="Times New Roman"/>
                <w:b/>
                <w:sz w:val="20"/>
                <w:szCs w:val="20"/>
              </w:rPr>
              <w:t>Weight of VOC Emitted</w:t>
            </w:r>
          </w:p>
        </w:tc>
        <w:tc>
          <w:tcPr>
            <w:tcW w:w="1472" w:type="dxa"/>
            <w:tcBorders>
              <w:top w:val="double" w:sz="6" w:space="0" w:color="000000"/>
              <w:bottom w:val="single" w:sz="6" w:space="0" w:color="000000"/>
            </w:tcBorders>
            <w:shd w:val="clear" w:color="auto" w:fill="D9D9D9" w:themeFill="background1" w:themeFillShade="D9"/>
            <w:vAlign w:val="center"/>
          </w:tcPr>
          <w:p w:rsidR="001420B7" w:rsidRPr="00C07334" w:rsidRDefault="001420B7" w:rsidP="00C07334">
            <w:pPr>
              <w:widowControl w:val="0"/>
              <w:jc w:val="center"/>
              <w:rPr>
                <w:rFonts w:cs="Times New Roman"/>
                <w:b/>
                <w:sz w:val="20"/>
                <w:szCs w:val="20"/>
              </w:rPr>
            </w:pPr>
            <w:r w:rsidRPr="001420B7">
              <w:rPr>
                <w:rFonts w:cs="Times New Roman"/>
                <w:b/>
                <w:sz w:val="20"/>
                <w:szCs w:val="20"/>
              </w:rPr>
              <w:t>Steam Ejector or Mechanical Vacuum Pump</w:t>
            </w:r>
          </w:p>
        </w:tc>
        <w:tc>
          <w:tcPr>
            <w:tcW w:w="1439" w:type="dxa"/>
            <w:tcBorders>
              <w:top w:val="double" w:sz="6" w:space="0" w:color="000000"/>
              <w:bottom w:val="single" w:sz="6" w:space="0" w:color="000000"/>
            </w:tcBorders>
            <w:shd w:val="clear" w:color="auto" w:fill="D9D9D9" w:themeFill="background1" w:themeFillShade="D9"/>
            <w:vAlign w:val="center"/>
          </w:tcPr>
          <w:p w:rsidR="001420B7" w:rsidRPr="00C07334" w:rsidRDefault="001420B7" w:rsidP="00C07334">
            <w:pPr>
              <w:widowControl w:val="0"/>
              <w:jc w:val="center"/>
              <w:rPr>
                <w:rFonts w:cs="Times New Roman"/>
                <w:b/>
                <w:sz w:val="20"/>
                <w:szCs w:val="20"/>
              </w:rPr>
            </w:pPr>
            <w:proofErr w:type="spellStart"/>
            <w:r w:rsidRPr="001420B7">
              <w:rPr>
                <w:rFonts w:cs="Times New Roman"/>
                <w:b/>
                <w:sz w:val="20"/>
                <w:szCs w:val="20"/>
              </w:rPr>
              <w:t>Hotwell</w:t>
            </w:r>
            <w:proofErr w:type="spellEnd"/>
            <w:r w:rsidRPr="001420B7">
              <w:rPr>
                <w:rFonts w:cs="Times New Roman"/>
                <w:b/>
                <w:sz w:val="20"/>
                <w:szCs w:val="20"/>
              </w:rPr>
              <w:t xml:space="preserve"> with a Contact Condenser</w:t>
            </w:r>
          </w:p>
        </w:tc>
        <w:tc>
          <w:tcPr>
            <w:tcW w:w="1833" w:type="dxa"/>
            <w:tcBorders>
              <w:top w:val="double" w:sz="6" w:space="0" w:color="000000"/>
              <w:bottom w:val="single" w:sz="6" w:space="0" w:color="000000"/>
            </w:tcBorders>
            <w:shd w:val="clear" w:color="auto" w:fill="D9D9D9" w:themeFill="background1" w:themeFillShade="D9"/>
            <w:vAlign w:val="center"/>
          </w:tcPr>
          <w:p w:rsidR="001420B7" w:rsidRPr="00C07334" w:rsidRDefault="001420B7" w:rsidP="001420B7">
            <w:pPr>
              <w:widowControl w:val="0"/>
              <w:jc w:val="center"/>
              <w:rPr>
                <w:rFonts w:cs="Times New Roman"/>
                <w:b/>
                <w:sz w:val="20"/>
                <w:szCs w:val="20"/>
              </w:rPr>
            </w:pPr>
            <w:r w:rsidRPr="001420B7">
              <w:rPr>
                <w:rFonts w:cs="Times New Roman"/>
                <w:b/>
                <w:sz w:val="20"/>
                <w:szCs w:val="20"/>
              </w:rPr>
              <w:t>Control Device</w:t>
            </w:r>
          </w:p>
        </w:tc>
        <w:tc>
          <w:tcPr>
            <w:tcW w:w="1833" w:type="dxa"/>
            <w:tcBorders>
              <w:top w:val="double" w:sz="6" w:space="0" w:color="000000"/>
              <w:bottom w:val="single" w:sz="6" w:space="0" w:color="000000"/>
            </w:tcBorders>
            <w:shd w:val="clear" w:color="auto" w:fill="D9D9D9" w:themeFill="background1" w:themeFillShade="D9"/>
          </w:tcPr>
          <w:p w:rsidR="001420B7" w:rsidRPr="001420B7" w:rsidRDefault="001420B7" w:rsidP="001420B7">
            <w:pPr>
              <w:widowControl w:val="0"/>
              <w:jc w:val="center"/>
              <w:rPr>
                <w:rFonts w:cs="Times New Roman"/>
                <w:b/>
                <w:sz w:val="20"/>
                <w:szCs w:val="20"/>
              </w:rPr>
            </w:pPr>
            <w:r w:rsidRPr="001420B7">
              <w:rPr>
                <w:rFonts w:cs="Times New Roman"/>
                <w:b/>
                <w:sz w:val="20"/>
                <w:szCs w:val="20"/>
              </w:rPr>
              <w:t>Control Device ID No.</w:t>
            </w:r>
          </w:p>
        </w:tc>
      </w:tr>
      <w:tr w:rsidR="001420B7" w:rsidRPr="00C07334" w:rsidTr="00D918EC">
        <w:trPr>
          <w:cantSplit/>
          <w:trHeight w:val="288"/>
          <w:jc w:val="center"/>
        </w:trPr>
        <w:tc>
          <w:tcPr>
            <w:tcW w:w="159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911"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60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4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27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72"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39"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r>
      <w:tr w:rsidR="001420B7" w:rsidRPr="00C07334" w:rsidTr="00D918EC">
        <w:trPr>
          <w:cantSplit/>
          <w:trHeight w:val="288"/>
          <w:jc w:val="center"/>
        </w:trPr>
        <w:tc>
          <w:tcPr>
            <w:tcW w:w="159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911"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60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4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27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72"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39"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r>
      <w:tr w:rsidR="001420B7" w:rsidRPr="00C07334" w:rsidTr="00D918EC">
        <w:trPr>
          <w:cantSplit/>
          <w:trHeight w:val="288"/>
          <w:jc w:val="center"/>
        </w:trPr>
        <w:tc>
          <w:tcPr>
            <w:tcW w:w="159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911"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60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4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27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72"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39"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r>
      <w:tr w:rsidR="001420B7" w:rsidRPr="00C07334" w:rsidTr="00D918EC">
        <w:trPr>
          <w:cantSplit/>
          <w:trHeight w:val="288"/>
          <w:jc w:val="center"/>
        </w:trPr>
        <w:tc>
          <w:tcPr>
            <w:tcW w:w="159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911"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60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4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27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72"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39"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r>
      <w:tr w:rsidR="001420B7" w:rsidRPr="00C07334" w:rsidTr="00D918EC">
        <w:trPr>
          <w:cantSplit/>
          <w:trHeight w:val="288"/>
          <w:jc w:val="center"/>
        </w:trPr>
        <w:tc>
          <w:tcPr>
            <w:tcW w:w="159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911"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60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4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27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72"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39"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r>
      <w:tr w:rsidR="001420B7" w:rsidRPr="00C07334" w:rsidTr="00D918EC">
        <w:trPr>
          <w:cantSplit/>
          <w:trHeight w:val="288"/>
          <w:jc w:val="center"/>
        </w:trPr>
        <w:tc>
          <w:tcPr>
            <w:tcW w:w="159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911"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60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4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27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72"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39"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r>
      <w:tr w:rsidR="001420B7" w:rsidRPr="00C07334" w:rsidTr="00D918EC">
        <w:trPr>
          <w:cantSplit/>
          <w:trHeight w:val="288"/>
          <w:jc w:val="center"/>
        </w:trPr>
        <w:tc>
          <w:tcPr>
            <w:tcW w:w="159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911"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60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4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27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72"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39"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r>
      <w:tr w:rsidR="001420B7" w:rsidRPr="00C07334" w:rsidTr="00D918EC">
        <w:trPr>
          <w:cantSplit/>
          <w:trHeight w:val="288"/>
          <w:jc w:val="center"/>
        </w:trPr>
        <w:tc>
          <w:tcPr>
            <w:tcW w:w="159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911"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60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4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27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72"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39"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r>
      <w:tr w:rsidR="001420B7" w:rsidRPr="00C07334" w:rsidTr="00D918EC">
        <w:trPr>
          <w:cantSplit/>
          <w:trHeight w:val="288"/>
          <w:jc w:val="center"/>
        </w:trPr>
        <w:tc>
          <w:tcPr>
            <w:tcW w:w="159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911"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60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40"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276"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72"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439"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single" w:sz="6" w:space="0" w:color="000000"/>
            </w:tcBorders>
          </w:tcPr>
          <w:p w:rsidR="001420B7" w:rsidRPr="00C07334" w:rsidRDefault="001420B7" w:rsidP="001420B7">
            <w:pPr>
              <w:widowControl w:val="0"/>
              <w:rPr>
                <w:rFonts w:cs="Times New Roman"/>
                <w:b/>
                <w:sz w:val="20"/>
                <w:szCs w:val="22"/>
              </w:rPr>
            </w:pPr>
          </w:p>
        </w:tc>
      </w:tr>
      <w:tr w:rsidR="001420B7" w:rsidRPr="00C07334" w:rsidTr="00D918EC">
        <w:trPr>
          <w:cantSplit/>
          <w:trHeight w:val="288"/>
          <w:jc w:val="center"/>
        </w:trPr>
        <w:tc>
          <w:tcPr>
            <w:tcW w:w="1596" w:type="dxa"/>
            <w:tcBorders>
              <w:top w:val="single" w:sz="6" w:space="0" w:color="000000"/>
              <w:bottom w:val="double" w:sz="6" w:space="0" w:color="000000"/>
            </w:tcBorders>
          </w:tcPr>
          <w:p w:rsidR="001420B7" w:rsidRPr="00C07334" w:rsidRDefault="001420B7" w:rsidP="001420B7">
            <w:pPr>
              <w:widowControl w:val="0"/>
              <w:rPr>
                <w:rFonts w:cs="Times New Roman"/>
                <w:b/>
                <w:sz w:val="20"/>
                <w:szCs w:val="22"/>
              </w:rPr>
            </w:pPr>
          </w:p>
        </w:tc>
        <w:tc>
          <w:tcPr>
            <w:tcW w:w="1911" w:type="dxa"/>
            <w:tcBorders>
              <w:top w:val="single" w:sz="6" w:space="0" w:color="000000"/>
              <w:bottom w:val="double" w:sz="6" w:space="0" w:color="000000"/>
            </w:tcBorders>
          </w:tcPr>
          <w:p w:rsidR="001420B7" w:rsidRPr="00C07334" w:rsidRDefault="001420B7" w:rsidP="001420B7">
            <w:pPr>
              <w:widowControl w:val="0"/>
              <w:rPr>
                <w:rFonts w:cs="Times New Roman"/>
                <w:b/>
                <w:sz w:val="20"/>
                <w:szCs w:val="22"/>
              </w:rPr>
            </w:pPr>
          </w:p>
        </w:tc>
        <w:tc>
          <w:tcPr>
            <w:tcW w:w="1600" w:type="dxa"/>
            <w:tcBorders>
              <w:top w:val="single" w:sz="6" w:space="0" w:color="000000"/>
              <w:bottom w:val="double" w:sz="6" w:space="0" w:color="000000"/>
            </w:tcBorders>
          </w:tcPr>
          <w:p w:rsidR="001420B7" w:rsidRPr="00C07334" w:rsidRDefault="001420B7" w:rsidP="001420B7">
            <w:pPr>
              <w:widowControl w:val="0"/>
              <w:rPr>
                <w:rFonts w:cs="Times New Roman"/>
                <w:b/>
                <w:sz w:val="20"/>
                <w:szCs w:val="22"/>
              </w:rPr>
            </w:pPr>
          </w:p>
        </w:tc>
        <w:tc>
          <w:tcPr>
            <w:tcW w:w="1440" w:type="dxa"/>
            <w:tcBorders>
              <w:top w:val="single" w:sz="6" w:space="0" w:color="000000"/>
              <w:bottom w:val="double" w:sz="6" w:space="0" w:color="000000"/>
            </w:tcBorders>
          </w:tcPr>
          <w:p w:rsidR="001420B7" w:rsidRPr="00C07334" w:rsidRDefault="001420B7" w:rsidP="001420B7">
            <w:pPr>
              <w:widowControl w:val="0"/>
              <w:rPr>
                <w:rFonts w:cs="Times New Roman"/>
                <w:b/>
                <w:sz w:val="20"/>
                <w:szCs w:val="22"/>
              </w:rPr>
            </w:pPr>
          </w:p>
        </w:tc>
        <w:tc>
          <w:tcPr>
            <w:tcW w:w="1276" w:type="dxa"/>
            <w:tcBorders>
              <w:top w:val="single" w:sz="6" w:space="0" w:color="000000"/>
              <w:bottom w:val="double" w:sz="6" w:space="0" w:color="000000"/>
            </w:tcBorders>
          </w:tcPr>
          <w:p w:rsidR="001420B7" w:rsidRPr="00C07334" w:rsidRDefault="001420B7" w:rsidP="001420B7">
            <w:pPr>
              <w:widowControl w:val="0"/>
              <w:rPr>
                <w:rFonts w:cs="Times New Roman"/>
                <w:b/>
                <w:sz w:val="20"/>
                <w:szCs w:val="22"/>
              </w:rPr>
            </w:pPr>
          </w:p>
        </w:tc>
        <w:tc>
          <w:tcPr>
            <w:tcW w:w="1472" w:type="dxa"/>
            <w:tcBorders>
              <w:top w:val="single" w:sz="6" w:space="0" w:color="000000"/>
              <w:bottom w:val="double" w:sz="6" w:space="0" w:color="000000"/>
            </w:tcBorders>
          </w:tcPr>
          <w:p w:rsidR="001420B7" w:rsidRPr="00C07334" w:rsidRDefault="001420B7" w:rsidP="001420B7">
            <w:pPr>
              <w:widowControl w:val="0"/>
              <w:rPr>
                <w:rFonts w:cs="Times New Roman"/>
                <w:b/>
                <w:sz w:val="20"/>
                <w:szCs w:val="22"/>
              </w:rPr>
            </w:pPr>
          </w:p>
        </w:tc>
        <w:tc>
          <w:tcPr>
            <w:tcW w:w="1439" w:type="dxa"/>
            <w:tcBorders>
              <w:top w:val="single" w:sz="6" w:space="0" w:color="000000"/>
              <w:bottom w:val="doub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double" w:sz="6" w:space="0" w:color="000000"/>
            </w:tcBorders>
          </w:tcPr>
          <w:p w:rsidR="001420B7" w:rsidRPr="00C07334" w:rsidRDefault="001420B7" w:rsidP="001420B7">
            <w:pPr>
              <w:widowControl w:val="0"/>
              <w:rPr>
                <w:rFonts w:cs="Times New Roman"/>
                <w:b/>
                <w:sz w:val="20"/>
                <w:szCs w:val="22"/>
              </w:rPr>
            </w:pPr>
          </w:p>
        </w:tc>
        <w:tc>
          <w:tcPr>
            <w:tcW w:w="1833" w:type="dxa"/>
            <w:tcBorders>
              <w:top w:val="single" w:sz="6" w:space="0" w:color="000000"/>
              <w:bottom w:val="double" w:sz="6" w:space="0" w:color="000000"/>
            </w:tcBorders>
          </w:tcPr>
          <w:p w:rsidR="001420B7" w:rsidRPr="00C07334" w:rsidRDefault="001420B7" w:rsidP="001420B7">
            <w:pPr>
              <w:widowControl w:val="0"/>
              <w:rPr>
                <w:rFonts w:cs="Times New Roman"/>
                <w:b/>
                <w:sz w:val="20"/>
                <w:szCs w:val="22"/>
              </w:rPr>
            </w:pPr>
          </w:p>
        </w:tc>
      </w:tr>
      <w:bookmarkEnd w:id="4"/>
    </w:tbl>
    <w:p w:rsidR="00C07334" w:rsidRPr="00C07334" w:rsidRDefault="00C07334" w:rsidP="00C07334"/>
    <w:sectPr w:rsidR="00C07334" w:rsidRPr="00C07334" w:rsidSect="00C07334">
      <w:footerReference w:type="first" r:id="rId11"/>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C80" w:rsidRDefault="00C33C80" w:rsidP="00E52C9A">
      <w:r>
        <w:separator/>
      </w:r>
    </w:p>
  </w:endnote>
  <w:endnote w:type="continuationSeparator" w:id="0">
    <w:p w:rsidR="00C33C80" w:rsidRDefault="00C33C80"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353" w:rsidRDefault="00686353">
    <w:pPr>
      <w:pStyle w:val="Footer"/>
      <w:rPr>
        <w:b/>
        <w:sz w:val="16"/>
        <w:szCs w:val="16"/>
      </w:rPr>
    </w:pPr>
    <w:r>
      <w:rPr>
        <w:b/>
        <w:sz w:val="16"/>
        <w:szCs w:val="16"/>
      </w:rPr>
      <w:t>TCEQ - 10292</w:t>
    </w:r>
    <w:r w:rsidR="00912BE1">
      <w:rPr>
        <w:b/>
        <w:sz w:val="16"/>
        <w:szCs w:val="16"/>
      </w:rPr>
      <w:t xml:space="preserve"> (APDG6009v1, revised 03/19) OP-UA49</w:t>
    </w:r>
  </w:p>
  <w:p w:rsidR="00912BE1" w:rsidRDefault="00912BE1">
    <w:pPr>
      <w:pStyle w:val="Footer"/>
      <w:rPr>
        <w:b/>
        <w:sz w:val="16"/>
        <w:szCs w:val="16"/>
      </w:rPr>
    </w:pPr>
    <w:r>
      <w:rPr>
        <w:b/>
        <w:sz w:val="16"/>
        <w:szCs w:val="16"/>
      </w:rPr>
      <w:t>This form is for use by facilities subject to air quality permit requirement and</w:t>
    </w:r>
  </w:p>
  <w:p w:rsidR="00912BE1" w:rsidRPr="00686353" w:rsidRDefault="00912BE1" w:rsidP="00C07334">
    <w:pPr>
      <w:pStyle w:val="Footer"/>
      <w:tabs>
        <w:tab w:val="clear" w:pos="4320"/>
        <w:tab w:val="clear" w:pos="8640"/>
        <w:tab w:val="right" w:pos="10710"/>
      </w:tabs>
      <w:rPr>
        <w:b/>
        <w:sz w:val="16"/>
        <w:szCs w:val="16"/>
      </w:rPr>
    </w:pPr>
    <w:r>
      <w:rPr>
        <w:b/>
        <w:sz w:val="16"/>
        <w:szCs w:val="16"/>
      </w:rPr>
      <w:t>may be revised periodically. (Title V release 10/99)</w:t>
    </w:r>
    <w:r w:rsidR="00C07334">
      <w:rPr>
        <w:b/>
        <w:sz w:val="16"/>
        <w:szCs w:val="16"/>
      </w:rPr>
      <w:tab/>
    </w:r>
    <w:r w:rsidR="00C07334" w:rsidRPr="00C07334">
      <w:rPr>
        <w:b/>
        <w:sz w:val="16"/>
        <w:szCs w:val="16"/>
      </w:rPr>
      <w:t xml:space="preserve">Page </w:t>
    </w:r>
    <w:r w:rsidR="00C07334" w:rsidRPr="00C07334">
      <w:rPr>
        <w:b/>
        <w:bCs/>
        <w:sz w:val="16"/>
        <w:szCs w:val="16"/>
      </w:rPr>
      <w:fldChar w:fldCharType="begin"/>
    </w:r>
    <w:r w:rsidR="00C07334" w:rsidRPr="00C07334">
      <w:rPr>
        <w:b/>
        <w:bCs/>
        <w:sz w:val="16"/>
        <w:szCs w:val="16"/>
      </w:rPr>
      <w:instrText xml:space="preserve"> PAGE  \* Arabic  \* MERGEFORMAT </w:instrText>
    </w:r>
    <w:r w:rsidR="00C07334" w:rsidRPr="00C07334">
      <w:rPr>
        <w:b/>
        <w:bCs/>
        <w:sz w:val="16"/>
        <w:szCs w:val="16"/>
      </w:rPr>
      <w:fldChar w:fldCharType="separate"/>
    </w:r>
    <w:r w:rsidR="00C07334" w:rsidRPr="00C07334">
      <w:rPr>
        <w:b/>
        <w:bCs/>
        <w:noProof/>
        <w:sz w:val="16"/>
        <w:szCs w:val="16"/>
      </w:rPr>
      <w:t>1</w:t>
    </w:r>
    <w:r w:rsidR="00C07334" w:rsidRPr="00C07334">
      <w:rPr>
        <w:b/>
        <w:bCs/>
        <w:sz w:val="16"/>
        <w:szCs w:val="16"/>
      </w:rPr>
      <w:fldChar w:fldCharType="end"/>
    </w:r>
    <w:r w:rsidR="00C07334" w:rsidRPr="00C07334">
      <w:rPr>
        <w:b/>
        <w:sz w:val="16"/>
        <w:szCs w:val="16"/>
      </w:rPr>
      <w:t xml:space="preserve"> of </w:t>
    </w:r>
    <w:r w:rsidR="00C07334" w:rsidRPr="00C07334">
      <w:rPr>
        <w:b/>
        <w:bCs/>
        <w:sz w:val="16"/>
        <w:szCs w:val="16"/>
      </w:rPr>
      <w:fldChar w:fldCharType="begin"/>
    </w:r>
    <w:r w:rsidR="00C07334" w:rsidRPr="00C07334">
      <w:rPr>
        <w:b/>
        <w:bCs/>
        <w:sz w:val="16"/>
        <w:szCs w:val="16"/>
      </w:rPr>
      <w:instrText xml:space="preserve"> NUMPAGES  \* Arabic  \* MERGEFORMAT </w:instrText>
    </w:r>
    <w:r w:rsidR="00C07334" w:rsidRPr="00C07334">
      <w:rPr>
        <w:b/>
        <w:bCs/>
        <w:sz w:val="16"/>
        <w:szCs w:val="16"/>
      </w:rPr>
      <w:fldChar w:fldCharType="separate"/>
    </w:r>
    <w:r w:rsidR="00C07334" w:rsidRPr="00C07334">
      <w:rPr>
        <w:b/>
        <w:bCs/>
        <w:noProof/>
        <w:sz w:val="16"/>
        <w:szCs w:val="16"/>
      </w:rPr>
      <w:t>2</w:t>
    </w:r>
    <w:r w:rsidR="00C07334" w:rsidRPr="00C07334">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334" w:rsidRDefault="00C07334">
    <w:pPr>
      <w:pStyle w:val="Footer"/>
      <w:rPr>
        <w:b/>
        <w:sz w:val="16"/>
        <w:szCs w:val="16"/>
      </w:rPr>
    </w:pPr>
    <w:r>
      <w:rPr>
        <w:b/>
        <w:sz w:val="16"/>
        <w:szCs w:val="16"/>
      </w:rPr>
      <w:t>TCEQ - 10292 (APDG6009v1, revised 03/19) OP-UA49</w:t>
    </w:r>
  </w:p>
  <w:p w:rsidR="00C07334" w:rsidRDefault="00C07334">
    <w:pPr>
      <w:pStyle w:val="Footer"/>
      <w:rPr>
        <w:b/>
        <w:sz w:val="16"/>
        <w:szCs w:val="16"/>
      </w:rPr>
    </w:pPr>
    <w:r>
      <w:rPr>
        <w:b/>
        <w:sz w:val="16"/>
        <w:szCs w:val="16"/>
      </w:rPr>
      <w:t>This form is for use by facilities subject to air quality permit requirement and</w:t>
    </w:r>
  </w:p>
  <w:p w:rsidR="00C07334" w:rsidRPr="00686353" w:rsidRDefault="00C07334" w:rsidP="00C07334">
    <w:pPr>
      <w:pStyle w:val="Footer"/>
      <w:tabs>
        <w:tab w:val="clear" w:pos="4320"/>
        <w:tab w:val="clear" w:pos="8640"/>
        <w:tab w:val="right" w:pos="10710"/>
      </w:tabs>
      <w:rPr>
        <w:b/>
        <w:sz w:val="16"/>
        <w:szCs w:val="16"/>
      </w:rPr>
    </w:pPr>
    <w:r>
      <w:rPr>
        <w:b/>
        <w:sz w:val="16"/>
        <w:szCs w:val="16"/>
      </w:rPr>
      <w:t>may be revised periodically. (Title V release 10/99)</w:t>
    </w:r>
    <w:r>
      <w:rPr>
        <w:b/>
        <w:sz w:val="16"/>
        <w:szCs w:val="16"/>
      </w:rPr>
      <w:tab/>
    </w:r>
    <w:r w:rsidRPr="00C07334">
      <w:rPr>
        <w:b/>
        <w:sz w:val="16"/>
        <w:szCs w:val="16"/>
      </w:rPr>
      <w:t xml:space="preserve">Page </w:t>
    </w:r>
    <w:r w:rsidRPr="00C07334">
      <w:rPr>
        <w:b/>
        <w:bCs/>
        <w:sz w:val="16"/>
        <w:szCs w:val="16"/>
      </w:rPr>
      <w:fldChar w:fldCharType="begin"/>
    </w:r>
    <w:r w:rsidRPr="00C07334">
      <w:rPr>
        <w:b/>
        <w:bCs/>
        <w:sz w:val="16"/>
        <w:szCs w:val="16"/>
      </w:rPr>
      <w:instrText xml:space="preserve"> PAGE  \* Arabic  \* MERGEFORMAT </w:instrText>
    </w:r>
    <w:r w:rsidRPr="00C07334">
      <w:rPr>
        <w:b/>
        <w:bCs/>
        <w:sz w:val="16"/>
        <w:szCs w:val="16"/>
      </w:rPr>
      <w:fldChar w:fldCharType="separate"/>
    </w:r>
    <w:r w:rsidRPr="00C07334">
      <w:rPr>
        <w:b/>
        <w:bCs/>
        <w:noProof/>
        <w:sz w:val="16"/>
        <w:szCs w:val="16"/>
      </w:rPr>
      <w:t>1</w:t>
    </w:r>
    <w:r w:rsidRPr="00C07334">
      <w:rPr>
        <w:b/>
        <w:bCs/>
        <w:sz w:val="16"/>
        <w:szCs w:val="16"/>
      </w:rPr>
      <w:fldChar w:fldCharType="end"/>
    </w:r>
    <w:r w:rsidRPr="00C07334">
      <w:rPr>
        <w:b/>
        <w:sz w:val="16"/>
        <w:szCs w:val="16"/>
      </w:rPr>
      <w:t xml:space="preserve"> of </w:t>
    </w:r>
    <w:r>
      <w:rPr>
        <w:b/>
        <w:bCs/>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334" w:rsidRDefault="00C07334" w:rsidP="00C07334">
    <w:pPr>
      <w:pStyle w:val="Footer"/>
      <w:tabs>
        <w:tab w:val="clear" w:pos="4320"/>
        <w:tab w:val="clear" w:pos="8640"/>
        <w:tab w:val="right" w:pos="14220"/>
      </w:tabs>
      <w:rPr>
        <w:b/>
        <w:sz w:val="16"/>
        <w:szCs w:val="16"/>
      </w:rPr>
    </w:pPr>
    <w:r>
      <w:rPr>
        <w:b/>
        <w:sz w:val="16"/>
        <w:szCs w:val="16"/>
      </w:rPr>
      <w:t>TCEQ - 10292 (APDG6009v1, revised 03/19) OP-UA49</w:t>
    </w:r>
  </w:p>
  <w:p w:rsidR="00C07334" w:rsidRDefault="00C07334">
    <w:pPr>
      <w:pStyle w:val="Footer"/>
      <w:rPr>
        <w:b/>
        <w:sz w:val="16"/>
        <w:szCs w:val="16"/>
      </w:rPr>
    </w:pPr>
    <w:r>
      <w:rPr>
        <w:b/>
        <w:sz w:val="16"/>
        <w:szCs w:val="16"/>
      </w:rPr>
      <w:t>This form is for use by facilities subject to air quality permit requirement and</w:t>
    </w:r>
  </w:p>
  <w:p w:rsidR="00C07334" w:rsidRPr="00686353" w:rsidRDefault="00C07334" w:rsidP="00C07334">
    <w:pPr>
      <w:pStyle w:val="Footer"/>
      <w:tabs>
        <w:tab w:val="clear" w:pos="4320"/>
        <w:tab w:val="clear" w:pos="8640"/>
        <w:tab w:val="right" w:pos="14310"/>
      </w:tabs>
      <w:rPr>
        <w:b/>
        <w:sz w:val="16"/>
        <w:szCs w:val="16"/>
      </w:rPr>
    </w:pPr>
    <w:r>
      <w:rPr>
        <w:b/>
        <w:sz w:val="16"/>
        <w:szCs w:val="16"/>
      </w:rPr>
      <w:t>may be revised periodically. (Title V release 10/99)</w:t>
    </w:r>
    <w:r>
      <w:rPr>
        <w:b/>
        <w:sz w:val="16"/>
        <w:szCs w:val="16"/>
      </w:rPr>
      <w:tab/>
    </w:r>
    <w:r w:rsidRPr="00C07334">
      <w:rPr>
        <w:b/>
        <w:sz w:val="16"/>
        <w:szCs w:val="16"/>
      </w:rPr>
      <w:t xml:space="preserve">Page </w:t>
    </w:r>
    <w:r w:rsidR="001420B7">
      <w:rPr>
        <w:b/>
        <w:bCs/>
        <w:sz w:val="16"/>
        <w:szCs w:val="16"/>
      </w:rPr>
      <w:t>______</w:t>
    </w:r>
    <w:r w:rsidRPr="00C07334">
      <w:rPr>
        <w:b/>
        <w:sz w:val="16"/>
        <w:szCs w:val="16"/>
      </w:rPr>
      <w:t xml:space="preserve"> of </w:t>
    </w:r>
    <w:r w:rsidR="001420B7">
      <w:rPr>
        <w:b/>
        <w:bCs/>
        <w:sz w:val="16"/>
        <w:szCs w:val="16"/>
      </w:rPr>
      <w:t xml:space="preserve">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C80" w:rsidRDefault="00C33C80" w:rsidP="00E52C9A">
      <w:r>
        <w:separator/>
      </w:r>
    </w:p>
  </w:footnote>
  <w:footnote w:type="continuationSeparator" w:id="0">
    <w:p w:rsidR="00C33C80" w:rsidRDefault="00C33C80"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173" w:rsidRDefault="00D71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92433"/>
    <w:multiLevelType w:val="hybridMultilevel"/>
    <w:tmpl w:val="C9020994"/>
    <w:lvl w:ilvl="0" w:tplc="CEDC4B36">
      <w:start w:val="1"/>
      <w:numFmt w:val="bullet"/>
      <w:pStyle w:val="APDSTARBOLD"/>
      <w:lvlText w:val="★"/>
      <w:lvlJc w:val="left"/>
      <w:pPr>
        <w:ind w:left="720" w:hanging="360"/>
      </w:pPr>
      <w:rPr>
        <w:rFonts w:ascii="Segoe UI Symbol" w:hAnsi="Segoe UI 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F045F"/>
    <w:multiLevelType w:val="multilevel"/>
    <w:tmpl w:val="E3A61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5F471D"/>
    <w:multiLevelType w:val="hybridMultilevel"/>
    <w:tmpl w:val="ACD8648C"/>
    <w:lvl w:ilvl="0" w:tplc="BB8ED8EE">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0699F"/>
    <w:multiLevelType w:val="hybridMultilevel"/>
    <w:tmpl w:val="7564EC08"/>
    <w:lvl w:ilvl="0" w:tplc="88BC19AC">
      <w:start w:val="1"/>
      <w:numFmt w:val="bullet"/>
      <w:pStyle w:val="APDSTARITALICIZED"/>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9"/>
  </w:num>
  <w:num w:numId="15">
    <w:abstractNumId w:val="8"/>
    <w:lvlOverride w:ilvl="0">
      <w:startOverride w:val="1"/>
    </w:lvlOverride>
  </w:num>
  <w:num w:numId="16">
    <w:abstractNumId w:val="11"/>
  </w:num>
  <w:num w:numId="17">
    <w:abstractNumId w:val="13"/>
  </w:num>
  <w:num w:numId="18">
    <w:abstractNumId w:val="12"/>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0NzI1NjIyNzY2NDZV0lEKTi0uzszPAykwrgUAPVytuCwAAAA="/>
  </w:docVars>
  <w:rsids>
    <w:rsidRoot w:val="004C0BEC"/>
    <w:rsid w:val="00051B7F"/>
    <w:rsid w:val="000C4FD6"/>
    <w:rsid w:val="001135B1"/>
    <w:rsid w:val="00116413"/>
    <w:rsid w:val="001420B7"/>
    <w:rsid w:val="00164CE2"/>
    <w:rsid w:val="00174280"/>
    <w:rsid w:val="0017492A"/>
    <w:rsid w:val="001918A9"/>
    <w:rsid w:val="001A29AD"/>
    <w:rsid w:val="00203919"/>
    <w:rsid w:val="002257F8"/>
    <w:rsid w:val="002319C7"/>
    <w:rsid w:val="00234D76"/>
    <w:rsid w:val="00244152"/>
    <w:rsid w:val="00246B61"/>
    <w:rsid w:val="00261265"/>
    <w:rsid w:val="00267310"/>
    <w:rsid w:val="002677C4"/>
    <w:rsid w:val="00297D38"/>
    <w:rsid w:val="002A0EEE"/>
    <w:rsid w:val="002B21BF"/>
    <w:rsid w:val="002C68F3"/>
    <w:rsid w:val="002C6F54"/>
    <w:rsid w:val="00315557"/>
    <w:rsid w:val="003475D0"/>
    <w:rsid w:val="00351FD0"/>
    <w:rsid w:val="003534C7"/>
    <w:rsid w:val="003660CD"/>
    <w:rsid w:val="0039259A"/>
    <w:rsid w:val="00393C75"/>
    <w:rsid w:val="003B41DF"/>
    <w:rsid w:val="003B60B7"/>
    <w:rsid w:val="003D7D1F"/>
    <w:rsid w:val="003F5ABB"/>
    <w:rsid w:val="00417619"/>
    <w:rsid w:val="0046089F"/>
    <w:rsid w:val="00487965"/>
    <w:rsid w:val="004A726B"/>
    <w:rsid w:val="004C0BEC"/>
    <w:rsid w:val="004C3BCC"/>
    <w:rsid w:val="004C6A84"/>
    <w:rsid w:val="004D2CA6"/>
    <w:rsid w:val="004E1102"/>
    <w:rsid w:val="0053697C"/>
    <w:rsid w:val="00540447"/>
    <w:rsid w:val="005464F5"/>
    <w:rsid w:val="00547F43"/>
    <w:rsid w:val="00550A48"/>
    <w:rsid w:val="0055212A"/>
    <w:rsid w:val="005838B6"/>
    <w:rsid w:val="005B74B6"/>
    <w:rsid w:val="005E2709"/>
    <w:rsid w:val="005E36D0"/>
    <w:rsid w:val="005F337F"/>
    <w:rsid w:val="00602FFB"/>
    <w:rsid w:val="006146E4"/>
    <w:rsid w:val="006514EA"/>
    <w:rsid w:val="0065525B"/>
    <w:rsid w:val="00666D7E"/>
    <w:rsid w:val="006709EB"/>
    <w:rsid w:val="00671530"/>
    <w:rsid w:val="006730D8"/>
    <w:rsid w:val="00686353"/>
    <w:rsid w:val="006955C6"/>
    <w:rsid w:val="006B7D8B"/>
    <w:rsid w:val="0072249E"/>
    <w:rsid w:val="00727F1C"/>
    <w:rsid w:val="00732647"/>
    <w:rsid w:val="00746472"/>
    <w:rsid w:val="0075745D"/>
    <w:rsid w:val="007A18B2"/>
    <w:rsid w:val="007F1D92"/>
    <w:rsid w:val="008470F2"/>
    <w:rsid w:val="0085033F"/>
    <w:rsid w:val="008755F2"/>
    <w:rsid w:val="00880A07"/>
    <w:rsid w:val="008929A6"/>
    <w:rsid w:val="008E33DD"/>
    <w:rsid w:val="008E6CA0"/>
    <w:rsid w:val="008F4441"/>
    <w:rsid w:val="00912BE1"/>
    <w:rsid w:val="00935B34"/>
    <w:rsid w:val="0094541B"/>
    <w:rsid w:val="00951A1C"/>
    <w:rsid w:val="0097286B"/>
    <w:rsid w:val="00996B99"/>
    <w:rsid w:val="009A61A9"/>
    <w:rsid w:val="00A03680"/>
    <w:rsid w:val="00A2193F"/>
    <w:rsid w:val="00A71262"/>
    <w:rsid w:val="00A75BA9"/>
    <w:rsid w:val="00AA2403"/>
    <w:rsid w:val="00AB074C"/>
    <w:rsid w:val="00AC16EF"/>
    <w:rsid w:val="00AE2D37"/>
    <w:rsid w:val="00AF4D57"/>
    <w:rsid w:val="00B3681B"/>
    <w:rsid w:val="00B4403F"/>
    <w:rsid w:val="00B830FD"/>
    <w:rsid w:val="00B868F1"/>
    <w:rsid w:val="00B9230C"/>
    <w:rsid w:val="00BA0810"/>
    <w:rsid w:val="00BE39E1"/>
    <w:rsid w:val="00BF000E"/>
    <w:rsid w:val="00C07334"/>
    <w:rsid w:val="00C33C80"/>
    <w:rsid w:val="00C95864"/>
    <w:rsid w:val="00CC59A8"/>
    <w:rsid w:val="00CC6108"/>
    <w:rsid w:val="00CD7616"/>
    <w:rsid w:val="00CF4CB6"/>
    <w:rsid w:val="00D44331"/>
    <w:rsid w:val="00D53F25"/>
    <w:rsid w:val="00D642CF"/>
    <w:rsid w:val="00D71173"/>
    <w:rsid w:val="00D918EC"/>
    <w:rsid w:val="00D9218C"/>
    <w:rsid w:val="00DB72FD"/>
    <w:rsid w:val="00DB788B"/>
    <w:rsid w:val="00DC278A"/>
    <w:rsid w:val="00DC4C92"/>
    <w:rsid w:val="00DE7C8C"/>
    <w:rsid w:val="00E14844"/>
    <w:rsid w:val="00E52C9A"/>
    <w:rsid w:val="00E93DEF"/>
    <w:rsid w:val="00EA1F7C"/>
    <w:rsid w:val="00EB1DE7"/>
    <w:rsid w:val="00EF6A56"/>
    <w:rsid w:val="00F14AF7"/>
    <w:rsid w:val="00F56A6D"/>
    <w:rsid w:val="00F56E78"/>
    <w:rsid w:val="00F61C3E"/>
    <w:rsid w:val="00F62EFD"/>
    <w:rsid w:val="00F63A75"/>
    <w:rsid w:val="00F84103"/>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708A6"/>
  <w15:chartTrackingRefBased/>
  <w15:docId w15:val="{1EF77085-EC1D-4E86-AB0E-153E9D5E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uiPriority="99"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unhideWhenUsed/>
    <w:qFormat/>
    <w:rsid w:val="004C0BEC"/>
    <w:pPr>
      <w:spacing w:before="0" w:after="0"/>
    </w:pPr>
    <w:rPr>
      <w:rFonts w:ascii="Times New Roman" w:hAnsi="Times New Roman" w:cstheme="minorBidi"/>
      <w:sz w:val="22"/>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link w:val="ListParagraphChar"/>
    <w:uiPriority w:val="34"/>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 w:type="paragraph" w:customStyle="1" w:styleId="APDHEADINGI">
    <w:name w:val="APD HEADING I"/>
    <w:basedOn w:val="Normal"/>
    <w:link w:val="APDHEADINGIChar"/>
    <w:autoRedefine/>
    <w:uiPriority w:val="99"/>
    <w:qFormat/>
    <w:rsid w:val="001A29AD"/>
    <w:pPr>
      <w:jc w:val="center"/>
      <w:outlineLvl w:val="0"/>
    </w:pPr>
    <w:rPr>
      <w:b/>
      <w:sz w:val="24"/>
    </w:rPr>
  </w:style>
  <w:style w:type="paragraph" w:customStyle="1" w:styleId="APDGENERAL">
    <w:name w:val="APD GENERAL"/>
    <w:basedOn w:val="Normal"/>
    <w:link w:val="APDGENERALChar"/>
    <w:autoRedefine/>
    <w:uiPriority w:val="99"/>
    <w:qFormat/>
    <w:rsid w:val="001A29AD"/>
    <w:pPr>
      <w:spacing w:after="240"/>
      <w:outlineLvl w:val="1"/>
    </w:pPr>
    <w:rPr>
      <w:b/>
    </w:rPr>
  </w:style>
  <w:style w:type="character" w:customStyle="1" w:styleId="APDHEADINGIChar">
    <w:name w:val="APD HEADING I Char"/>
    <w:basedOn w:val="DefaultParagraphFont"/>
    <w:link w:val="APDHEADINGI"/>
    <w:uiPriority w:val="99"/>
    <w:rsid w:val="001A29AD"/>
    <w:rPr>
      <w:rFonts w:ascii="Times New Roman" w:hAnsi="Times New Roman" w:cstheme="minorBidi"/>
      <w:b/>
    </w:rPr>
  </w:style>
  <w:style w:type="paragraph" w:customStyle="1" w:styleId="APDTABLETITLE">
    <w:name w:val="APD TABLE TITLE"/>
    <w:basedOn w:val="Normal"/>
    <w:link w:val="APDTABLETITLEChar"/>
    <w:autoRedefine/>
    <w:uiPriority w:val="99"/>
    <w:qFormat/>
    <w:rsid w:val="008929A6"/>
    <w:pPr>
      <w:tabs>
        <w:tab w:val="left" w:pos="1440"/>
      </w:tabs>
      <w:spacing w:before="240"/>
      <w:ind w:left="1440" w:hanging="1440"/>
    </w:pPr>
    <w:rPr>
      <w:b/>
    </w:rPr>
  </w:style>
  <w:style w:type="character" w:customStyle="1" w:styleId="APDGENERALChar">
    <w:name w:val="APD GENERAL Char"/>
    <w:basedOn w:val="DefaultParagraphFont"/>
    <w:link w:val="APDGENERAL"/>
    <w:uiPriority w:val="99"/>
    <w:rsid w:val="001A29AD"/>
    <w:rPr>
      <w:rFonts w:ascii="Times New Roman" w:hAnsi="Times New Roman" w:cstheme="minorBidi"/>
      <w:b/>
      <w:sz w:val="22"/>
    </w:rPr>
  </w:style>
  <w:style w:type="paragraph" w:customStyle="1" w:styleId="APDTABLESUBCHAPTER">
    <w:name w:val="APD TABLE SUBCHAPTER"/>
    <w:basedOn w:val="Normal"/>
    <w:link w:val="APDTABLESUBCHAPTERChar"/>
    <w:autoRedefine/>
    <w:uiPriority w:val="99"/>
    <w:qFormat/>
    <w:rsid w:val="00AF4D57"/>
    <w:pPr>
      <w:tabs>
        <w:tab w:val="left" w:pos="1440"/>
      </w:tabs>
      <w:spacing w:after="240"/>
      <w:ind w:left="1440"/>
    </w:pPr>
    <w:rPr>
      <w:b/>
    </w:rPr>
  </w:style>
  <w:style w:type="character" w:customStyle="1" w:styleId="APDTABLETITLEChar">
    <w:name w:val="APD TABLE TITLE Char"/>
    <w:basedOn w:val="DefaultParagraphFont"/>
    <w:link w:val="APDTABLETITLE"/>
    <w:uiPriority w:val="99"/>
    <w:rsid w:val="008929A6"/>
    <w:rPr>
      <w:rFonts w:ascii="Times New Roman" w:hAnsi="Times New Roman" w:cstheme="minorBidi"/>
      <w:b/>
      <w:sz w:val="22"/>
    </w:rPr>
  </w:style>
  <w:style w:type="character" w:customStyle="1" w:styleId="APDTABLESUBCHAPTERChar">
    <w:name w:val="APD TABLE SUBCHAPTER Char"/>
    <w:basedOn w:val="DefaultParagraphFont"/>
    <w:link w:val="APDTABLESUBCHAPTER"/>
    <w:uiPriority w:val="99"/>
    <w:rsid w:val="00AF4D57"/>
    <w:rPr>
      <w:rFonts w:ascii="Times New Roman" w:hAnsi="Times New Roman" w:cstheme="minorBidi"/>
      <w:b/>
      <w:sz w:val="22"/>
    </w:rPr>
  </w:style>
  <w:style w:type="paragraph" w:customStyle="1" w:styleId="APDSPECIFIC">
    <w:name w:val="APD SPECIFIC"/>
    <w:basedOn w:val="Normal"/>
    <w:link w:val="APDSPECIFICChar"/>
    <w:autoRedefine/>
    <w:uiPriority w:val="99"/>
    <w:qFormat/>
    <w:rsid w:val="00DC4C92"/>
    <w:pPr>
      <w:tabs>
        <w:tab w:val="right" w:pos="10620"/>
      </w:tabs>
      <w:spacing w:before="120" w:after="240"/>
      <w:outlineLvl w:val="1"/>
    </w:pPr>
    <w:rPr>
      <w:b/>
    </w:rPr>
  </w:style>
  <w:style w:type="paragraph" w:customStyle="1" w:styleId="APDTABLES1A">
    <w:name w:val="APD TABLES 1A"/>
    <w:basedOn w:val="Normal"/>
    <w:link w:val="APDTABLES1AChar"/>
    <w:autoRedefine/>
    <w:uiPriority w:val="99"/>
    <w:qFormat/>
    <w:rsid w:val="004C3BCC"/>
    <w:pPr>
      <w:tabs>
        <w:tab w:val="left" w:pos="1440"/>
      </w:tabs>
      <w:ind w:left="1440" w:hanging="1440"/>
    </w:pPr>
    <w:rPr>
      <w:b/>
    </w:rPr>
  </w:style>
  <w:style w:type="character" w:customStyle="1" w:styleId="APDSPECIFICChar">
    <w:name w:val="APD SPECIFIC Char"/>
    <w:basedOn w:val="DefaultParagraphFont"/>
    <w:link w:val="APDSPECIFIC"/>
    <w:uiPriority w:val="99"/>
    <w:rsid w:val="00DC4C92"/>
    <w:rPr>
      <w:rFonts w:ascii="Times New Roman" w:hAnsi="Times New Roman" w:cstheme="minorBidi"/>
      <w:b/>
      <w:sz w:val="22"/>
    </w:rPr>
  </w:style>
  <w:style w:type="paragraph" w:customStyle="1" w:styleId="APDSUBCHAPTER">
    <w:name w:val="APD SUBCHAPTER"/>
    <w:basedOn w:val="Normal"/>
    <w:link w:val="APDSUBCHAPTERChar"/>
    <w:autoRedefine/>
    <w:uiPriority w:val="99"/>
    <w:qFormat/>
    <w:rsid w:val="004C3BCC"/>
    <w:pPr>
      <w:tabs>
        <w:tab w:val="left" w:pos="1440"/>
      </w:tabs>
      <w:spacing w:after="120"/>
      <w:ind w:left="1440"/>
    </w:pPr>
    <w:rPr>
      <w:b/>
    </w:rPr>
  </w:style>
  <w:style w:type="character" w:customStyle="1" w:styleId="APDTABLES1AChar">
    <w:name w:val="APD TABLES 1A Char"/>
    <w:basedOn w:val="DefaultParagraphFont"/>
    <w:link w:val="APDTABLES1A"/>
    <w:uiPriority w:val="99"/>
    <w:rsid w:val="004C3BCC"/>
    <w:rPr>
      <w:rFonts w:ascii="Times New Roman" w:hAnsi="Times New Roman" w:cstheme="minorBidi"/>
      <w:b/>
      <w:sz w:val="22"/>
    </w:rPr>
  </w:style>
  <w:style w:type="paragraph" w:customStyle="1" w:styleId="APDSTARITALICIZED">
    <w:name w:val="APD STAR ITALICIZED"/>
    <w:basedOn w:val="ListParagraph"/>
    <w:link w:val="APDSTARITALICIZEDChar"/>
    <w:autoRedefine/>
    <w:uiPriority w:val="99"/>
    <w:qFormat/>
    <w:rsid w:val="004C3BCC"/>
    <w:pPr>
      <w:numPr>
        <w:numId w:val="17"/>
      </w:numPr>
      <w:tabs>
        <w:tab w:val="left" w:pos="547"/>
      </w:tabs>
      <w:spacing w:before="120"/>
      <w:ind w:left="547" w:hanging="547"/>
      <w:contextualSpacing w:val="0"/>
    </w:pPr>
    <w:rPr>
      <w:rFonts w:ascii="Times New Roman" w:hAnsi="Times New Roman"/>
      <w:i/>
      <w:sz w:val="22"/>
    </w:rPr>
  </w:style>
  <w:style w:type="character" w:customStyle="1" w:styleId="APDSUBCHAPTERChar">
    <w:name w:val="APD SUBCHAPTER Char"/>
    <w:basedOn w:val="DefaultParagraphFont"/>
    <w:link w:val="APDSUBCHAPTER"/>
    <w:uiPriority w:val="99"/>
    <w:rsid w:val="004C3BCC"/>
    <w:rPr>
      <w:rFonts w:ascii="Times New Roman" w:hAnsi="Times New Roman" w:cstheme="minorBidi"/>
      <w:b/>
      <w:sz w:val="22"/>
    </w:rPr>
  </w:style>
  <w:style w:type="paragraph" w:customStyle="1" w:styleId="APDUPSIDEDOWNTRIANGEL">
    <w:name w:val="APD UPSIDE DOWN TRIANGEL"/>
    <w:basedOn w:val="Normal"/>
    <w:link w:val="APDUPSIDEDOWNTRIANGELChar"/>
    <w:autoRedefine/>
    <w:uiPriority w:val="99"/>
    <w:qFormat/>
    <w:rsid w:val="00CD7616"/>
    <w:pPr>
      <w:tabs>
        <w:tab w:val="left" w:pos="547"/>
      </w:tabs>
      <w:spacing w:before="120" w:after="120"/>
      <w:ind w:left="547" w:hanging="547"/>
    </w:pPr>
    <w:rPr>
      <w:b/>
    </w:rPr>
  </w:style>
  <w:style w:type="character" w:customStyle="1" w:styleId="ListParagraphChar">
    <w:name w:val="List Paragraph Char"/>
    <w:basedOn w:val="BodyTextChar"/>
    <w:link w:val="ListParagraph"/>
    <w:uiPriority w:val="34"/>
    <w:rsid w:val="004C3BCC"/>
    <w:rPr>
      <w:rFonts w:ascii="Lucida Bright" w:hAnsi="Lucida Bright" w:cstheme="minorBidi"/>
      <w:sz w:val="20"/>
    </w:rPr>
  </w:style>
  <w:style w:type="character" w:customStyle="1" w:styleId="APDSTARITALICIZEDChar">
    <w:name w:val="APD STAR ITALICIZED Char"/>
    <w:basedOn w:val="ListParagraphChar"/>
    <w:link w:val="APDSTARITALICIZED"/>
    <w:uiPriority w:val="99"/>
    <w:rsid w:val="004C3BCC"/>
    <w:rPr>
      <w:rFonts w:ascii="Times New Roman" w:hAnsi="Times New Roman" w:cstheme="minorBidi"/>
      <w:i/>
      <w:sz w:val="22"/>
    </w:rPr>
  </w:style>
  <w:style w:type="paragraph" w:customStyle="1" w:styleId="APDSTARBOLD">
    <w:name w:val="APD STAR BOLD"/>
    <w:basedOn w:val="ListParagraph"/>
    <w:link w:val="APDSTARBOLDChar"/>
    <w:autoRedefine/>
    <w:uiPriority w:val="99"/>
    <w:qFormat/>
    <w:rsid w:val="000C4FD6"/>
    <w:pPr>
      <w:numPr>
        <w:numId w:val="19"/>
      </w:numPr>
      <w:tabs>
        <w:tab w:val="left" w:pos="547"/>
      </w:tabs>
      <w:spacing w:before="120"/>
      <w:ind w:left="547" w:hanging="547"/>
      <w:contextualSpacing w:val="0"/>
    </w:pPr>
    <w:rPr>
      <w:rFonts w:ascii="Times New Roman" w:hAnsi="Times New Roman" w:cs="Times New Roman"/>
      <w:b/>
      <w:sz w:val="22"/>
      <w:szCs w:val="22"/>
    </w:rPr>
  </w:style>
  <w:style w:type="character" w:customStyle="1" w:styleId="APDUPSIDEDOWNTRIANGELChar">
    <w:name w:val="APD UPSIDE DOWN TRIANGEL Char"/>
    <w:basedOn w:val="DefaultParagraphFont"/>
    <w:link w:val="APDUPSIDEDOWNTRIANGEL"/>
    <w:uiPriority w:val="99"/>
    <w:rsid w:val="00CD7616"/>
    <w:rPr>
      <w:rFonts w:ascii="Times New Roman" w:hAnsi="Times New Roman" w:cstheme="minorBidi"/>
      <w:b/>
      <w:sz w:val="22"/>
    </w:rPr>
  </w:style>
  <w:style w:type="paragraph" w:customStyle="1" w:styleId="APDCODEANDDESCRIPTION">
    <w:name w:val="APD CODE AND DESCRIPTION"/>
    <w:basedOn w:val="Normal"/>
    <w:link w:val="APDCODEANDDESCRIPTIONChar"/>
    <w:autoRedefine/>
    <w:uiPriority w:val="99"/>
    <w:qFormat/>
    <w:rsid w:val="004E1102"/>
    <w:pPr>
      <w:tabs>
        <w:tab w:val="left" w:pos="720"/>
        <w:tab w:val="left" w:pos="2160"/>
      </w:tabs>
      <w:ind w:left="2160" w:hanging="1440"/>
    </w:pPr>
    <w:rPr>
      <w:b/>
    </w:rPr>
  </w:style>
  <w:style w:type="character" w:customStyle="1" w:styleId="APDSTARBOLDChar">
    <w:name w:val="APD STAR BOLD Char"/>
    <w:basedOn w:val="ListParagraphChar"/>
    <w:link w:val="APDSTARBOLD"/>
    <w:uiPriority w:val="99"/>
    <w:rsid w:val="000C4FD6"/>
    <w:rPr>
      <w:rFonts w:ascii="Times New Roman" w:hAnsi="Times New Roman" w:cstheme="minorBidi"/>
      <w:b/>
      <w:sz w:val="22"/>
      <w:szCs w:val="22"/>
    </w:rPr>
  </w:style>
  <w:style w:type="paragraph" w:customStyle="1" w:styleId="APDCODEAFTER">
    <w:name w:val="APD CODE AFTER"/>
    <w:basedOn w:val="Normal"/>
    <w:link w:val="APDCODEAFTERChar"/>
    <w:autoRedefine/>
    <w:uiPriority w:val="99"/>
    <w:qFormat/>
    <w:rsid w:val="005838B6"/>
    <w:pPr>
      <w:tabs>
        <w:tab w:val="left" w:pos="720"/>
        <w:tab w:val="left" w:pos="2160"/>
      </w:tabs>
      <w:ind w:left="2160" w:hanging="1440"/>
    </w:pPr>
  </w:style>
  <w:style w:type="character" w:customStyle="1" w:styleId="APDCODEANDDESCRIPTIONChar">
    <w:name w:val="APD CODE AND DESCRIPTION Char"/>
    <w:basedOn w:val="DefaultParagraphFont"/>
    <w:link w:val="APDCODEANDDESCRIPTION"/>
    <w:uiPriority w:val="99"/>
    <w:rsid w:val="004E1102"/>
    <w:rPr>
      <w:rFonts w:ascii="Times New Roman" w:hAnsi="Times New Roman" w:cstheme="minorBidi"/>
      <w:b/>
      <w:sz w:val="22"/>
    </w:rPr>
  </w:style>
  <w:style w:type="paragraph" w:customStyle="1" w:styleId="APDHEADING1ONFORMS">
    <w:name w:val="APD HEADING 1 ON FORMS"/>
    <w:basedOn w:val="Normal"/>
    <w:link w:val="APDHEADING1ONFORMSChar"/>
    <w:autoRedefine/>
    <w:uiPriority w:val="99"/>
    <w:qFormat/>
    <w:rsid w:val="002319C7"/>
    <w:pPr>
      <w:jc w:val="center"/>
      <w:outlineLvl w:val="0"/>
    </w:pPr>
    <w:rPr>
      <w:b/>
    </w:rPr>
  </w:style>
  <w:style w:type="character" w:customStyle="1" w:styleId="APDCODEAFTERChar">
    <w:name w:val="APD CODE AFTER Char"/>
    <w:basedOn w:val="DefaultParagraphFont"/>
    <w:link w:val="APDCODEAFTER"/>
    <w:uiPriority w:val="99"/>
    <w:rsid w:val="005838B6"/>
    <w:rPr>
      <w:rFonts w:ascii="Times New Roman" w:hAnsi="Times New Roman" w:cstheme="minorBidi"/>
      <w:sz w:val="22"/>
    </w:rPr>
  </w:style>
  <w:style w:type="table" w:customStyle="1" w:styleId="TableGrid10">
    <w:name w:val="Table Grid1"/>
    <w:basedOn w:val="TableNormal"/>
    <w:next w:val="TableGrid"/>
    <w:rsid w:val="00C07334"/>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DHEADING1ONFORMSChar">
    <w:name w:val="APD HEADING 1 ON FORMS Char"/>
    <w:basedOn w:val="DefaultParagraphFont"/>
    <w:link w:val="APDHEADING1ONFORMS"/>
    <w:uiPriority w:val="99"/>
    <w:rsid w:val="002319C7"/>
    <w:rPr>
      <w:rFonts w:ascii="Times New Roman" w:hAnsi="Times New Roman" w:cstheme="minorBidi"/>
      <w:b/>
      <w:sz w:val="22"/>
    </w:rPr>
  </w:style>
  <w:style w:type="character" w:styleId="UnresolvedMention">
    <w:name w:val="Unresolved Mention"/>
    <w:basedOn w:val="DefaultParagraphFont"/>
    <w:uiPriority w:val="99"/>
    <w:semiHidden/>
    <w:unhideWhenUsed/>
    <w:rsid w:val="001A2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BEA9-5794-4E6E-9BB5-E44B5294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TCEQ - Vacuum Producing System Attributes Form OP-UA49</vt:lpstr>
    </vt:vector>
  </TitlesOfParts>
  <Manager>TCEQ</Manager>
  <Company>TCEQ</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 Vacuum Producing System Attributes Form OP-UA49</dc:title>
  <dc:subject>TCEQ - Vacuum Producing System Attributes Form OP-UA49</dc:subject>
  <dc:creator>TCEQ</dc:creator>
  <cp:keywords>unit, sop, index, ACR, weight, VOC, emitted, vacuum, hotwell, condener, control, device, attribute, applicable, summary, federal, air, titlev, and petroleum</cp:keywords>
  <dc:description/>
  <cp:lastModifiedBy>Lawannia Carpenter</cp:lastModifiedBy>
  <cp:revision>15</cp:revision>
  <cp:lastPrinted>2019-03-05T12:54:00Z</cp:lastPrinted>
  <dcterms:created xsi:type="dcterms:W3CDTF">2019-03-05T13:49:00Z</dcterms:created>
  <dcterms:modified xsi:type="dcterms:W3CDTF">2019-03-06T17:04:00Z</dcterms:modified>
  <cp:category>TCEQ - Vacuum Producing System Attributes Form OP-UA49</cp:category>
</cp:coreProperties>
</file>