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44A9" w14:textId="2C7859E2" w:rsidR="006D6986" w:rsidRPr="00973146" w:rsidRDefault="006D6986" w:rsidP="006D6986">
      <w:pPr>
        <w:pStyle w:val="APDHeading"/>
      </w:pPr>
      <w:r w:rsidRPr="00973146">
        <w:t>Form OP-UA6 - Instructions</w:t>
      </w:r>
    </w:p>
    <w:p w14:paraId="0A96DF24" w14:textId="77777777" w:rsidR="006D6986" w:rsidRPr="00973146" w:rsidRDefault="006D6986" w:rsidP="006D6986">
      <w:pPr>
        <w:pStyle w:val="APDHeading"/>
      </w:pPr>
      <w:r w:rsidRPr="00973146">
        <w:t>Boiler/Steam Generator/Steam Generating Unit Attributes</w:t>
      </w:r>
    </w:p>
    <w:p w14:paraId="58FB1017" w14:textId="77777777" w:rsidR="006D6986" w:rsidRPr="00973146" w:rsidRDefault="006D6986" w:rsidP="006D6986">
      <w:pPr>
        <w:pStyle w:val="APDHeading"/>
      </w:pPr>
      <w:r w:rsidRPr="00973146">
        <w:t>Texas Commission on Environmental Quality</w:t>
      </w:r>
    </w:p>
    <w:p w14:paraId="32A51C0C" w14:textId="77777777" w:rsidR="006D6986" w:rsidRPr="00BB6059" w:rsidRDefault="006D6986" w:rsidP="006D6986">
      <w:pPr>
        <w:pStyle w:val="APDHeading2"/>
      </w:pPr>
      <w:r w:rsidRPr="00BB6059">
        <w:t>General:</w:t>
      </w:r>
    </w:p>
    <w:p w14:paraId="0331BC19" w14:textId="77777777" w:rsidR="006D6986" w:rsidRPr="00BB6059" w:rsidRDefault="006D6986" w:rsidP="006D6986">
      <w:pPr>
        <w:pStyle w:val="APDBodyText"/>
      </w:pPr>
      <w:r w:rsidRPr="00BB6059">
        <w:t>This form is used to provide a description and data pertaining to all combustion equipment used to produce steam including, but not limited to, boilers, steam generators, and steam generating units with potentially applicable requirements associated with a particular regulated entity number and application. Some data items must be completed for all boilers, steam generators, and steam generating units. Other items are only required to be completed for boilers, steam generators, and steam generating units meeting the specific criteria shown in the instructions below.</w:t>
      </w:r>
    </w:p>
    <w:p w14:paraId="2609C65A" w14:textId="77777777" w:rsidR="006D6986" w:rsidRPr="00BB6059" w:rsidRDefault="006D6986" w:rsidP="006D6986">
      <w:pPr>
        <w:pStyle w:val="APDBodyText"/>
      </w:pPr>
      <w:r w:rsidRPr="00BB6059">
        <w:t>For each steam generating unit which is potentially applicable to a subpart of the D-Series, the applicant need only complete the table to which they are potentially subject. The other D-series tables need not be submitted; however, notes are included in the instructions which may give direction to other tables applicable to the unit if certain codes or instructions are given. The notes can be used as a road map to follow in deciding which tables must be filled out and which ones should be omitted.</w:t>
      </w:r>
    </w:p>
    <w:p w14:paraId="600B382C" w14:textId="77777777" w:rsidR="006D6986" w:rsidRPr="00BB6059" w:rsidRDefault="006D6986" w:rsidP="006D6986">
      <w:pPr>
        <w:pStyle w:val="APDBodyText"/>
      </w:pPr>
      <w:r w:rsidRPr="00BB6059">
        <w:t>Each table number, along with the possibility of a corresponding letter (i.e., Table 1a, Table 1b), corresponds to a certain state or federal rule. If the rule on the table is not potentially applicable to a combustion unit, then it should be left blank and need not be submitted with the application. The following boilers, steam generators, and steam generating units are considered off-permit sources and do not need to be listed:</w:t>
      </w:r>
    </w:p>
    <w:p w14:paraId="2976D9C9" w14:textId="77777777" w:rsidR="006D6986" w:rsidRPr="00BB6059" w:rsidRDefault="006D6986" w:rsidP="006D6986">
      <w:pPr>
        <w:pStyle w:val="APDAlphaList"/>
        <w:contextualSpacing w:val="0"/>
      </w:pPr>
      <w:r w:rsidRPr="00BB6059">
        <w:t xml:space="preserve">In counties affected by Title 30 Texas Administrative Code Chapter 117 (30 TAC Chapter 117), boilers and water heaters that do not fire liquid or solid fuel and have a maximum rated capacity less than 1.0 MMBtu/hr, unless the unit is placed in service after June 9, 1993, as a functionally identical replacement for existing units </w:t>
      </w:r>
      <w:r w:rsidRPr="00973146">
        <w:t>subject to the provisions</w:t>
      </w:r>
      <w:r w:rsidRPr="00BB6059">
        <w:t xml:space="preserve"> 30 TAC Chapter 117, Subchapter</w:t>
      </w:r>
      <w:r>
        <w:t xml:space="preserve"> </w:t>
      </w:r>
      <w:r w:rsidRPr="00BB6059">
        <w:t>B.</w:t>
      </w:r>
    </w:p>
    <w:p w14:paraId="4F8DB9C7" w14:textId="77777777" w:rsidR="006D6986" w:rsidRPr="00BB6059" w:rsidRDefault="006D6986" w:rsidP="006D6986">
      <w:pPr>
        <w:pStyle w:val="APDAlphaList"/>
        <w:contextualSpacing w:val="0"/>
      </w:pPr>
      <w:r w:rsidRPr="00BB6059">
        <w:t>In counties not affected by 30 TAC Chapter 117, boilers, and water heaters with a heat input capacity less than 10</w:t>
      </w:r>
      <w:r>
        <w:t xml:space="preserve"> </w:t>
      </w:r>
      <w:r w:rsidRPr="00BB6059">
        <w:t>MMBtu/hr and do not fire liquid or solid fuel.</w:t>
      </w:r>
    </w:p>
    <w:p w14:paraId="0B1CE542" w14:textId="77777777" w:rsidR="006D6986" w:rsidRPr="00BB6059" w:rsidRDefault="006D6986" w:rsidP="006D6986">
      <w:pPr>
        <w:pStyle w:val="APDBodyText"/>
      </w:pPr>
      <w:r w:rsidRPr="00BB6059">
        <w:t>If the codes entered by the applicant show negative applicability to the rule or sections of the rule represented on the table, then the applicant need not complete the remainder of the table(s) that correspond to the rule. Further instruction as to which questions should be answered and which questions should not be answered are located in the “Specific” section of the instruction text. The following is included in this form:</w:t>
      </w:r>
    </w:p>
    <w:p w14:paraId="6E93BFE8" w14:textId="77777777" w:rsidR="006D6986" w:rsidRPr="00BB6059" w:rsidRDefault="006D6986" w:rsidP="006D6986">
      <w:pPr>
        <w:tabs>
          <w:tab w:val="left" w:pos="2160"/>
        </w:tabs>
        <w:spacing w:after="120"/>
        <w:ind w:left="2160" w:hanging="2160"/>
        <w:rPr>
          <w:b/>
        </w:rPr>
      </w:pPr>
      <w:hyperlink w:anchor="Table_1a" w:tooltip="Table 1a" w:history="1">
        <w:r w:rsidRPr="00BB6059">
          <w:rPr>
            <w:rStyle w:val="Hyperlink"/>
            <w:bCs/>
          </w:rPr>
          <w:t>Table_1a</w:t>
        </w:r>
      </w:hyperlink>
      <w:r w:rsidRPr="00BB6059">
        <w:rPr>
          <w:rStyle w:val="Hyperlink"/>
          <w:bCs/>
        </w:rPr>
        <w:t xml:space="preserve"> - </w:t>
      </w:r>
      <w:hyperlink w:anchor="Table_1b" w:tooltip="Table 1b" w:history="1">
        <w:r w:rsidRPr="00BB6059">
          <w:rPr>
            <w:rStyle w:val="Hyperlink"/>
            <w:bCs/>
          </w:rPr>
          <w:t>1b</w:t>
        </w:r>
      </w:hyperlink>
      <w:r w:rsidRPr="00BB6059">
        <w:rPr>
          <w:rStyle w:val="Hyperlink"/>
          <w:bCs/>
        </w:rPr>
        <w:t>:</w:t>
      </w:r>
      <w:r w:rsidRPr="00BB6059">
        <w:rPr>
          <w:b/>
        </w:rPr>
        <w:tab/>
      </w:r>
      <w:r w:rsidRPr="00BB6059">
        <w:rPr>
          <w:rStyle w:val="APDTableChapterChar"/>
        </w:rPr>
        <w:t>Title 40 Code of Federal Regulations Part 60 (40 CFR Part 60), Subpart D:  Standards of Performance for Fossil Fuel-Fired Steam Generators</w:t>
      </w:r>
    </w:p>
    <w:p w14:paraId="35362A8E" w14:textId="77777777" w:rsidR="006D6986" w:rsidRPr="00BB6059" w:rsidRDefault="006D6986" w:rsidP="006D6986">
      <w:pPr>
        <w:tabs>
          <w:tab w:val="left" w:pos="2160"/>
        </w:tabs>
        <w:spacing w:after="120"/>
        <w:ind w:left="2160" w:hanging="2160"/>
        <w:rPr>
          <w:b/>
        </w:rPr>
      </w:pPr>
      <w:hyperlink w:anchor="Table_2a" w:tooltip="Table 2a" w:history="1">
        <w:r w:rsidRPr="00BB6059">
          <w:rPr>
            <w:rStyle w:val="Hyperlink"/>
            <w:bCs/>
          </w:rPr>
          <w:t>Table_2a</w:t>
        </w:r>
      </w:hyperlink>
      <w:r w:rsidRPr="00BB6059">
        <w:rPr>
          <w:rStyle w:val="Hyperlink"/>
          <w:bCs/>
        </w:rPr>
        <w:t xml:space="preserve"> - </w:t>
      </w:r>
      <w:hyperlink w:anchor="Table_2c" w:tooltip="Table 2c" w:history="1">
        <w:r w:rsidRPr="00BB6059">
          <w:rPr>
            <w:rStyle w:val="Hyperlink"/>
            <w:bCs/>
          </w:rPr>
          <w:t>2c</w:t>
        </w:r>
      </w:hyperlink>
      <w:r w:rsidRPr="00BB6059">
        <w:rPr>
          <w:rStyle w:val="Hyperlink"/>
          <w:bCs/>
        </w:rPr>
        <w:t>:</w:t>
      </w:r>
      <w:r w:rsidRPr="00BB6059">
        <w:rPr>
          <w:b/>
        </w:rPr>
        <w:tab/>
      </w:r>
      <w:r w:rsidRPr="00BB6059">
        <w:rPr>
          <w:rStyle w:val="APDTableChapterChar"/>
        </w:rPr>
        <w:t>Title 40 Code of Federal Regulations Part 60 (40 CFR Part 60), Subpart Da:  Standards of Performance for Electric Utility Steam Generating Units</w:t>
      </w:r>
    </w:p>
    <w:p w14:paraId="7A0B6C6A" w14:textId="77777777" w:rsidR="006D6986" w:rsidRPr="00BB6059" w:rsidRDefault="006D6986" w:rsidP="006D6986">
      <w:pPr>
        <w:spacing w:after="120"/>
        <w:ind w:left="2160" w:hanging="2160"/>
        <w:rPr>
          <w:rStyle w:val="APDTableChapterChar"/>
        </w:rPr>
      </w:pPr>
      <w:hyperlink w:anchor="Table_3a" w:tooltip="Table 3a" w:history="1">
        <w:r w:rsidRPr="00BB6059">
          <w:rPr>
            <w:rStyle w:val="Hyperlink"/>
            <w:bCs/>
          </w:rPr>
          <w:t>Table_3a</w:t>
        </w:r>
      </w:hyperlink>
      <w:r w:rsidRPr="00BB6059">
        <w:rPr>
          <w:rStyle w:val="Hyperlink"/>
          <w:bCs/>
        </w:rPr>
        <w:t xml:space="preserve"> - </w:t>
      </w:r>
      <w:hyperlink w:anchor="Table_3e" w:tooltip="Table 3e" w:history="1">
        <w:r w:rsidRPr="00BB6059">
          <w:rPr>
            <w:rStyle w:val="Hyperlink"/>
            <w:bCs/>
          </w:rPr>
          <w:t>3e</w:t>
        </w:r>
      </w:hyperlink>
      <w:r w:rsidRPr="00BB6059">
        <w:rPr>
          <w:rStyle w:val="Hyperlink"/>
          <w:bCs/>
        </w:rPr>
        <w:t>:</w:t>
      </w:r>
      <w:r w:rsidRPr="00BB6059">
        <w:rPr>
          <w:b/>
        </w:rPr>
        <w:tab/>
      </w:r>
      <w:r w:rsidRPr="00BB6059">
        <w:rPr>
          <w:rStyle w:val="APDTableChapterChar"/>
        </w:rPr>
        <w:t>Title 40 Code of Federal Regulations Part 60 (40 CFR Part 60), Subpart Db:  Standards of Performance for Industrial-Commercial-Institutional Steam Generating Units</w:t>
      </w:r>
    </w:p>
    <w:p w14:paraId="234B0EC1" w14:textId="77777777" w:rsidR="006D6986" w:rsidRDefault="006D6986" w:rsidP="006D6986">
      <w:pPr>
        <w:tabs>
          <w:tab w:val="left" w:pos="2160"/>
        </w:tabs>
        <w:spacing w:after="120"/>
        <w:ind w:left="2160" w:hanging="2160"/>
        <w:rPr>
          <w:rStyle w:val="APDTableChapterChar"/>
        </w:rPr>
      </w:pPr>
      <w:hyperlink w:anchor="Table_4a" w:tooltip="Table 4a" w:history="1">
        <w:r w:rsidRPr="00BB6059">
          <w:rPr>
            <w:rStyle w:val="Hyperlink"/>
            <w:bCs/>
          </w:rPr>
          <w:t>Table_4a</w:t>
        </w:r>
      </w:hyperlink>
      <w:r w:rsidRPr="00BB6059">
        <w:rPr>
          <w:rStyle w:val="Hyperlink"/>
          <w:bCs/>
        </w:rPr>
        <w:t xml:space="preserve"> - </w:t>
      </w:r>
      <w:hyperlink w:anchor="Table_4b" w:tooltip="Table 4b" w:history="1">
        <w:r w:rsidRPr="00BB6059">
          <w:rPr>
            <w:rStyle w:val="Hyperlink"/>
            <w:bCs/>
          </w:rPr>
          <w:t>4b</w:t>
        </w:r>
      </w:hyperlink>
      <w:r w:rsidRPr="00BB6059">
        <w:rPr>
          <w:rStyle w:val="Hyperlink"/>
          <w:bCs/>
        </w:rPr>
        <w:t>:</w:t>
      </w:r>
      <w:r w:rsidRPr="00BB6059">
        <w:rPr>
          <w:b/>
        </w:rPr>
        <w:tab/>
      </w:r>
      <w:r w:rsidRPr="00BB6059">
        <w:rPr>
          <w:rStyle w:val="APDTableChapterChar"/>
        </w:rPr>
        <w:t>Title 40 Code of Federal Regulations Part 60 (40 CFR Part 60), Subpart Dc:  Standards of Performance for Small Industrial-Commercial-Institutional Steam Generating Units</w:t>
      </w:r>
    </w:p>
    <w:p w14:paraId="1181B97D" w14:textId="77777777" w:rsidR="006D6986" w:rsidRDefault="006D6986" w:rsidP="006D6986">
      <w:pPr>
        <w:tabs>
          <w:tab w:val="left" w:pos="2160"/>
        </w:tabs>
        <w:spacing w:after="120"/>
        <w:ind w:left="2160" w:hanging="2160"/>
        <w:rPr>
          <w:rStyle w:val="APDTableChapterChar"/>
        </w:rPr>
        <w:sectPr w:rsidR="006D6986" w:rsidSect="006D6986">
          <w:headerReference w:type="default" r:id="rId8"/>
          <w:footerReference w:type="default" r:id="rId9"/>
          <w:headerReference w:type="first" r:id="rId10"/>
          <w:footerReference w:type="first" r:id="rId11"/>
          <w:pgSz w:w="12240" w:h="15840"/>
          <w:pgMar w:top="720" w:right="720" w:bottom="720" w:left="720" w:header="720" w:footer="720" w:gutter="0"/>
          <w:cols w:space="720"/>
          <w:docGrid w:linePitch="360"/>
        </w:sectPr>
      </w:pPr>
      <w:hyperlink w:anchor="Table_5a" w:tooltip="Table 5a" w:history="1">
        <w:r w:rsidRPr="00BB6059">
          <w:rPr>
            <w:rStyle w:val="Hyperlink"/>
            <w:bCs/>
          </w:rPr>
          <w:t>Table_5a</w:t>
        </w:r>
      </w:hyperlink>
      <w:r w:rsidRPr="00BB6059">
        <w:rPr>
          <w:rStyle w:val="Hyperlink"/>
          <w:bCs/>
        </w:rPr>
        <w:t xml:space="preserve"> - </w:t>
      </w:r>
      <w:hyperlink w:anchor="Table_5c" w:tooltip="Table 5c" w:history="1">
        <w:r w:rsidRPr="00BB6059">
          <w:rPr>
            <w:rStyle w:val="Hyperlink"/>
            <w:bCs/>
          </w:rPr>
          <w:t>5c</w:t>
        </w:r>
      </w:hyperlink>
      <w:r w:rsidRPr="00BB6059">
        <w:rPr>
          <w:rStyle w:val="Hyperlink"/>
          <w:bCs/>
        </w:rPr>
        <w:t>:</w:t>
      </w:r>
      <w:r w:rsidRPr="00BB6059">
        <w:rPr>
          <w:b/>
        </w:rPr>
        <w:tab/>
      </w:r>
      <w:r w:rsidRPr="00BB6059">
        <w:rPr>
          <w:rStyle w:val="APDTableChapterChar"/>
        </w:rPr>
        <w:t>Title 30 Texas Administrative Code Chapter 117 (30 TAC Chapter 117), Subchapter B:  Combustion Control at Major Industrial, Commercial, and Institutional Sources in Ozone Nonattainment Areas</w:t>
      </w:r>
    </w:p>
    <w:p w14:paraId="38B5ACCE" w14:textId="09978965" w:rsidR="006D6986" w:rsidRPr="00BB6059" w:rsidRDefault="006D6986" w:rsidP="006D6986">
      <w:pPr>
        <w:tabs>
          <w:tab w:val="left" w:pos="2160"/>
        </w:tabs>
        <w:spacing w:after="120"/>
        <w:ind w:left="2160" w:hanging="2160"/>
      </w:pPr>
      <w:hyperlink w:anchor="Table_6a" w:tooltip="Table 6a" w:history="1">
        <w:r w:rsidRPr="00BB6059">
          <w:rPr>
            <w:rStyle w:val="Hyperlink"/>
            <w:bCs/>
          </w:rPr>
          <w:t>Table_6a</w:t>
        </w:r>
      </w:hyperlink>
      <w:r w:rsidRPr="00BB6059">
        <w:rPr>
          <w:rStyle w:val="Hyperlink"/>
          <w:bCs/>
        </w:rPr>
        <w:t xml:space="preserve"> - </w:t>
      </w:r>
      <w:hyperlink w:anchor="Table_6b" w:tooltip="Table 6b" w:history="1">
        <w:r w:rsidRPr="00BB6059">
          <w:rPr>
            <w:rStyle w:val="Hyperlink"/>
            <w:bCs/>
          </w:rPr>
          <w:t>6b</w:t>
        </w:r>
      </w:hyperlink>
      <w:r w:rsidRPr="00BB6059">
        <w:rPr>
          <w:rStyle w:val="Hyperlink"/>
          <w:bCs/>
        </w:rPr>
        <w:t>:</w:t>
      </w:r>
      <w:r w:rsidRPr="00BB6059">
        <w:rPr>
          <w:b/>
        </w:rPr>
        <w:tab/>
      </w:r>
      <w:r w:rsidRPr="00BB6059">
        <w:rPr>
          <w:rStyle w:val="APDTableChapterChar"/>
        </w:rPr>
        <w:t>Title 30 Texas Administrative Code Chapter 117 (30 TAC Chapter 117), Subchapter C:  Combustion Control at Major Utility Electric Generation Sources in Ozone Nonattainment Areas</w:t>
      </w:r>
    </w:p>
    <w:p w14:paraId="2CB31DC0" w14:textId="77777777" w:rsidR="006D6986" w:rsidRPr="006F0335" w:rsidRDefault="006D6986" w:rsidP="006D6986">
      <w:pPr>
        <w:pStyle w:val="APDTableChapter"/>
      </w:pPr>
      <w:hyperlink w:anchor="Table_7" w:tooltip="Table 7" w:history="1">
        <w:r w:rsidRPr="009157F7">
          <w:rPr>
            <w:rStyle w:val="Hyperlink"/>
            <w:b/>
            <w:bCs/>
          </w:rPr>
          <w:t>Table 7:</w:t>
        </w:r>
      </w:hyperlink>
      <w:r w:rsidRPr="00BB6059">
        <w:tab/>
      </w:r>
      <w:r w:rsidRPr="006F0335">
        <w:t xml:space="preserve">Title 30 Texas Administrative Code Chapter 112 (30 TAC Chapter 112), </w:t>
      </w:r>
      <w:bookmarkStart w:id="0" w:name="_Hlk31274933"/>
      <w:r w:rsidRPr="006F0335">
        <w:t>Subchapters A–D:</w:t>
      </w:r>
      <w:bookmarkEnd w:id="0"/>
      <w:r>
        <w:t xml:space="preserve"> </w:t>
      </w:r>
      <w:r w:rsidRPr="006F0335">
        <w:t>Control of Air Pollution from Sulfur Compounds</w:t>
      </w:r>
    </w:p>
    <w:p w14:paraId="6E890A17" w14:textId="77777777" w:rsidR="006D6986" w:rsidRPr="00BB6059" w:rsidRDefault="006D6986" w:rsidP="006D6986">
      <w:pPr>
        <w:tabs>
          <w:tab w:val="left" w:pos="2160"/>
        </w:tabs>
        <w:spacing w:after="120"/>
        <w:ind w:left="2160" w:hanging="2160"/>
        <w:rPr>
          <w:b/>
        </w:rPr>
      </w:pPr>
      <w:hyperlink w:anchor="Table_8a" w:tooltip="Table 8a" w:history="1">
        <w:r w:rsidRPr="00BB6059">
          <w:rPr>
            <w:rStyle w:val="Hyperlink"/>
            <w:bCs/>
          </w:rPr>
          <w:t>Table_8a</w:t>
        </w:r>
      </w:hyperlink>
      <w:r w:rsidRPr="00BB6059">
        <w:rPr>
          <w:rStyle w:val="Hyperlink"/>
          <w:bCs/>
        </w:rPr>
        <w:t xml:space="preserve"> - </w:t>
      </w:r>
      <w:hyperlink w:anchor="Table_8c" w:tooltip="Table 8c" w:history="1">
        <w:r w:rsidRPr="00BB6059">
          <w:rPr>
            <w:rStyle w:val="Hyperlink"/>
            <w:bCs/>
          </w:rPr>
          <w:t>8c</w:t>
        </w:r>
      </w:hyperlink>
      <w:r w:rsidRPr="00BB6059">
        <w:rPr>
          <w:rStyle w:val="Hyperlink"/>
          <w:bCs/>
        </w:rPr>
        <w:t>:</w:t>
      </w:r>
      <w:r w:rsidRPr="00BB6059">
        <w:rPr>
          <w:b/>
        </w:rPr>
        <w:tab/>
      </w:r>
      <w:r w:rsidRPr="00BB6059">
        <w:rPr>
          <w:rStyle w:val="APDTableChapterChar"/>
        </w:rPr>
        <w:t>Title 30 Texas Administrative Code Chapter 113 (30 TAC Chapter 113), Subchapter D: Hospital/Medical Infectious Waste Incinerators</w:t>
      </w:r>
    </w:p>
    <w:p w14:paraId="1A550F2A" w14:textId="77777777" w:rsidR="006D6986" w:rsidRPr="00BB6059" w:rsidRDefault="006D6986" w:rsidP="006D6986">
      <w:pPr>
        <w:tabs>
          <w:tab w:val="left" w:pos="2160"/>
        </w:tabs>
        <w:spacing w:after="120"/>
        <w:ind w:left="2160" w:hanging="2160"/>
        <w:rPr>
          <w:rStyle w:val="APDTableChapterChar"/>
        </w:rPr>
      </w:pPr>
      <w:hyperlink w:anchor="Table_9a" w:tooltip="Table 9a" w:history="1">
        <w:r w:rsidRPr="00BB6059">
          <w:rPr>
            <w:rStyle w:val="Hyperlink"/>
            <w:bCs/>
          </w:rPr>
          <w:t>Table_9a</w:t>
        </w:r>
      </w:hyperlink>
      <w:r w:rsidRPr="00BB6059">
        <w:rPr>
          <w:rStyle w:val="Hyperlink"/>
          <w:bCs/>
        </w:rPr>
        <w:t xml:space="preserve"> - </w:t>
      </w:r>
      <w:hyperlink w:anchor="Table_9b" w:tooltip="Table 9b" w:history="1">
        <w:r w:rsidRPr="00BB6059">
          <w:rPr>
            <w:rStyle w:val="Hyperlink"/>
            <w:bCs/>
          </w:rPr>
          <w:t>9b</w:t>
        </w:r>
      </w:hyperlink>
      <w:r w:rsidRPr="00BB6059">
        <w:rPr>
          <w:rStyle w:val="Hyperlink"/>
          <w:bCs/>
        </w:rPr>
        <w:t>:</w:t>
      </w:r>
      <w:r w:rsidRPr="00BB6059">
        <w:rPr>
          <w:b/>
        </w:rPr>
        <w:tab/>
      </w:r>
      <w:r w:rsidRPr="00BB6059">
        <w:rPr>
          <w:rStyle w:val="APDTableChapterChar"/>
        </w:rPr>
        <w:t>Title 30 Texas Administrative Code Chapter 117 (30 TAC Chapter 117), Subchapter E: Division 1:  Utility Electric Generation in East and Central Texas</w:t>
      </w:r>
    </w:p>
    <w:p w14:paraId="4C338D02" w14:textId="77777777" w:rsidR="006D6986" w:rsidRPr="00BB6059" w:rsidRDefault="006D6986" w:rsidP="006D6986">
      <w:pPr>
        <w:spacing w:after="120"/>
        <w:ind w:left="2160" w:hanging="2160"/>
        <w:rPr>
          <w:b/>
        </w:rPr>
      </w:pPr>
      <w:hyperlink w:anchor="Table_10a" w:tooltip="Table 10a" w:history="1">
        <w:r w:rsidRPr="00BB6059">
          <w:rPr>
            <w:rStyle w:val="Hyperlink"/>
            <w:bCs/>
          </w:rPr>
          <w:t>Table_10a</w:t>
        </w:r>
      </w:hyperlink>
      <w:r w:rsidRPr="00BB6059">
        <w:rPr>
          <w:rStyle w:val="Hyperlink"/>
          <w:bCs/>
        </w:rPr>
        <w:t xml:space="preserve"> - </w:t>
      </w:r>
      <w:hyperlink w:anchor="Table_10b" w:tooltip="Table 10b" w:history="1">
        <w:r w:rsidRPr="00BB6059">
          <w:rPr>
            <w:rStyle w:val="Hyperlink"/>
            <w:bCs/>
          </w:rPr>
          <w:t>10b</w:t>
        </w:r>
      </w:hyperlink>
      <w:r w:rsidRPr="00BB6059">
        <w:rPr>
          <w:rStyle w:val="Hyperlink"/>
          <w:bCs/>
        </w:rPr>
        <w:t>:</w:t>
      </w:r>
      <w:r w:rsidRPr="00BB6059">
        <w:rPr>
          <w:b/>
        </w:rPr>
        <w:tab/>
      </w:r>
      <w:r w:rsidRPr="00BB6059">
        <w:rPr>
          <w:rStyle w:val="APDTableChapterChar"/>
        </w:rPr>
        <w:t>Title 40 Code of Federal Regulations Part 63 (40 CFR Part 63), Subpart EEE:  Hazardous Waste Combustors</w:t>
      </w:r>
    </w:p>
    <w:p w14:paraId="70B55BE4" w14:textId="77777777" w:rsidR="006D6986" w:rsidRPr="00BB6059" w:rsidRDefault="006D6986" w:rsidP="006D6986">
      <w:pPr>
        <w:tabs>
          <w:tab w:val="left" w:pos="2160"/>
        </w:tabs>
        <w:spacing w:after="120"/>
        <w:ind w:left="2160" w:hanging="2160"/>
        <w:rPr>
          <w:b/>
        </w:rPr>
      </w:pPr>
      <w:hyperlink w:anchor="Table_11" w:tooltip="Table 11" w:history="1">
        <w:r w:rsidRPr="00BB6059">
          <w:rPr>
            <w:rStyle w:val="Hyperlink"/>
            <w:bCs/>
          </w:rPr>
          <w:t>Table 11:</w:t>
        </w:r>
      </w:hyperlink>
      <w:r w:rsidRPr="00BB6059">
        <w:rPr>
          <w:b/>
        </w:rPr>
        <w:tab/>
      </w:r>
      <w:r w:rsidRPr="00BB6059">
        <w:rPr>
          <w:rStyle w:val="APDTableChapterChar"/>
        </w:rPr>
        <w:t>Title 30 Texas Administrative Code Chapter 111 (30 TAC Chapter 111), Subchapter A: Division 2:  Incineration</w:t>
      </w:r>
    </w:p>
    <w:p w14:paraId="789335AE" w14:textId="77777777" w:rsidR="006D6986" w:rsidRPr="00BB6059" w:rsidRDefault="006D6986" w:rsidP="006D6986">
      <w:pPr>
        <w:tabs>
          <w:tab w:val="left" w:pos="2160"/>
        </w:tabs>
        <w:spacing w:after="120"/>
        <w:ind w:left="2160" w:hanging="2160"/>
        <w:rPr>
          <w:b/>
        </w:rPr>
      </w:pPr>
      <w:hyperlink w:anchor="Table_12" w:tooltip="Table 12" w:history="1">
        <w:r w:rsidRPr="00BB6059">
          <w:rPr>
            <w:rStyle w:val="Hyperlink"/>
            <w:bCs/>
          </w:rPr>
          <w:t>Table 12:</w:t>
        </w:r>
      </w:hyperlink>
      <w:r w:rsidRPr="00BB6059">
        <w:rPr>
          <w:b/>
        </w:rPr>
        <w:tab/>
      </w:r>
      <w:r w:rsidRPr="00BB6059">
        <w:rPr>
          <w:rStyle w:val="APDTableChapterChar"/>
        </w:rPr>
        <w:t>Title 30 Texas Administrative Code Chapter 111 (30 TAC Chapter 111), Subchapter A: Division 5:  Emission Limits on Nonagricultural Sources</w:t>
      </w:r>
    </w:p>
    <w:p w14:paraId="427F5E27" w14:textId="77777777" w:rsidR="006D6986" w:rsidRPr="00234662" w:rsidRDefault="006D6986" w:rsidP="006D6986">
      <w:pPr>
        <w:pStyle w:val="APDTableLowerForm"/>
        <w:tabs>
          <w:tab w:val="left" w:pos="2160"/>
        </w:tabs>
        <w:ind w:left="2160" w:hanging="2160"/>
        <w:rPr>
          <w:rStyle w:val="APDTableChapterChar"/>
        </w:rPr>
      </w:pPr>
      <w:hyperlink w:anchor="Table_13a" w:tooltip="Table 13a" w:history="1">
        <w:r w:rsidRPr="00BE6932">
          <w:rPr>
            <w:rStyle w:val="Hyperlink"/>
            <w:rFonts w:ascii="Times New Roman" w:hAnsi="Times New Roman" w:cs="Times New Roman"/>
            <w:bCs/>
            <w:sz w:val="22"/>
          </w:rPr>
          <w:t>Table_13a</w:t>
        </w:r>
      </w:hyperlink>
      <w:r w:rsidRPr="00BE6932">
        <w:rPr>
          <w:rStyle w:val="Hyperlink"/>
          <w:rFonts w:ascii="Times New Roman" w:hAnsi="Times New Roman" w:cs="Times New Roman"/>
          <w:bCs/>
          <w:sz w:val="22"/>
        </w:rPr>
        <w:t xml:space="preserve"> - </w:t>
      </w:r>
      <w:hyperlink w:anchor="Table_13i" w:tooltip="Table 13i" w:history="1">
        <w:r w:rsidRPr="00BE6932">
          <w:rPr>
            <w:rStyle w:val="Hyperlink"/>
            <w:rFonts w:ascii="Times New Roman" w:hAnsi="Times New Roman" w:cs="Times New Roman"/>
            <w:bCs/>
            <w:sz w:val="22"/>
          </w:rPr>
          <w:t>13i</w:t>
        </w:r>
      </w:hyperlink>
      <w:r w:rsidRPr="00BE6932">
        <w:rPr>
          <w:rStyle w:val="Hyperlink"/>
          <w:rFonts w:ascii="Times New Roman" w:hAnsi="Times New Roman" w:cs="Times New Roman"/>
          <w:bCs/>
          <w:sz w:val="22"/>
        </w:rPr>
        <w:t>:</w:t>
      </w:r>
      <w:r w:rsidRPr="00BB6059">
        <w:tab/>
      </w:r>
      <w:r w:rsidRPr="008015E0">
        <w:rPr>
          <w:rStyle w:val="APDTableChapterChar"/>
        </w:rPr>
        <w:t>Title 40 Code of Federal Regulations Part 63 (40 CFR Part 63), Subpart UUUUU: Coal-and Oil-Fired Electric Utility Steam Generating Units</w:t>
      </w:r>
    </w:p>
    <w:p w14:paraId="2B4BE772" w14:textId="77777777" w:rsidR="006D6986" w:rsidRPr="00BB6059" w:rsidRDefault="006D6986" w:rsidP="006D6986">
      <w:pPr>
        <w:spacing w:after="120"/>
        <w:ind w:left="2160" w:hanging="2160"/>
        <w:rPr>
          <w:b/>
          <w:bCs/>
        </w:rPr>
      </w:pPr>
      <w:hyperlink w:anchor="Table_14a" w:tooltip="Table 14a" w:history="1">
        <w:r w:rsidRPr="00BB6059">
          <w:rPr>
            <w:rStyle w:val="Hyperlink"/>
            <w:bCs/>
          </w:rPr>
          <w:t>Table_14a</w:t>
        </w:r>
      </w:hyperlink>
      <w:r w:rsidRPr="00BB6059">
        <w:rPr>
          <w:rStyle w:val="Hyperlink"/>
          <w:bCs/>
        </w:rPr>
        <w:t xml:space="preserve"> - </w:t>
      </w:r>
      <w:hyperlink w:anchor="Table_14g" w:tooltip="Table 14g" w:history="1">
        <w:r w:rsidRPr="00BB6059">
          <w:rPr>
            <w:rStyle w:val="Hyperlink"/>
            <w:bCs/>
          </w:rPr>
          <w:t>14g</w:t>
        </w:r>
      </w:hyperlink>
      <w:r w:rsidRPr="00BB6059">
        <w:rPr>
          <w:rStyle w:val="Hyperlink"/>
          <w:bCs/>
        </w:rPr>
        <w:t>:</w:t>
      </w:r>
      <w:r w:rsidRPr="00BB6059">
        <w:rPr>
          <w:b/>
        </w:rPr>
        <w:tab/>
      </w:r>
      <w:r w:rsidRPr="00BB6059">
        <w:rPr>
          <w:rStyle w:val="APDTableChapterChar"/>
        </w:rPr>
        <w:t>Title 40 Code of Federal Regulations Part 63 (40 CFR Part 63), Subpart DDDDD: Industrial, Commercial, and Institutional Boilers</w:t>
      </w:r>
    </w:p>
    <w:bookmarkStart w:id="1" w:name="_Hlk146024072"/>
    <w:p w14:paraId="19FABBC3" w14:textId="77777777" w:rsidR="006D6986" w:rsidRPr="00BB6059" w:rsidRDefault="006D6986" w:rsidP="006D6986">
      <w:pPr>
        <w:spacing w:after="120"/>
        <w:ind w:left="2160" w:hanging="2160"/>
        <w:rPr>
          <w:b/>
          <w:bCs/>
        </w:rPr>
      </w:pPr>
      <w:r w:rsidRPr="00BB6059">
        <w:rPr>
          <w:rStyle w:val="Hyperlink"/>
          <w:b w:val="0"/>
          <w:bCs/>
        </w:rPr>
        <w:fldChar w:fldCharType="begin"/>
      </w:r>
      <w:r>
        <w:rPr>
          <w:rStyle w:val="Hyperlink"/>
          <w:bCs/>
        </w:rPr>
        <w:instrText>HYPERLINK  \l "Table_15a" \o "Table 15a"</w:instrText>
      </w:r>
      <w:r w:rsidRPr="00BB6059">
        <w:rPr>
          <w:rStyle w:val="Hyperlink"/>
          <w:b w:val="0"/>
          <w:bCs/>
        </w:rPr>
      </w:r>
      <w:r w:rsidRPr="00BB6059">
        <w:rPr>
          <w:rStyle w:val="Hyperlink"/>
          <w:b w:val="0"/>
          <w:bCs/>
        </w:rPr>
        <w:fldChar w:fldCharType="separate"/>
      </w:r>
      <w:r w:rsidRPr="00BB6059">
        <w:rPr>
          <w:rStyle w:val="Hyperlink"/>
          <w:bCs/>
        </w:rPr>
        <w:t>Table_15a</w:t>
      </w:r>
      <w:r w:rsidRPr="00BB6059">
        <w:rPr>
          <w:rStyle w:val="Hyperlink"/>
          <w:b w:val="0"/>
          <w:bCs/>
        </w:rPr>
        <w:fldChar w:fldCharType="end"/>
      </w:r>
      <w:r w:rsidRPr="00BB6059">
        <w:rPr>
          <w:rStyle w:val="Hyperlink"/>
          <w:bCs/>
        </w:rPr>
        <w:t xml:space="preserve"> – </w:t>
      </w:r>
      <w:hyperlink w:anchor="Table_15b" w:tooltip="Table 15b" w:history="1">
        <w:r w:rsidRPr="00BB6059">
          <w:rPr>
            <w:rStyle w:val="Hyperlink"/>
            <w:bCs/>
          </w:rPr>
          <w:t>15b</w:t>
        </w:r>
      </w:hyperlink>
      <w:r w:rsidRPr="00BB6059">
        <w:rPr>
          <w:rStyle w:val="Hyperlink"/>
          <w:bCs/>
        </w:rPr>
        <w:t>:</w:t>
      </w:r>
      <w:bookmarkEnd w:id="1"/>
      <w:r w:rsidRPr="00BB6059">
        <w:rPr>
          <w:b/>
          <w:bCs/>
        </w:rPr>
        <w:tab/>
      </w:r>
      <w:bookmarkStart w:id="2" w:name="_Hlk87879382"/>
      <w:r w:rsidRPr="00BB6059">
        <w:rPr>
          <w:rStyle w:val="APDTableChapterChar"/>
        </w:rPr>
        <w:t>Title 40 Code of Federal Regulations Part 60 (40 CFR Part 60), Subpart TTTT: Standards of Performance for Greenhouse Gas Emissions for Electric Utility Generating Units</w:t>
      </w:r>
      <w:bookmarkEnd w:id="2"/>
    </w:p>
    <w:p w14:paraId="4301D5EC" w14:textId="77777777" w:rsidR="006D6986" w:rsidRPr="00BB6059" w:rsidRDefault="006D6986" w:rsidP="006D6986">
      <w:pPr>
        <w:pStyle w:val="APDBodyTextItalics"/>
      </w:pPr>
      <w:r w:rsidRPr="00BB6059">
        <w:t>Note:  Form OP-UA15 (Emission Point/Stationary Vent, Distillation Vent/VOC Process Vent Attributes) Emission Points, Table 1: Title 30 TAC Chapter 111 must also be completed for all combustion units operated to generate steam.</w:t>
      </w:r>
    </w:p>
    <w:p w14:paraId="38788D69" w14:textId="77777777" w:rsidR="006D6986" w:rsidRPr="00BB6059" w:rsidRDefault="006D6986" w:rsidP="006D6986">
      <w:pPr>
        <w:pStyle w:val="APDBodyText"/>
      </w:pPr>
      <w:r w:rsidRPr="00BB6059">
        <w:t xml:space="preserve">The Texas Commission on Environmental Quality (TCEQ) Regulated Entity Number (RNXXXXXXXXX) and the application area name from Form OP-1 (Site Information Summary) must appear in the header of each page for the purpose of identification for the initial submittal. The date of the initial form submittal must also be included and should be consistent throughout the application (MM/DD/YYYY). </w:t>
      </w:r>
      <w:r w:rsidRPr="00FD5C95">
        <w:rPr>
          <w:b/>
          <w:bCs/>
        </w:rPr>
        <w:t>Leave the permit number blank for the initial form submittal.</w:t>
      </w:r>
      <w:r w:rsidRPr="00BB6059">
        <w:t xml:space="preserve"> If this form is included as part of the permit revision process, enter the permit number assigned by the TCEQ, the area name (from Form OP-1), the date of the revision submittal, and the regulated entity number.</w:t>
      </w:r>
    </w:p>
    <w:p w14:paraId="03D5C459" w14:textId="77777777" w:rsidR="006D6986" w:rsidRPr="00BB6059" w:rsidRDefault="006D6986" w:rsidP="006D6986">
      <w:pPr>
        <w:pStyle w:val="APDBodyText"/>
        <w:rPr>
          <w:b/>
        </w:rPr>
      </w:pPr>
      <w:r w:rsidRPr="00BB6059">
        <w:t xml:space="preserve">Unit attribute questions that do not require a response from all applicants are preceded by qualification criteria in the instructions. If the unit does not meet the qualification criteria, a response to the question is not required. </w:t>
      </w:r>
      <w:r w:rsidRPr="00BB6059">
        <w:rPr>
          <w:b/>
        </w:rPr>
        <w:t>Anytime a response is not required based on the qualification criteria, leave the space on the form blank.</w:t>
      </w:r>
    </w:p>
    <w:p w14:paraId="3ADA3D95" w14:textId="77777777" w:rsidR="006D6986" w:rsidRPr="00BB6059" w:rsidRDefault="006D6986" w:rsidP="006D6986">
      <w:pPr>
        <w:pStyle w:val="APDBodyTextBold"/>
      </w:pPr>
      <w:r w:rsidRPr="00BB6059">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14:paraId="61796042" w14:textId="77777777" w:rsidR="006D6986" w:rsidRPr="00BB6059" w:rsidRDefault="006D6986" w:rsidP="006D6986">
      <w:pPr>
        <w:pStyle w:val="APDBodyText"/>
        <w:spacing w:after="0"/>
      </w:pPr>
      <w:r w:rsidRPr="00BB6059">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(EPA) Administrator before the federal operating permit application is submitted.</w:t>
      </w:r>
    </w:p>
    <w:p w14:paraId="086EA9BC" w14:textId="77777777" w:rsidR="006D6986" w:rsidRDefault="006D6986" w:rsidP="006D6986">
      <w:r>
        <w:br w:type="page"/>
      </w:r>
    </w:p>
    <w:p w14:paraId="01323AB1" w14:textId="77777777" w:rsidR="009A008E" w:rsidRPr="00EF0801" w:rsidRDefault="00F861CF" w:rsidP="00642A8A">
      <w:pPr>
        <w:pStyle w:val="APDBodyText"/>
      </w:pPr>
      <w:r w:rsidRPr="00EF0801">
        <w:lastRenderedPageBreak/>
        <w:t xml:space="preserve">The Texas Commission on Environmental Quality (TCEQ) </w:t>
      </w:r>
      <w:r w:rsidRPr="000B6F8A">
        <w:t>requires</w:t>
      </w:r>
      <w:r w:rsidRPr="00EF0801">
        <w:t xml:space="preserve"> that a Core Data Form be submitted on all incoming registrations unless all of the following are met: </w:t>
      </w:r>
      <w:r w:rsidR="000B7D42" w:rsidRPr="00EF0801">
        <w:t>The</w:t>
      </w:r>
      <w:r w:rsidRPr="00EF0801">
        <w:t xml:space="preserve"> Regulated Entity and Customer Reference Numbers have been issued by the TCEQ and no core data information has changed. The Central Registry, a common record area of the TCEQ, maintains information about TCEQ customers and regulated activities, such as company names, addresses, and telephone numbers.</w:t>
      </w:r>
      <w:r w:rsidR="007059BD">
        <w:t xml:space="preserve"> </w:t>
      </w:r>
      <w:r w:rsidRPr="00EF0801">
        <w:t xml:space="preserve">This information is commonly referred to as “core data.” The Central Registry provides the regulated community with a central access point within the agency to check core data and make changes when necessary. When core data about a facility is moved to the Central Registry, two new identification numbers are assigned:  </w:t>
      </w:r>
      <w:r w:rsidR="000B7D42" w:rsidRPr="00EF0801">
        <w:t>The</w:t>
      </w:r>
      <w:r w:rsidRPr="00EF0801">
        <w:t xml:space="preserve"> Customer Reference (CN) number and the Regulated Entity (RN) number. The Core Data Form is required if facility records are not yet part of the Central Registry or if core data for a facility has changed. If this is the initial registration, permit, or license for a facility site, then the Core Data Form must be completed and submitted with application or registration forms. If </w:t>
      </w:r>
    </w:p>
    <w:p w14:paraId="4635CCDF" w14:textId="6F49E710" w:rsidR="00F861CF" w:rsidRPr="00EF0801" w:rsidRDefault="00F861CF" w:rsidP="00642A8A">
      <w:pPr>
        <w:pStyle w:val="APDBodyText"/>
      </w:pPr>
      <w:r w:rsidRPr="00EF0801">
        <w:t xml:space="preserve">amending, modifying, or otherwise updating an existing record for a facility site, the Core Data Form is not required, unless any core data information has changed. To review additional information regarding the Central Registry, go to the TCEQ website at </w:t>
      </w:r>
      <w:hyperlink r:id="rId12" w:tooltip="TCEQ - Central Registry - Core Data Forms" w:history="1">
        <w:r w:rsidR="00495923" w:rsidRPr="00885E28">
          <w:rPr>
            <w:rStyle w:val="Hyperlink"/>
          </w:rPr>
          <w:t>www.tceq.texas.gov/permitting/central_registry/index.html</w:t>
        </w:r>
      </w:hyperlink>
      <w:r w:rsidRPr="00EF0801">
        <w:t>.</w:t>
      </w:r>
    </w:p>
    <w:p w14:paraId="190151DE" w14:textId="77777777" w:rsidR="00F861CF" w:rsidRPr="00EF0801" w:rsidRDefault="00F861CF" w:rsidP="00642A8A">
      <w:pPr>
        <w:pBdr>
          <w:bottom w:val="double" w:sz="6" w:space="1" w:color="auto"/>
        </w:pBdr>
      </w:pPr>
    </w:p>
    <w:p w14:paraId="62AE76BB" w14:textId="77777777" w:rsidR="00F861CF" w:rsidRPr="00EF0801" w:rsidRDefault="00F861CF" w:rsidP="00743E69">
      <w:pPr>
        <w:pStyle w:val="APDHeading2"/>
      </w:pPr>
      <w:bookmarkStart w:id="3" w:name="_Toc180398487"/>
      <w:bookmarkStart w:id="4" w:name="_Toc180398541"/>
      <w:r w:rsidRPr="00EF0801">
        <w:t>Specific:</w:t>
      </w:r>
      <w:bookmarkEnd w:id="3"/>
      <w:bookmarkEnd w:id="4"/>
    </w:p>
    <w:bookmarkStart w:id="5" w:name="Table_1a"/>
    <w:p w14:paraId="5A0DCFE7" w14:textId="3654C4AE" w:rsidR="00F861CF" w:rsidRPr="00264FB3" w:rsidRDefault="00762606" w:rsidP="0099721B">
      <w:pPr>
        <w:pStyle w:val="APDChapterTitles"/>
        <w:rPr>
          <w:rStyle w:val="APDTableChapterChar"/>
          <w:b/>
          <w:bCs w:val="0"/>
        </w:rPr>
      </w:pPr>
      <w:r w:rsidRPr="00690161">
        <w:rPr>
          <w:rStyle w:val="Hyperlink"/>
          <w:b/>
        </w:rPr>
        <w:fldChar w:fldCharType="begin"/>
      </w:r>
      <w:r w:rsidR="001A7644">
        <w:rPr>
          <w:rStyle w:val="Hyperlink"/>
          <w:b/>
        </w:rPr>
        <w:instrText>HYPERLINK  \l "TBL_1a" \o "Table 1a"</w:instrText>
      </w:r>
      <w:r w:rsidRPr="00690161">
        <w:rPr>
          <w:rStyle w:val="Hyperlink"/>
          <w:b/>
        </w:rPr>
      </w:r>
      <w:r w:rsidRPr="00690161">
        <w:rPr>
          <w:rStyle w:val="Hyperlink"/>
          <w:b/>
        </w:rPr>
        <w:fldChar w:fldCharType="separate"/>
      </w:r>
      <w:bookmarkStart w:id="6" w:name="_Toc180398488"/>
      <w:bookmarkStart w:id="7" w:name="_Toc180398542"/>
      <w:r w:rsidR="00F861CF" w:rsidRPr="00690161">
        <w:rPr>
          <w:rStyle w:val="Hyperlink"/>
          <w:b/>
        </w:rPr>
        <w:t>Table 1a</w:t>
      </w:r>
      <w:bookmarkEnd w:id="5"/>
      <w:r w:rsidR="00F861CF" w:rsidRPr="00690161">
        <w:rPr>
          <w:rStyle w:val="Hyperlink"/>
          <w:b/>
        </w:rPr>
        <w:t>:</w:t>
      </w:r>
      <w:r w:rsidRPr="00690161">
        <w:rPr>
          <w:rStyle w:val="Hyperlink"/>
          <w:b/>
        </w:rPr>
        <w:fldChar w:fldCharType="end"/>
      </w:r>
      <w:r w:rsidR="00F861CF" w:rsidRPr="00EF0801">
        <w:tab/>
      </w:r>
      <w:r w:rsidR="00F861CF" w:rsidRPr="00264FB3">
        <w:rPr>
          <w:rStyle w:val="APDTableChapterChar"/>
          <w:b/>
        </w:rPr>
        <w:t>Title 40 Code of Federal Regulations Part 60 (40 CFR Part 60)</w:t>
      </w:r>
      <w:r w:rsidR="0026395C" w:rsidRPr="00264FB3">
        <w:rPr>
          <w:rStyle w:val="APDTableChapterChar"/>
          <w:b/>
        </w:rPr>
        <w:t>,</w:t>
      </w:r>
      <w:r w:rsidR="00AF1FBA" w:rsidRPr="00264FB3">
        <w:rPr>
          <w:rStyle w:val="APDTableChapterChar"/>
          <w:b/>
        </w:rPr>
        <w:t xml:space="preserve"> </w:t>
      </w:r>
      <w:r w:rsidR="00F861CF" w:rsidRPr="00264FB3">
        <w:rPr>
          <w:rStyle w:val="APDTableChapterChar"/>
          <w:b/>
        </w:rPr>
        <w:t>Subpart D:  Standards of Performance for Fossil Fuel-Fired Steam Generators</w:t>
      </w:r>
      <w:bookmarkEnd w:id="6"/>
      <w:bookmarkEnd w:id="7"/>
    </w:p>
    <w:p w14:paraId="5EEDC74E" w14:textId="77777777" w:rsidR="00F861CF" w:rsidRPr="00642A8A" w:rsidRDefault="00F861CF" w:rsidP="00642A8A">
      <w:pPr>
        <w:pStyle w:val="APDStarComplete"/>
        <w:numPr>
          <w:ilvl w:val="0"/>
          <w:numId w:val="57"/>
        </w:numPr>
        <w:ind w:left="547" w:hanging="547"/>
      </w:pPr>
      <w:r w:rsidRPr="00642A8A">
        <w:t>Complete for site operating permit (SOP) applications only.</w:t>
      </w:r>
    </w:p>
    <w:p w14:paraId="6303D4E0" w14:textId="0D574272" w:rsidR="00F861CF" w:rsidRPr="00EF0801" w:rsidRDefault="00F861CF" w:rsidP="00652DA9">
      <w:pPr>
        <w:pStyle w:val="APDBodyTextItalics"/>
      </w:pPr>
      <w:r w:rsidRPr="00EF0801">
        <w:t xml:space="preserve">Note:  Per TCEQ Rule Interpretation Number 60D.004, steam generating units greater than 73 MW (250 MMBtu/hr) and constructed after June 19, </w:t>
      </w:r>
      <w:r w:rsidR="007059BD" w:rsidRPr="00EF0801">
        <w:t>1986,</w:t>
      </w:r>
      <w:r w:rsidRPr="00EF0801">
        <w:t xml:space="preserve"> are not subject to 40 CFR Part 60, Subpart D. Therefore, Tables 1a - 1b should not be completed for these units. However, these units are potentially subject to 40 CFR Part 60, Subpart Db. Tables 3a - 3d should be completed as necessary.</w:t>
      </w:r>
    </w:p>
    <w:p w14:paraId="250A718A" w14:textId="1C2DC4F5" w:rsidR="00F861CF" w:rsidRPr="00EF0801" w:rsidRDefault="00F861CF" w:rsidP="009B012B">
      <w:pPr>
        <w:pStyle w:val="APDStrong"/>
        <w:tabs>
          <w:tab w:val="left" w:pos="6840"/>
        </w:tabs>
      </w:pPr>
      <w:r w:rsidRPr="00EF0801">
        <w:t xml:space="preserve">Unit ID </w:t>
      </w:r>
      <w:r w:rsidR="00B42127">
        <w:t>No</w:t>
      </w:r>
      <w:r w:rsidRPr="00EF0801">
        <w:t>.</w:t>
      </w:r>
      <w:r w:rsidRPr="00EC5E23">
        <w:rPr>
          <w:bCs/>
        </w:rPr>
        <w:t>:</w:t>
      </w:r>
    </w:p>
    <w:p w14:paraId="1CB27EA5" w14:textId="142D5ABF" w:rsidR="00F861CF" w:rsidRPr="00A94093" w:rsidRDefault="00F861CF" w:rsidP="00A94093">
      <w:pPr>
        <w:pStyle w:val="APDBodyText"/>
      </w:pPr>
      <w:r w:rsidRPr="00A94093">
        <w:t xml:space="preserve">Enter the identification number (ID </w:t>
      </w:r>
      <w:r w:rsidR="00B42127">
        <w:t>N</w:t>
      </w:r>
      <w:r w:rsidR="005667BA">
        <w:t>o</w:t>
      </w:r>
      <w:r w:rsidRPr="00A94093">
        <w:t>.) for the unit (maximum 10 characters) as listed on</w:t>
      </w:r>
      <w:r w:rsidR="003B4A69" w:rsidRPr="00A94093">
        <w:t xml:space="preserve"> Form OP</w:t>
      </w:r>
      <w:r w:rsidR="003B4A69" w:rsidRPr="00A94093">
        <w:noBreakHyphen/>
        <w:t xml:space="preserve">SUM (Individual </w:t>
      </w:r>
      <w:r w:rsidRPr="00A94093">
        <w:t>Unit Summary).</w:t>
      </w:r>
    </w:p>
    <w:p w14:paraId="06B14CAC" w14:textId="7B993680" w:rsidR="00F861CF" w:rsidRPr="00EF0801" w:rsidRDefault="00F861CF" w:rsidP="00A94093">
      <w:pPr>
        <w:pStyle w:val="APDStrong"/>
      </w:pPr>
      <w:r w:rsidRPr="00EF0801">
        <w:t xml:space="preserve">SOP Index </w:t>
      </w:r>
      <w:r w:rsidR="00B42127">
        <w:t>No</w:t>
      </w:r>
      <w:r w:rsidRPr="00EF0801">
        <w:t>.</w:t>
      </w:r>
      <w:r w:rsidRPr="00EC5E23">
        <w:rPr>
          <w:bCs/>
        </w:rPr>
        <w:t>:</w:t>
      </w:r>
    </w:p>
    <w:p w14:paraId="5AD715F5" w14:textId="77D77671" w:rsidR="00F861CF" w:rsidRPr="00EF0801" w:rsidRDefault="00F861CF" w:rsidP="00A94093">
      <w:pPr>
        <w:pStyle w:val="APDBodyText"/>
      </w:pPr>
      <w:r w:rsidRPr="00A94093">
        <w:t>Site operating permit (SOP) applicants should indicate the SOP index number for the uni</w:t>
      </w:r>
      <w:r w:rsidR="003B4A69" w:rsidRPr="00A94093">
        <w:t>t or group of units (maximum</w:t>
      </w:r>
      <w:r w:rsidR="00EF0801" w:rsidRPr="00A94093">
        <w:t> </w:t>
      </w:r>
      <w:r w:rsidR="003B4A69" w:rsidRPr="00A94093">
        <w:t>15</w:t>
      </w:r>
      <w:r w:rsidR="00EF0801" w:rsidRPr="00A94093">
        <w:t> </w:t>
      </w:r>
      <w:r w:rsidRPr="00A94093">
        <w:t xml:space="preserve">characters consisting of numeric, alphanumeric characters, and/or dashes prefixed by a code for the applicable regulation [i.e., 60KB-XXXX]). </w:t>
      </w:r>
      <w:r w:rsidR="00B4259A" w:rsidRPr="00A94093">
        <w:t>For additional information relating to SOP index numbers, please see the Completing FOP Applications – Additional Guidance on the TCEQ website at</w:t>
      </w:r>
      <w:r w:rsidR="00B4259A" w:rsidRPr="00EF0801">
        <w:t xml:space="preserve"> </w:t>
      </w:r>
      <w:hyperlink r:id="rId13" w:tooltip="TCEQ - Completing FOP Applications - Additional Guidance" w:history="1">
        <w:r w:rsidR="00B4259A" w:rsidRPr="00885E28">
          <w:rPr>
            <w:rStyle w:val="Hyperlink"/>
          </w:rPr>
          <w:t>www.tceq.texas.gov/permitting/air/guidance/titlev/tv_fop_guidance.html</w:t>
        </w:r>
      </w:hyperlink>
      <w:r w:rsidR="00B4259A">
        <w:rPr>
          <w:rStyle w:val="Hyperlink"/>
          <w:color w:val="auto"/>
          <w:u w:val="none"/>
        </w:rPr>
        <w:t>.</w:t>
      </w:r>
    </w:p>
    <w:p w14:paraId="0872500B" w14:textId="77777777" w:rsidR="00F861CF" w:rsidRPr="00EF0801" w:rsidRDefault="00F861CF" w:rsidP="00A94093">
      <w:pPr>
        <w:pStyle w:val="APDStrong"/>
      </w:pPr>
      <w:bookmarkStart w:id="8" w:name="_Hlk31013720"/>
      <w:r w:rsidRPr="00EF0801">
        <w:t>Construction/Modification Date</w:t>
      </w:r>
      <w:r w:rsidRPr="00EC5E23">
        <w:rPr>
          <w:bCs/>
        </w:rPr>
        <w:t>:</w:t>
      </w:r>
    </w:p>
    <w:p w14:paraId="24756906" w14:textId="77777777" w:rsidR="00F861CF" w:rsidRDefault="00F861CF" w:rsidP="00A94093">
      <w:pPr>
        <w:pStyle w:val="APDBodyText"/>
      </w:pPr>
      <w:r w:rsidRPr="00A94093">
        <w:t>Select one of the following options that describe the date of commencement of the most recent construction, modification, or reconstruction.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Code and Description"/>
      </w:tblPr>
      <w:tblGrid>
        <w:gridCol w:w="1660"/>
        <w:gridCol w:w="8420"/>
      </w:tblGrid>
      <w:tr w:rsidR="009A008E" w14:paraId="3849C2DD" w14:textId="77777777" w:rsidTr="00F30D0E">
        <w:trPr>
          <w:cantSplit/>
          <w:tblHeader/>
        </w:trPr>
        <w:tc>
          <w:tcPr>
            <w:tcW w:w="1660" w:type="dxa"/>
            <w:vAlign w:val="bottom"/>
          </w:tcPr>
          <w:p w14:paraId="6EA4DB81" w14:textId="4D2F3500" w:rsidR="009A008E" w:rsidRPr="00E17B84" w:rsidRDefault="009A008E" w:rsidP="005E254E">
            <w:pPr>
              <w:pStyle w:val="APDBodyText"/>
              <w:spacing w:after="0"/>
              <w:rPr>
                <w:b/>
                <w:bCs/>
              </w:rPr>
            </w:pPr>
            <w:r w:rsidRPr="00E17B84">
              <w:rPr>
                <w:b/>
                <w:bCs/>
              </w:rPr>
              <w:t>Code</w:t>
            </w:r>
          </w:p>
        </w:tc>
        <w:tc>
          <w:tcPr>
            <w:tcW w:w="8420" w:type="dxa"/>
            <w:vAlign w:val="bottom"/>
          </w:tcPr>
          <w:p w14:paraId="4585C7AB" w14:textId="27111A77" w:rsidR="009A008E" w:rsidRPr="00E17B84" w:rsidRDefault="009A008E" w:rsidP="005E254E">
            <w:pPr>
              <w:pStyle w:val="APDBodyText"/>
              <w:spacing w:after="0"/>
              <w:rPr>
                <w:b/>
                <w:bCs/>
              </w:rPr>
            </w:pPr>
            <w:r w:rsidRPr="00E17B84">
              <w:rPr>
                <w:b/>
                <w:bCs/>
              </w:rPr>
              <w:t>Description</w:t>
            </w:r>
          </w:p>
        </w:tc>
      </w:tr>
      <w:tr w:rsidR="009A008E" w14:paraId="13E77EBB" w14:textId="77777777" w:rsidTr="00F30D0E">
        <w:trPr>
          <w:cantSplit/>
          <w:tblHeader/>
        </w:trPr>
        <w:tc>
          <w:tcPr>
            <w:tcW w:w="1660" w:type="dxa"/>
            <w:vAlign w:val="bottom"/>
          </w:tcPr>
          <w:p w14:paraId="00C566AA" w14:textId="56311C6C" w:rsidR="009A008E" w:rsidRDefault="009A008E" w:rsidP="005E254E">
            <w:pPr>
              <w:pStyle w:val="APDBodyText"/>
              <w:spacing w:after="0"/>
            </w:pPr>
            <w:r w:rsidRPr="00060F05">
              <w:t>71-</w:t>
            </w:r>
          </w:p>
        </w:tc>
        <w:tc>
          <w:tcPr>
            <w:tcW w:w="8420" w:type="dxa"/>
            <w:vAlign w:val="bottom"/>
          </w:tcPr>
          <w:p w14:paraId="30003B16" w14:textId="351C493B" w:rsidR="009A008E" w:rsidRDefault="009A008E" w:rsidP="005E254E">
            <w:pPr>
              <w:pStyle w:val="APDBodyText"/>
              <w:spacing w:after="0"/>
            </w:pPr>
            <w:r w:rsidRPr="00060F05">
              <w:t>On or before August 17, 1971</w:t>
            </w:r>
          </w:p>
        </w:tc>
      </w:tr>
      <w:tr w:rsidR="009A008E" w14:paraId="1FD09E2A" w14:textId="77777777" w:rsidTr="00F30D0E">
        <w:trPr>
          <w:cantSplit/>
          <w:tblHeader/>
        </w:trPr>
        <w:tc>
          <w:tcPr>
            <w:tcW w:w="1660" w:type="dxa"/>
            <w:vAlign w:val="bottom"/>
          </w:tcPr>
          <w:p w14:paraId="32F592B4" w14:textId="193228CA" w:rsidR="009A008E" w:rsidRDefault="009A008E" w:rsidP="005E254E">
            <w:pPr>
              <w:pStyle w:val="APDBodyText"/>
              <w:spacing w:after="0"/>
            </w:pPr>
            <w:r w:rsidRPr="00060F05">
              <w:t>71-76</w:t>
            </w:r>
          </w:p>
        </w:tc>
        <w:tc>
          <w:tcPr>
            <w:tcW w:w="8420" w:type="dxa"/>
            <w:vAlign w:val="bottom"/>
          </w:tcPr>
          <w:p w14:paraId="1209DF85" w14:textId="7E6098FD" w:rsidR="009A008E" w:rsidRDefault="005E254E" w:rsidP="005E254E">
            <w:pPr>
              <w:pStyle w:val="APDBodyText"/>
              <w:spacing w:after="0"/>
            </w:pPr>
            <w:r>
              <w:t>Aft</w:t>
            </w:r>
            <w:r w:rsidR="009A008E" w:rsidRPr="00060F05">
              <w:t>er August 17, 1971, and on or before December 22, 1976</w:t>
            </w:r>
          </w:p>
        </w:tc>
      </w:tr>
      <w:tr w:rsidR="009A008E" w14:paraId="696E519E" w14:textId="77777777" w:rsidTr="00F30D0E">
        <w:trPr>
          <w:cantSplit/>
          <w:tblHeader/>
        </w:trPr>
        <w:tc>
          <w:tcPr>
            <w:tcW w:w="1660" w:type="dxa"/>
            <w:vAlign w:val="bottom"/>
          </w:tcPr>
          <w:p w14:paraId="21506CDE" w14:textId="030A6385" w:rsidR="009A008E" w:rsidRDefault="009A008E" w:rsidP="005E254E">
            <w:pPr>
              <w:pStyle w:val="APDBodyText"/>
              <w:spacing w:after="0"/>
            </w:pPr>
            <w:r w:rsidRPr="00060F05">
              <w:t>76-78</w:t>
            </w:r>
          </w:p>
        </w:tc>
        <w:tc>
          <w:tcPr>
            <w:tcW w:w="8420" w:type="dxa"/>
            <w:vAlign w:val="bottom"/>
          </w:tcPr>
          <w:p w14:paraId="256D33F0" w14:textId="40989678" w:rsidR="009A008E" w:rsidRDefault="009A008E" w:rsidP="005E254E">
            <w:pPr>
              <w:pStyle w:val="APDBodyText"/>
              <w:spacing w:after="0"/>
            </w:pPr>
            <w:r w:rsidRPr="00060F05">
              <w:t>After December 22, 1976, and on or before September 18, 1978</w:t>
            </w:r>
          </w:p>
        </w:tc>
      </w:tr>
      <w:tr w:rsidR="009A008E" w14:paraId="21E41256" w14:textId="77777777" w:rsidTr="00F30D0E">
        <w:trPr>
          <w:cantSplit/>
          <w:tblHeader/>
        </w:trPr>
        <w:tc>
          <w:tcPr>
            <w:tcW w:w="1660" w:type="dxa"/>
            <w:vAlign w:val="bottom"/>
          </w:tcPr>
          <w:p w14:paraId="483E1146" w14:textId="38D1596E" w:rsidR="009A008E" w:rsidRDefault="009A008E" w:rsidP="005E254E">
            <w:pPr>
              <w:pStyle w:val="APDBodyText"/>
              <w:spacing w:after="0"/>
            </w:pPr>
            <w:r w:rsidRPr="00060F05">
              <w:t>78+</w:t>
            </w:r>
          </w:p>
        </w:tc>
        <w:tc>
          <w:tcPr>
            <w:tcW w:w="8420" w:type="dxa"/>
            <w:vAlign w:val="bottom"/>
          </w:tcPr>
          <w:p w14:paraId="102977C2" w14:textId="5260A7A7" w:rsidR="009A008E" w:rsidRDefault="009A008E" w:rsidP="005E254E">
            <w:pPr>
              <w:pStyle w:val="APDBodyText"/>
              <w:spacing w:after="0"/>
            </w:pPr>
            <w:r w:rsidRPr="00060F05">
              <w:t>After September 18, 1978</w:t>
            </w:r>
          </w:p>
        </w:tc>
      </w:tr>
    </w:tbl>
    <w:bookmarkEnd w:id="8"/>
    <w:p w14:paraId="765D2422" w14:textId="77777777" w:rsidR="00F861CF" w:rsidRPr="00EF0801" w:rsidRDefault="00F861CF" w:rsidP="00FD7888">
      <w:pPr>
        <w:pStyle w:val="APDContinueTriangle"/>
      </w:pPr>
      <w:r w:rsidRPr="008762B9">
        <w:t>Continue</w:t>
      </w:r>
      <w:r w:rsidRPr="00EF0801">
        <w:t xml:space="preserve"> only if “Construction/Modification Date” is “71-76,” “76-78,” or “78+.”</w:t>
      </w:r>
    </w:p>
    <w:p w14:paraId="09047252" w14:textId="77777777" w:rsidR="00CF37F5" w:rsidRDefault="00CF37F5" w:rsidP="00A94093">
      <w:pPr>
        <w:pStyle w:val="APDStrong"/>
        <w:sectPr w:rsidR="00CF37F5" w:rsidSect="0031268E">
          <w:headerReference w:type="first" r:id="rId14"/>
          <w:pgSz w:w="12240" w:h="15840" w:code="1"/>
          <w:pgMar w:top="720" w:right="720" w:bottom="720" w:left="720" w:header="720" w:footer="720" w:gutter="0"/>
          <w:cols w:space="720"/>
          <w:titlePg/>
          <w:docGrid w:linePitch="360"/>
        </w:sectPr>
      </w:pPr>
    </w:p>
    <w:p w14:paraId="6717F9AA" w14:textId="51F703A4" w:rsidR="00525DC6" w:rsidRPr="00EF0801" w:rsidRDefault="00525DC6" w:rsidP="00A94093">
      <w:pPr>
        <w:pStyle w:val="APDStrong"/>
      </w:pPr>
      <w:r w:rsidRPr="00EF0801">
        <w:lastRenderedPageBreak/>
        <w:t>Covered Under Subpart Da</w:t>
      </w:r>
      <w:r>
        <w:t xml:space="preserve"> or KKKK</w:t>
      </w:r>
      <w:r w:rsidRPr="00EC5E23">
        <w:rPr>
          <w:bCs/>
        </w:rPr>
        <w:t>:</w:t>
      </w:r>
    </w:p>
    <w:p w14:paraId="50086E2C" w14:textId="77777777" w:rsidR="009A008E" w:rsidRDefault="00525DC6" w:rsidP="009A008E">
      <w:pPr>
        <w:pStyle w:val="APDBodyText"/>
      </w:pPr>
      <w:r w:rsidRPr="00A94093">
        <w:t>Enter “</w:t>
      </w:r>
      <w:r w:rsidR="00B42127">
        <w:t>YES</w:t>
      </w:r>
      <w:r w:rsidRPr="00A94093">
        <w:t>” if the steam generating unit is covered under 40 CFR Part 60, Subpart Da or 40 CFR Part 60, Subpart</w:t>
      </w:r>
      <w:r w:rsidR="000C2139" w:rsidRPr="00A94093">
        <w:t> </w:t>
      </w:r>
      <w:r w:rsidRPr="00A94093">
        <w:t>KKKK. Otherwise, enter “</w:t>
      </w:r>
      <w:r w:rsidR="00B42127">
        <w:t>NO</w:t>
      </w:r>
      <w:r w:rsidRPr="00A94093">
        <w:t>.”</w:t>
      </w:r>
    </w:p>
    <w:p w14:paraId="6EE4A1B8" w14:textId="6D8CDD08" w:rsidR="007E673A" w:rsidRPr="007A1B09" w:rsidRDefault="00F861CF" w:rsidP="00FD7888">
      <w:pPr>
        <w:pStyle w:val="APDContinueTriangle"/>
      </w:pPr>
      <w:r w:rsidRPr="007A1B09">
        <w:t>Continue only if “Covered Under Subpart Da</w:t>
      </w:r>
      <w:r w:rsidR="00525DC6" w:rsidRPr="007A1B09">
        <w:t xml:space="preserve"> or KKKK</w:t>
      </w:r>
      <w:r w:rsidRPr="007A1B09">
        <w:t>” is “</w:t>
      </w:r>
      <w:r w:rsidR="00B42127">
        <w:t>NO</w:t>
      </w:r>
      <w:r w:rsidRPr="007A1B09">
        <w:t>.” If “Covered under Subpart Da</w:t>
      </w:r>
      <w:r w:rsidR="00525DC6" w:rsidRPr="007A1B09">
        <w:t xml:space="preserve"> or</w:t>
      </w:r>
      <w:r w:rsidR="00B0248C" w:rsidRPr="007A1B09">
        <w:t> </w:t>
      </w:r>
      <w:r w:rsidR="00525DC6" w:rsidRPr="007A1B09">
        <w:t>KKKK</w:t>
      </w:r>
      <w:r w:rsidRPr="007A1B09">
        <w:t>” is “</w:t>
      </w:r>
      <w:r w:rsidR="00B42127">
        <w:t>YES</w:t>
      </w:r>
      <w:r w:rsidRPr="007A1B09">
        <w:t>,” complete Table 2a</w:t>
      </w:r>
      <w:r w:rsidR="00FA1DFA" w:rsidRPr="007A1B09">
        <w:t xml:space="preserve"> of this unit attribute form or Table 6a of Form OP-UA11, as applicable</w:t>
      </w:r>
      <w:r w:rsidRPr="007A1B09">
        <w:t>.</w:t>
      </w:r>
    </w:p>
    <w:p w14:paraId="541D0614" w14:textId="70B9F13D" w:rsidR="00F861CF" w:rsidRPr="00C33266" w:rsidRDefault="00F861CF" w:rsidP="00C33266">
      <w:pPr>
        <w:pStyle w:val="APDStrong"/>
      </w:pPr>
      <w:r w:rsidRPr="00C33266">
        <w:t>Changes to Existing Affected Facility:</w:t>
      </w:r>
    </w:p>
    <w:p w14:paraId="0267835A" w14:textId="14CDA4B3" w:rsidR="000B6F8A" w:rsidRDefault="00F861CF" w:rsidP="00AF2DD4">
      <w:pPr>
        <w:pStyle w:val="APDBodyText"/>
      </w:pPr>
      <w:r w:rsidRPr="00EF0801">
        <w:t>Enter “</w:t>
      </w:r>
      <w:r w:rsidR="00B42127">
        <w:t>YES</w:t>
      </w:r>
      <w:r w:rsidRPr="00EF0801">
        <w:t>” if a change has been made to the existing fossil fuel</w:t>
      </w:r>
      <w:r w:rsidRPr="00EF0801">
        <w:noBreakHyphen/>
        <w:t>fired steam generating unit, which was not previously subject to Subpart D, to accommodate the use of combustible materials other than fossil fuels. Otherwise, enter “</w:t>
      </w:r>
      <w:r w:rsidR="00B42127">
        <w:t>NO</w:t>
      </w:r>
      <w:r w:rsidRPr="00EF0801">
        <w:t>.”</w:t>
      </w:r>
    </w:p>
    <w:p w14:paraId="3FE3BE94" w14:textId="5D61D092" w:rsidR="00F861CF" w:rsidRPr="007A1B09" w:rsidRDefault="00F861CF" w:rsidP="00FD7888">
      <w:pPr>
        <w:pStyle w:val="APDContinueTriangle"/>
      </w:pPr>
      <w:r w:rsidRPr="007A1B09">
        <w:t>Continue only if “Changes to Existing Affected Facility” is “</w:t>
      </w:r>
      <w:r w:rsidR="00B42127">
        <w:t>NO</w:t>
      </w:r>
      <w:r w:rsidRPr="007A1B09">
        <w:t>.”</w:t>
      </w:r>
    </w:p>
    <w:p w14:paraId="1F1314CD" w14:textId="27CC6B26" w:rsidR="00110DDB" w:rsidRPr="00C33266" w:rsidRDefault="00F861CF" w:rsidP="00C33266">
      <w:pPr>
        <w:pStyle w:val="APDStrong"/>
      </w:pPr>
      <w:r w:rsidRPr="00C33266">
        <w:t>Heat Input Rate:</w:t>
      </w:r>
    </w:p>
    <w:p w14:paraId="3A11B891" w14:textId="77777777" w:rsidR="00F861CF" w:rsidRDefault="00F861CF" w:rsidP="00AF2DD4">
      <w:pPr>
        <w:pStyle w:val="APDBodyText"/>
      </w:pPr>
      <w:r w:rsidRPr="00EF0801">
        <w:t>Select one of the following options for the heat input rate. Enter the code on the form.</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 and Description"/>
      </w:tblPr>
      <w:tblGrid>
        <w:gridCol w:w="1530"/>
        <w:gridCol w:w="7200"/>
      </w:tblGrid>
      <w:tr w:rsidR="00E17B84" w14:paraId="6416215A" w14:textId="77777777" w:rsidTr="008B4D65">
        <w:tc>
          <w:tcPr>
            <w:tcW w:w="1530" w:type="dxa"/>
          </w:tcPr>
          <w:p w14:paraId="5D505572" w14:textId="5E45BFBA" w:rsidR="00E17B84" w:rsidRPr="002B75B1" w:rsidRDefault="00E17B84" w:rsidP="00E17B84">
            <w:pPr>
              <w:rPr>
                <w:b/>
                <w:bCs/>
              </w:rPr>
            </w:pPr>
            <w:r w:rsidRPr="002B75B1">
              <w:rPr>
                <w:b/>
                <w:bCs/>
              </w:rPr>
              <w:t>Code</w:t>
            </w:r>
          </w:p>
        </w:tc>
        <w:tc>
          <w:tcPr>
            <w:tcW w:w="7200" w:type="dxa"/>
          </w:tcPr>
          <w:p w14:paraId="6DEACF0D" w14:textId="34D91B4A" w:rsidR="00E17B84" w:rsidRPr="002B75B1" w:rsidRDefault="00E17B84" w:rsidP="00E17B84">
            <w:pPr>
              <w:rPr>
                <w:b/>
                <w:bCs/>
              </w:rPr>
            </w:pPr>
            <w:r w:rsidRPr="002B75B1">
              <w:rPr>
                <w:b/>
                <w:bCs/>
              </w:rPr>
              <w:t>Description</w:t>
            </w:r>
          </w:p>
        </w:tc>
      </w:tr>
      <w:tr w:rsidR="00E17B84" w14:paraId="09F1D8A5" w14:textId="77777777" w:rsidTr="008B4D65">
        <w:tc>
          <w:tcPr>
            <w:tcW w:w="1530" w:type="dxa"/>
          </w:tcPr>
          <w:p w14:paraId="400A6ECF" w14:textId="07F8B2C3" w:rsidR="00E17B84" w:rsidRDefault="00E17B84" w:rsidP="00E17B84">
            <w:r w:rsidRPr="00DA09A0">
              <w:t>250-</w:t>
            </w:r>
          </w:p>
        </w:tc>
        <w:tc>
          <w:tcPr>
            <w:tcW w:w="7200" w:type="dxa"/>
          </w:tcPr>
          <w:p w14:paraId="6B49D15D" w14:textId="6AEEA440" w:rsidR="00E17B84" w:rsidRDefault="00E17B84" w:rsidP="00E17B84">
            <w:r w:rsidRPr="00DA09A0">
              <w:t>Heat Input Rate is less than or equal to 250 MMBtu/hr (73 MW)</w:t>
            </w:r>
          </w:p>
        </w:tc>
      </w:tr>
      <w:tr w:rsidR="00E17B84" w14:paraId="2C0F72AC" w14:textId="77777777" w:rsidTr="008B4D65">
        <w:tc>
          <w:tcPr>
            <w:tcW w:w="1530" w:type="dxa"/>
          </w:tcPr>
          <w:p w14:paraId="1E10EF29" w14:textId="60201B0B" w:rsidR="00E17B84" w:rsidRDefault="00E17B84" w:rsidP="00E17B84">
            <w:r w:rsidRPr="00DA09A0">
              <w:t>250+</w:t>
            </w:r>
          </w:p>
        </w:tc>
        <w:tc>
          <w:tcPr>
            <w:tcW w:w="7200" w:type="dxa"/>
          </w:tcPr>
          <w:p w14:paraId="0AB3BABC" w14:textId="4ABA4F22" w:rsidR="00E17B84" w:rsidRDefault="00E17B84" w:rsidP="00E17B84">
            <w:r w:rsidRPr="00DA09A0">
              <w:t>Heat Input Rate is greater than 250 MMBtu/hr (73 MW)</w:t>
            </w:r>
          </w:p>
        </w:tc>
      </w:tr>
    </w:tbl>
    <w:p w14:paraId="60B07884" w14:textId="77777777" w:rsidR="00F861CF" w:rsidRPr="00AF2DD4" w:rsidRDefault="00F861CF" w:rsidP="00390EE3">
      <w:pPr>
        <w:pStyle w:val="APDCompleteStar"/>
      </w:pPr>
      <w:r w:rsidRPr="00AF2DD4">
        <w:t>Complete Table 3a if “Construction/Modification Date” is “78+” and “Heat Input Rate” is “250-.”</w:t>
      </w:r>
    </w:p>
    <w:p w14:paraId="6D0C5B35" w14:textId="77777777" w:rsidR="00F861CF" w:rsidRPr="007A1B09" w:rsidRDefault="00F861CF" w:rsidP="00FD7888">
      <w:pPr>
        <w:pStyle w:val="APDContinueTriangle"/>
      </w:pPr>
      <w:r w:rsidRPr="007A1B09">
        <w:t>Continue only if “Heat Input Rate” is “250+.”</w:t>
      </w:r>
    </w:p>
    <w:p w14:paraId="0E13F8BE" w14:textId="77777777" w:rsidR="00F861CF" w:rsidRPr="00C33266" w:rsidRDefault="00F861CF" w:rsidP="00C33266">
      <w:pPr>
        <w:pStyle w:val="APDStrong"/>
      </w:pPr>
      <w:r w:rsidRPr="00C33266">
        <w:t>Alternate 42C:</w:t>
      </w:r>
    </w:p>
    <w:p w14:paraId="2F3A477F" w14:textId="5B5656C6" w:rsidR="003B4A69" w:rsidRPr="00EF0801" w:rsidRDefault="00F861CF" w:rsidP="00AF2DD4">
      <w:pPr>
        <w:pStyle w:val="APDBodyText"/>
      </w:pPr>
      <w:r w:rsidRPr="00EF0801">
        <w:t>Enter “</w:t>
      </w:r>
      <w:r w:rsidR="00B42127">
        <w:t>YES</w:t>
      </w:r>
      <w:r w:rsidRPr="00EF0801">
        <w:t>” if the facility is meeting § 60.42Da(a) [per § 60.42(c)] as an alternate to meeting the requirements of § 60.42(a) for PM. Otherwise, enter “</w:t>
      </w:r>
      <w:r w:rsidR="00B42127">
        <w:t>NO</w:t>
      </w:r>
      <w:r w:rsidRPr="00EF0801">
        <w:t>.”</w:t>
      </w:r>
    </w:p>
    <w:p w14:paraId="69D5AEFF" w14:textId="77777777" w:rsidR="00F861CF" w:rsidRPr="00C33266" w:rsidRDefault="00F861CF" w:rsidP="00C33266">
      <w:pPr>
        <w:pStyle w:val="APDStrong"/>
      </w:pPr>
      <w:r w:rsidRPr="00C33266">
        <w:t>PM CEMS:</w:t>
      </w:r>
    </w:p>
    <w:p w14:paraId="0A2AE700" w14:textId="692BFC85" w:rsidR="009A34BD" w:rsidRDefault="00F861CF" w:rsidP="00AF2DD4">
      <w:pPr>
        <w:pStyle w:val="APDBodyText"/>
      </w:pPr>
      <w:r w:rsidRPr="00EF0801">
        <w:t>Enter “</w:t>
      </w:r>
      <w:r w:rsidR="00B42127">
        <w:t>YES</w:t>
      </w:r>
      <w:r w:rsidRPr="00EF0801">
        <w:t>” if the facility uses a CEMS to measure PM. Otherwise, enter “</w:t>
      </w:r>
      <w:r w:rsidR="00B42127">
        <w:t>NO</w:t>
      </w:r>
      <w:r w:rsidRPr="00EF0801">
        <w:t>.”</w:t>
      </w:r>
    </w:p>
    <w:p w14:paraId="651C653E" w14:textId="77777777" w:rsidR="00E56E93" w:rsidRDefault="00CD47AC" w:rsidP="00350EB7">
      <w:pPr>
        <w:pStyle w:val="APDCompleteStar"/>
        <w:tabs>
          <w:tab w:val="left" w:pos="360"/>
        </w:tabs>
        <w:ind w:left="450"/>
        <w:sectPr w:rsidR="00E56E93" w:rsidSect="0031268E">
          <w:pgSz w:w="12240" w:h="15840" w:code="1"/>
          <w:pgMar w:top="720" w:right="720" w:bottom="720" w:left="720" w:header="720" w:footer="720" w:gutter="0"/>
          <w:cols w:space="720"/>
          <w:titlePg/>
          <w:docGrid w:linePitch="360"/>
        </w:sectPr>
      </w:pPr>
      <w:r w:rsidRPr="00AF2DD4">
        <w:t>Complete “Opacity Monitoring” only if “PM CEMS” is “</w:t>
      </w:r>
      <w:r w:rsidR="00B42127">
        <w:t>NO</w:t>
      </w:r>
      <w:r w:rsidRPr="00AF2DD4">
        <w:t>.”</w:t>
      </w:r>
    </w:p>
    <w:p w14:paraId="3537E32B" w14:textId="09818F8B" w:rsidR="00E747A9" w:rsidRPr="00C33266" w:rsidRDefault="00CD47AC" w:rsidP="00C33266">
      <w:pPr>
        <w:pStyle w:val="APDStrong"/>
      </w:pPr>
      <w:r w:rsidRPr="00C33266">
        <w:lastRenderedPageBreak/>
        <w:t>Opacity</w:t>
      </w:r>
      <w:r w:rsidR="00E747A9" w:rsidRPr="00C33266">
        <w:t xml:space="preserve"> Monitoring:</w:t>
      </w:r>
    </w:p>
    <w:p w14:paraId="3C12AD42" w14:textId="220D0866" w:rsidR="00E747A9" w:rsidRDefault="00E747A9" w:rsidP="00AF2DD4">
      <w:pPr>
        <w:pStyle w:val="APDBodyText"/>
      </w:pPr>
      <w:r w:rsidRPr="00EF0801">
        <w:t>Select one of the following options for</w:t>
      </w:r>
      <w:r w:rsidR="002E18E8">
        <w:t xml:space="preserve"> complying with the opacity monitoring requirement</w:t>
      </w:r>
      <w:r w:rsidRPr="00EF0801">
        <w:t>. Enter the code on the form.</w:t>
      </w:r>
    </w:p>
    <w:tbl>
      <w:tblPr>
        <w:tblStyle w:val="TableGrid"/>
        <w:tblW w:w="101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OPUA6 - Code and Description"/>
      </w:tblPr>
      <w:tblGrid>
        <w:gridCol w:w="1530"/>
        <w:gridCol w:w="8640"/>
      </w:tblGrid>
      <w:tr w:rsidR="00E56E93" w14:paraId="3A99A5F9" w14:textId="77777777" w:rsidTr="00360E10">
        <w:tc>
          <w:tcPr>
            <w:tcW w:w="1530" w:type="dxa"/>
          </w:tcPr>
          <w:p w14:paraId="0EE35836" w14:textId="0E4C67E0" w:rsidR="00E56E93" w:rsidRPr="00E56E93" w:rsidRDefault="00E56E93" w:rsidP="00E56E93">
            <w:pPr>
              <w:pStyle w:val="APDBodyText"/>
              <w:rPr>
                <w:b/>
                <w:bCs/>
              </w:rPr>
            </w:pPr>
            <w:r w:rsidRPr="00E56E93">
              <w:rPr>
                <w:b/>
                <w:bCs/>
              </w:rPr>
              <w:t>Code</w:t>
            </w:r>
          </w:p>
        </w:tc>
        <w:tc>
          <w:tcPr>
            <w:tcW w:w="8640" w:type="dxa"/>
          </w:tcPr>
          <w:p w14:paraId="42BBD2FA" w14:textId="2439A2F7" w:rsidR="00E56E93" w:rsidRPr="00E56E93" w:rsidRDefault="00E56E93" w:rsidP="00E56E93">
            <w:pPr>
              <w:pStyle w:val="APDBodyText"/>
              <w:rPr>
                <w:b/>
                <w:bCs/>
              </w:rPr>
            </w:pPr>
            <w:r w:rsidRPr="00E56E93">
              <w:rPr>
                <w:b/>
                <w:bCs/>
              </w:rPr>
              <w:t>Description</w:t>
            </w:r>
          </w:p>
        </w:tc>
      </w:tr>
      <w:tr w:rsidR="00E56E93" w14:paraId="534F9785" w14:textId="77777777" w:rsidTr="00360E10">
        <w:tc>
          <w:tcPr>
            <w:tcW w:w="1530" w:type="dxa"/>
          </w:tcPr>
          <w:p w14:paraId="3381238A" w14:textId="522DA61C" w:rsidR="00E56E93" w:rsidRDefault="00E56E93" w:rsidP="00E56E93">
            <w:pPr>
              <w:pStyle w:val="APDBodyText"/>
            </w:pPr>
            <w:r w:rsidRPr="00E3445A">
              <w:t>COMS</w:t>
            </w:r>
          </w:p>
        </w:tc>
        <w:tc>
          <w:tcPr>
            <w:tcW w:w="8640" w:type="dxa"/>
          </w:tcPr>
          <w:p w14:paraId="7C3D360D" w14:textId="3C4A6BD8" w:rsidR="00E56E93" w:rsidRDefault="00E56E93" w:rsidP="00E56E93">
            <w:pPr>
              <w:pStyle w:val="APDBodyText"/>
            </w:pPr>
            <w:r w:rsidRPr="00E3445A">
              <w:t>Continuous opacity monitoring system for measuring the opacity of emissions</w:t>
            </w:r>
          </w:p>
        </w:tc>
      </w:tr>
      <w:tr w:rsidR="00E56E93" w14:paraId="3FCD33F7" w14:textId="77777777" w:rsidTr="00360E10">
        <w:tc>
          <w:tcPr>
            <w:tcW w:w="1530" w:type="dxa"/>
          </w:tcPr>
          <w:p w14:paraId="2F749A77" w14:textId="0E1817FC" w:rsidR="00E56E93" w:rsidRDefault="00E56E93" w:rsidP="00360E10">
            <w:pPr>
              <w:pStyle w:val="APDBodyText"/>
              <w:ind w:right="-291"/>
            </w:pPr>
            <w:r w:rsidRPr="00E3445A">
              <w:t>BLDS</w:t>
            </w:r>
          </w:p>
        </w:tc>
        <w:tc>
          <w:tcPr>
            <w:tcW w:w="8640" w:type="dxa"/>
          </w:tcPr>
          <w:p w14:paraId="27569635" w14:textId="4D5CE235" w:rsidR="00E56E93" w:rsidRDefault="00E56E93" w:rsidP="00E56E93">
            <w:pPr>
              <w:pStyle w:val="APDBodyText"/>
            </w:pPr>
            <w:r w:rsidRPr="00E3445A">
              <w:t>Bag leak detection system to monitor performance of a fabric filter (baghouse) according to requirements in § 60.48Da</w:t>
            </w:r>
          </w:p>
        </w:tc>
      </w:tr>
      <w:tr w:rsidR="00E56E93" w14:paraId="33020FE4" w14:textId="77777777" w:rsidTr="00360E10">
        <w:tc>
          <w:tcPr>
            <w:tcW w:w="1530" w:type="dxa"/>
          </w:tcPr>
          <w:p w14:paraId="3E4F53DC" w14:textId="7F5EE5EA" w:rsidR="00E56E93" w:rsidRDefault="00E56E93" w:rsidP="00E56E93">
            <w:pPr>
              <w:pStyle w:val="APDBodyText"/>
            </w:pPr>
            <w:r w:rsidRPr="00E3445A">
              <w:t>ESPMOD</w:t>
            </w:r>
          </w:p>
        </w:tc>
        <w:tc>
          <w:tcPr>
            <w:tcW w:w="8640" w:type="dxa"/>
          </w:tcPr>
          <w:p w14:paraId="0451038E" w14:textId="76A739F7" w:rsidR="00E56E93" w:rsidRDefault="00E56E93" w:rsidP="00E56E93">
            <w:pPr>
              <w:pStyle w:val="APDBodyText"/>
            </w:pPr>
            <w:r w:rsidRPr="00E3445A">
              <w:t>Electrostatic precipitator (ESP) predictive model to monitor performance of an ESP according to requirements in § 60.48Da</w:t>
            </w:r>
          </w:p>
        </w:tc>
      </w:tr>
      <w:tr w:rsidR="00E56E93" w14:paraId="36DF0009" w14:textId="77777777" w:rsidTr="00360E10">
        <w:tc>
          <w:tcPr>
            <w:tcW w:w="1530" w:type="dxa"/>
          </w:tcPr>
          <w:p w14:paraId="7128653B" w14:textId="0867B198" w:rsidR="00E56E93" w:rsidRDefault="00E56E93" w:rsidP="00E56E93">
            <w:pPr>
              <w:pStyle w:val="APDBodyText"/>
            </w:pPr>
            <w:r w:rsidRPr="00E3445A">
              <w:t>PMCPMS</w:t>
            </w:r>
          </w:p>
        </w:tc>
        <w:tc>
          <w:tcPr>
            <w:tcW w:w="8640" w:type="dxa"/>
          </w:tcPr>
          <w:p w14:paraId="35C08C9C" w14:textId="0D14C740" w:rsidR="00E56E93" w:rsidRDefault="00E56E93" w:rsidP="00E56E93">
            <w:pPr>
              <w:pStyle w:val="APDBodyText"/>
            </w:pPr>
            <w:r w:rsidRPr="00E3445A">
              <w:t>Continuous parametric monitoring system for PM operated according to requirements in 40 CFR Part 63, Subpart UUUUU</w:t>
            </w:r>
          </w:p>
        </w:tc>
      </w:tr>
      <w:tr w:rsidR="00E56E93" w14:paraId="06AA0755" w14:textId="77777777" w:rsidTr="00360E10">
        <w:tc>
          <w:tcPr>
            <w:tcW w:w="1530" w:type="dxa"/>
          </w:tcPr>
          <w:p w14:paraId="24111810" w14:textId="712C8A1C" w:rsidR="00E56E93" w:rsidRDefault="00E56E93" w:rsidP="00E56E93">
            <w:pPr>
              <w:pStyle w:val="APDBodyText"/>
            </w:pPr>
            <w:r w:rsidRPr="00E3445A">
              <w:t>OTHER</w:t>
            </w:r>
          </w:p>
        </w:tc>
        <w:tc>
          <w:tcPr>
            <w:tcW w:w="8640" w:type="dxa"/>
          </w:tcPr>
          <w:p w14:paraId="3ED4D988" w14:textId="54BB4649" w:rsidR="00E56E93" w:rsidRDefault="00E56E93" w:rsidP="00E56E93">
            <w:pPr>
              <w:pStyle w:val="APDBodyText"/>
            </w:pPr>
            <w:r w:rsidRPr="00E3445A">
              <w:t>Facility meets exemption from COMS in § 60.45(b)(1) or (b)(6)</w:t>
            </w:r>
          </w:p>
        </w:tc>
      </w:tr>
      <w:tr w:rsidR="00E56E93" w14:paraId="23A47CB4" w14:textId="77777777" w:rsidTr="00360E10">
        <w:tc>
          <w:tcPr>
            <w:tcW w:w="1530" w:type="dxa"/>
          </w:tcPr>
          <w:p w14:paraId="43E801F3" w14:textId="2F8450F0" w:rsidR="00E56E93" w:rsidRDefault="00E56E93" w:rsidP="00E56E93">
            <w:pPr>
              <w:pStyle w:val="APDBodyText"/>
            </w:pPr>
            <w:r w:rsidRPr="00E3445A">
              <w:t>NONE</w:t>
            </w:r>
          </w:p>
        </w:tc>
        <w:tc>
          <w:tcPr>
            <w:tcW w:w="8640" w:type="dxa"/>
          </w:tcPr>
          <w:p w14:paraId="369F985A" w14:textId="0221C8AE" w:rsidR="00E56E93" w:rsidRDefault="00E56E93" w:rsidP="00E56E93">
            <w:pPr>
              <w:pStyle w:val="APDBodyText"/>
            </w:pPr>
            <w:r w:rsidRPr="00E3445A">
              <w:t>Opacity limit is not applicable</w:t>
            </w:r>
          </w:p>
        </w:tc>
      </w:tr>
    </w:tbl>
    <w:p w14:paraId="725F5861" w14:textId="57B2E1F7" w:rsidR="0078278A" w:rsidRPr="00C33266" w:rsidRDefault="0078278A" w:rsidP="00ED1665">
      <w:pPr>
        <w:pStyle w:val="APDStrong"/>
        <w:spacing w:before="120"/>
      </w:pPr>
      <w:r w:rsidRPr="00C33266">
        <w:t>Gas</w:t>
      </w:r>
      <w:r w:rsidR="001B01B9" w:rsidRPr="00C33266">
        <w:t>/</w:t>
      </w:r>
      <w:r w:rsidRPr="00C33266">
        <w:t>Liquid Fuel</w:t>
      </w:r>
      <w:r w:rsidR="007921C6" w:rsidRPr="00C33266">
        <w:t>:</w:t>
      </w:r>
    </w:p>
    <w:p w14:paraId="74E438AE" w14:textId="2CE4AC91" w:rsidR="0078278A" w:rsidRPr="00EF0801" w:rsidRDefault="0078278A" w:rsidP="00AF2DD4">
      <w:pPr>
        <w:pStyle w:val="APDBodyText"/>
      </w:pPr>
      <w:r w:rsidRPr="00EF0801">
        <w:t>Enter “</w:t>
      </w:r>
      <w:r w:rsidR="00B42127">
        <w:t>YES</w:t>
      </w:r>
      <w:r w:rsidRPr="00EF0801">
        <w:t xml:space="preserve">” if the facility burns only gaseous or liquid fossil fuel (excluding residual oil) with potential </w:t>
      </w:r>
      <w:r w:rsidR="004F6614">
        <w:t>SO</w:t>
      </w:r>
      <w:r w:rsidR="0096595A" w:rsidRPr="0096595A">
        <w:rPr>
          <w:vertAlign w:val="subscript"/>
        </w:rPr>
        <w:t>2</w:t>
      </w:r>
      <w:r w:rsidRPr="00EF0801">
        <w:t xml:space="preserve"> emissions rates of 0.060 lb/MMBtu or less </w:t>
      </w:r>
      <w:r>
        <w:t xml:space="preserve">and </w:t>
      </w:r>
      <w:r w:rsidRPr="00EF0801">
        <w:t xml:space="preserve">does not use post combustion technology to reduce emissions of </w:t>
      </w:r>
      <w:r w:rsidR="004F6614">
        <w:t>SO</w:t>
      </w:r>
      <w:r w:rsidR="0096595A" w:rsidRPr="0096595A">
        <w:rPr>
          <w:vertAlign w:val="subscript"/>
        </w:rPr>
        <w:t>2</w:t>
      </w:r>
      <w:r w:rsidRPr="00EF0801">
        <w:t xml:space="preserve"> or PM. Otherwise, enter “</w:t>
      </w:r>
      <w:r w:rsidR="00B42127">
        <w:t>NO</w:t>
      </w:r>
      <w:r w:rsidRPr="00EF0801">
        <w:t>.”</w:t>
      </w:r>
    </w:p>
    <w:p w14:paraId="3F95D3C3" w14:textId="77777777" w:rsidR="00F861CF" w:rsidRPr="00C33266" w:rsidRDefault="00F861CF" w:rsidP="00C33266">
      <w:pPr>
        <w:pStyle w:val="APDStrong"/>
      </w:pPr>
      <w:r w:rsidRPr="00C33266">
        <w:t>Fuels with 0.30 Percent or Less Sulfur:</w:t>
      </w:r>
    </w:p>
    <w:p w14:paraId="71E9BF12" w14:textId="7E7771E6" w:rsidR="00F861CF" w:rsidRPr="00EF0801" w:rsidRDefault="00F861CF" w:rsidP="00AF2DD4">
      <w:pPr>
        <w:pStyle w:val="APDBodyText"/>
      </w:pPr>
      <w:r w:rsidRPr="00EF0801">
        <w:t>Enter “</w:t>
      </w:r>
      <w:r w:rsidR="00B42127">
        <w:t>YES</w:t>
      </w:r>
      <w:r w:rsidRPr="00EF0801">
        <w:t xml:space="preserve">” if the facility does not use post combustion technology (except a wet scrubber) for reducing PM, </w:t>
      </w:r>
      <w:r w:rsidR="004F6614">
        <w:t>SO</w:t>
      </w:r>
      <w:r w:rsidR="0096595A" w:rsidRPr="0096595A">
        <w:rPr>
          <w:vertAlign w:val="subscript"/>
        </w:rPr>
        <w:t>2</w:t>
      </w:r>
      <w:r w:rsidRPr="00EF0801">
        <w:t>, or CO emissions, burns only gaseous fuels or fuel oils that contain less than or equal to 0.30 weight percent sulfur, and is operated such that emissions of CO are maintained at levels less than or equ</w:t>
      </w:r>
      <w:r w:rsidR="00455074" w:rsidRPr="00EF0801">
        <w:t>al to 0.15 </w:t>
      </w:r>
      <w:r w:rsidRPr="00EF0801">
        <w:t>lb/MMBtu on a boiler operating day average basis. Otherwise, enter “</w:t>
      </w:r>
      <w:r w:rsidR="00B42127">
        <w:t>NO</w:t>
      </w:r>
      <w:r w:rsidRPr="00EF0801">
        <w:t>.”</w:t>
      </w:r>
    </w:p>
    <w:p w14:paraId="5FA55B99" w14:textId="0F2A2A33" w:rsidR="00D52A09" w:rsidRPr="00C33266" w:rsidRDefault="00353F54" w:rsidP="00C33266">
      <w:pPr>
        <w:pStyle w:val="APDStrong"/>
      </w:pPr>
      <w:r w:rsidRPr="00C33266">
        <w:t>Specific Site</w:t>
      </w:r>
      <w:r w:rsidR="00D52A09" w:rsidRPr="00C33266">
        <w:t>:</w:t>
      </w:r>
    </w:p>
    <w:p w14:paraId="083E789A" w14:textId="35F2DF16" w:rsidR="00D52A09" w:rsidRPr="00EF0801" w:rsidRDefault="00D52A09" w:rsidP="00AF2DD4">
      <w:pPr>
        <w:pStyle w:val="APDBodyText"/>
      </w:pPr>
      <w:r w:rsidRPr="00EF0801">
        <w:t>Enter “</w:t>
      </w:r>
      <w:r w:rsidR="00B42127">
        <w:t>YES</w:t>
      </w:r>
      <w:r w:rsidRPr="00EF0801">
        <w:t xml:space="preserve">” if the facility </w:t>
      </w:r>
      <w:r>
        <w:t xml:space="preserve">is Southwestern Public Service Company’s Harrington Station </w:t>
      </w:r>
      <w:r w:rsidR="00A96A7C">
        <w:t>#</w:t>
      </w:r>
      <w:r>
        <w:t>1 in Amarillo, TX</w:t>
      </w:r>
      <w:r w:rsidRPr="00EF0801">
        <w:t>. Otherwise, enter “</w:t>
      </w:r>
      <w:r w:rsidR="00B42127">
        <w:t>NO</w:t>
      </w:r>
      <w:r w:rsidRPr="00EF0801">
        <w:t>.”</w:t>
      </w:r>
      <w:r w:rsidR="00E45CC8">
        <w:t xml:space="preserve"> (</w:t>
      </w:r>
      <w:r w:rsidR="00353F54">
        <w:t>Please note this question refers only to Unit #1 at Harrington Station. For additional steam generating facilities at Harrington Station, enter “</w:t>
      </w:r>
      <w:r w:rsidR="00B42127">
        <w:t>NO</w:t>
      </w:r>
      <w:r w:rsidR="00353F54">
        <w:t>.”)</w:t>
      </w:r>
    </w:p>
    <w:p w14:paraId="7828AD81" w14:textId="77777777" w:rsidR="00F861CF" w:rsidRPr="00EF0801" w:rsidRDefault="00F861CF" w:rsidP="00F861CF">
      <w:pPr>
        <w:pBdr>
          <w:bottom w:val="double" w:sz="6" w:space="1" w:color="auto"/>
        </w:pBdr>
      </w:pPr>
    </w:p>
    <w:bookmarkStart w:id="9" w:name="Table_1b"/>
    <w:p w14:paraId="3CB814C3" w14:textId="11488DD6" w:rsidR="00F861CF" w:rsidRPr="00EF0801" w:rsidRDefault="00762606" w:rsidP="0099721B">
      <w:pPr>
        <w:pStyle w:val="APDChapterTitles"/>
        <w:rPr>
          <w:rFonts w:eastAsia="Calibri"/>
          <w:szCs w:val="20"/>
        </w:rPr>
      </w:pPr>
      <w:r w:rsidRPr="00690161">
        <w:rPr>
          <w:rStyle w:val="Hyperlink"/>
          <w:rFonts w:eastAsia="Calibri"/>
          <w:b/>
          <w:bCs w:val="0"/>
        </w:rPr>
        <w:fldChar w:fldCharType="begin"/>
      </w:r>
      <w:r w:rsidRPr="00690161">
        <w:rPr>
          <w:rStyle w:val="Hyperlink"/>
          <w:rFonts w:eastAsia="Calibri"/>
          <w:b/>
          <w:bCs w:val="0"/>
        </w:rPr>
        <w:instrText>HYPERLINK  \l "TBL_1b" \o "Table 1b"</w:instrText>
      </w:r>
      <w:r w:rsidRPr="00690161">
        <w:rPr>
          <w:rStyle w:val="Hyperlink"/>
          <w:rFonts w:eastAsia="Calibri"/>
          <w:b/>
          <w:bCs w:val="0"/>
        </w:rPr>
      </w:r>
      <w:r w:rsidRPr="00690161">
        <w:rPr>
          <w:rStyle w:val="Hyperlink"/>
          <w:rFonts w:eastAsia="Calibri"/>
          <w:b/>
          <w:bCs w:val="0"/>
        </w:rPr>
        <w:fldChar w:fldCharType="separate"/>
      </w:r>
      <w:bookmarkStart w:id="10" w:name="_Toc180398489"/>
      <w:bookmarkStart w:id="11" w:name="_Toc180398543"/>
      <w:r w:rsidR="00F861CF" w:rsidRPr="00690161">
        <w:rPr>
          <w:rStyle w:val="Hyperlink"/>
          <w:rFonts w:eastAsia="Calibri"/>
          <w:b/>
          <w:bCs w:val="0"/>
        </w:rPr>
        <w:t>Table 1b</w:t>
      </w:r>
      <w:bookmarkEnd w:id="9"/>
      <w:r w:rsidR="00F861CF" w:rsidRPr="00690161">
        <w:rPr>
          <w:rStyle w:val="Hyperlink"/>
          <w:rFonts w:eastAsia="Calibri"/>
          <w:b/>
          <w:bCs w:val="0"/>
        </w:rPr>
        <w:t>:</w:t>
      </w:r>
      <w:r w:rsidRPr="00690161">
        <w:rPr>
          <w:rStyle w:val="Hyperlink"/>
          <w:rFonts w:eastAsia="Calibri"/>
          <w:b/>
          <w:bCs w:val="0"/>
        </w:rPr>
        <w:fldChar w:fldCharType="end"/>
      </w:r>
      <w:r w:rsidR="00F861CF" w:rsidRPr="00EF0801">
        <w:rPr>
          <w:rFonts w:eastAsia="Calibri"/>
          <w:szCs w:val="20"/>
        </w:rPr>
        <w:tab/>
      </w:r>
      <w:r w:rsidR="00F861CF" w:rsidRPr="00EF0FFB">
        <w:rPr>
          <w:rStyle w:val="APDTableChapterChar"/>
          <w:rFonts w:eastAsia="Calibri"/>
          <w:b/>
        </w:rPr>
        <w:t>Title 40 Code of Federal Regulations Part 60 (40 CFR Part 60)</w:t>
      </w:r>
      <w:r w:rsidR="00AF1FBA" w:rsidRPr="00EF0FFB">
        <w:rPr>
          <w:rStyle w:val="APDTableChapterChar"/>
          <w:rFonts w:eastAsia="Calibri"/>
          <w:b/>
        </w:rPr>
        <w:t xml:space="preserve">, </w:t>
      </w:r>
      <w:r w:rsidR="00F861CF" w:rsidRPr="00EF0FFB">
        <w:rPr>
          <w:rStyle w:val="APDTableChapterChar"/>
          <w:rFonts w:eastAsia="Calibri"/>
          <w:b/>
        </w:rPr>
        <w:t>Subpart D:  Standards of Performance for Fossil Fuel-Fired Steam Generators</w:t>
      </w:r>
      <w:bookmarkEnd w:id="10"/>
      <w:bookmarkEnd w:id="11"/>
    </w:p>
    <w:p w14:paraId="7D014418" w14:textId="77777777" w:rsidR="00F861CF" w:rsidRPr="00EF0801" w:rsidRDefault="00F861CF" w:rsidP="00390EE3">
      <w:pPr>
        <w:pStyle w:val="APDCompleteStar"/>
      </w:pPr>
      <w:r w:rsidRPr="00EF0801">
        <w:t>Complete for SOP applications only.</w:t>
      </w:r>
    </w:p>
    <w:p w14:paraId="349E42F5" w14:textId="492C5484" w:rsidR="00F861CF" w:rsidRPr="00EF0801" w:rsidRDefault="00F861CF" w:rsidP="009B012B">
      <w:pPr>
        <w:pStyle w:val="APDStrong"/>
      </w:pPr>
      <w:r w:rsidRPr="00EF0801">
        <w:t xml:space="preserve">Unit ID </w:t>
      </w:r>
      <w:r w:rsidR="00B42127">
        <w:t>No</w:t>
      </w:r>
      <w:r w:rsidRPr="00EF0801">
        <w:t>.</w:t>
      </w:r>
      <w:r w:rsidRPr="00EC5E23">
        <w:rPr>
          <w:bCs/>
        </w:rPr>
        <w:t>:</w:t>
      </w:r>
    </w:p>
    <w:p w14:paraId="367B7CC2" w14:textId="13B82BFA" w:rsidR="00F861CF" w:rsidRPr="00EF0801" w:rsidRDefault="00F861CF" w:rsidP="00D534ED">
      <w:pPr>
        <w:pStyle w:val="APDBodyText"/>
      </w:pPr>
      <w:r w:rsidRPr="00EF0801">
        <w:t xml:space="preserve">Enter the identification number (ID </w:t>
      </w:r>
      <w:r w:rsidR="00B42127">
        <w:t>N</w:t>
      </w:r>
      <w:r w:rsidR="005667BA">
        <w:t>o</w:t>
      </w:r>
      <w:r w:rsidRPr="00EF0801">
        <w:t>.) for the unit (maximum 10 characters) as li</w:t>
      </w:r>
      <w:r w:rsidR="003B4A69" w:rsidRPr="00EF0801">
        <w:t>sted on Form OP</w:t>
      </w:r>
      <w:r w:rsidR="003B4A69" w:rsidRPr="00EF0801">
        <w:noBreakHyphen/>
        <w:t xml:space="preserve">SUM (Individual </w:t>
      </w:r>
      <w:r w:rsidRPr="00EF0801">
        <w:t>Unit Summary).</w:t>
      </w:r>
    </w:p>
    <w:p w14:paraId="3A6DEA74" w14:textId="26987B9C" w:rsidR="00F861CF" w:rsidRPr="00EF0801" w:rsidRDefault="00F861CF" w:rsidP="00D534ED">
      <w:pPr>
        <w:pStyle w:val="APDStrong"/>
      </w:pPr>
      <w:r w:rsidRPr="00EF0801">
        <w:t xml:space="preserve">SOP Index </w:t>
      </w:r>
      <w:r w:rsidR="00B42127">
        <w:t>No</w:t>
      </w:r>
      <w:r w:rsidRPr="00EF0801">
        <w:t>.</w:t>
      </w:r>
      <w:r w:rsidRPr="00EC5E23">
        <w:rPr>
          <w:bCs/>
        </w:rPr>
        <w:t>:</w:t>
      </w:r>
    </w:p>
    <w:p w14:paraId="3FA344A8" w14:textId="77777777" w:rsidR="00371AE7" w:rsidRDefault="00F861CF" w:rsidP="002B3DD4">
      <w:pPr>
        <w:pStyle w:val="APDBodyText"/>
        <w:sectPr w:rsidR="00371AE7" w:rsidSect="0031268E">
          <w:pgSz w:w="12240" w:h="15840" w:code="1"/>
          <w:pgMar w:top="720" w:right="720" w:bottom="720" w:left="720" w:header="720" w:footer="720" w:gutter="0"/>
          <w:cols w:space="720"/>
          <w:titlePg/>
          <w:docGrid w:linePitch="360"/>
        </w:sectPr>
      </w:pPr>
      <w:r w:rsidRPr="00EF0801">
        <w:t>Site operating permit (SOP) applicants should indicate the SOP index number for the uni</w:t>
      </w:r>
      <w:r w:rsidR="003B4A69" w:rsidRPr="00EF0801">
        <w:t>t or group of units (maximum</w:t>
      </w:r>
      <w:r w:rsidR="00EF0801">
        <w:t> </w:t>
      </w:r>
      <w:r w:rsidR="003B4A69" w:rsidRPr="00EF0801">
        <w:t>15</w:t>
      </w:r>
      <w:r w:rsidR="00EF0801">
        <w:t> </w:t>
      </w:r>
      <w:r w:rsidRPr="00EF0801">
        <w:t xml:space="preserve">characters consisting of numeric, alphanumeric characters, and/or dashes prefixed by a code for the applicable regulation [i.e., 60KB-XXXX]). For additional information relating to SOP index numbers, </w:t>
      </w:r>
      <w:r w:rsidR="00584E6D" w:rsidRPr="00EF0801">
        <w:t xml:space="preserve">please </w:t>
      </w:r>
      <w:r w:rsidR="00584E6D">
        <w:t xml:space="preserve">see the Completing FOP Applications – Additional Guidance on the </w:t>
      </w:r>
      <w:r w:rsidR="00584E6D" w:rsidRPr="00EF0801">
        <w:t xml:space="preserve">TCEQ website at </w:t>
      </w:r>
      <w:hyperlink r:id="rId15" w:tooltip="TCEQ - Completing FOP Applications - Additional Guidance" w:history="1">
        <w:r w:rsidR="00584E6D" w:rsidRPr="00885E28">
          <w:rPr>
            <w:rStyle w:val="Hyperlink"/>
          </w:rPr>
          <w:t>www.tceq.texas.gov/permitting/air/guidance/titlev/tv_fop_guidance.html</w:t>
        </w:r>
      </w:hyperlink>
      <w:r w:rsidR="00584E6D" w:rsidRPr="00EF0801">
        <w:t>.</w:t>
      </w:r>
    </w:p>
    <w:p w14:paraId="78EF67AB" w14:textId="77777777" w:rsidR="00F861CF" w:rsidRPr="00EF0801" w:rsidRDefault="00F861CF" w:rsidP="00D534ED">
      <w:pPr>
        <w:pStyle w:val="APDStrong"/>
      </w:pPr>
      <w:r w:rsidRPr="00EF0801">
        <w:lastRenderedPageBreak/>
        <w:t>D-Series Fuel Type</w:t>
      </w:r>
      <w:r w:rsidRPr="00EC5E23">
        <w:rPr>
          <w:bCs/>
        </w:rPr>
        <w:t>:</w:t>
      </w:r>
    </w:p>
    <w:p w14:paraId="1368FC91" w14:textId="77777777" w:rsidR="00F861CF" w:rsidRDefault="00F861CF" w:rsidP="00D534ED">
      <w:pPr>
        <w:pStyle w:val="APDBodyText"/>
      </w:pPr>
      <w:r w:rsidRPr="00EF0801">
        <w:t>Select one or more of the following options for fuel type(s) used to fire the boiler, steam generator, or steam generating unit. Enter the code(s) on the form. In some cases, several fuel type code options could appropriately describe a single fuel being combusted (e.g., distillate oil). In these instances, select one fuel type code which best represents the fuel being combusted.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 and Description&#10;"/>
      </w:tblPr>
      <w:tblGrid>
        <w:gridCol w:w="1530"/>
        <w:gridCol w:w="8550"/>
      </w:tblGrid>
      <w:tr w:rsidR="004E43AB" w14:paraId="213085D9" w14:textId="77777777" w:rsidTr="00DD76FD">
        <w:trPr>
          <w:cantSplit/>
          <w:tblHeader/>
        </w:trPr>
        <w:tc>
          <w:tcPr>
            <w:tcW w:w="1530" w:type="dxa"/>
          </w:tcPr>
          <w:p w14:paraId="12BB1594" w14:textId="7CE5C26D" w:rsidR="004E43AB" w:rsidRPr="004E43AB" w:rsidRDefault="004E43AB" w:rsidP="00BC2F6B">
            <w:pPr>
              <w:rPr>
                <w:b/>
                <w:bCs/>
              </w:rPr>
            </w:pPr>
            <w:r w:rsidRPr="004E43AB">
              <w:rPr>
                <w:b/>
                <w:bCs/>
              </w:rPr>
              <w:t>Code</w:t>
            </w:r>
          </w:p>
        </w:tc>
        <w:tc>
          <w:tcPr>
            <w:tcW w:w="8550" w:type="dxa"/>
          </w:tcPr>
          <w:p w14:paraId="2E37792D" w14:textId="1560CE14" w:rsidR="004E43AB" w:rsidRPr="004E43AB" w:rsidRDefault="004E43AB" w:rsidP="00BC2F6B">
            <w:pPr>
              <w:rPr>
                <w:b/>
                <w:bCs/>
              </w:rPr>
            </w:pPr>
            <w:r w:rsidRPr="004E43AB">
              <w:rPr>
                <w:b/>
                <w:bCs/>
              </w:rPr>
              <w:t>Description</w:t>
            </w:r>
          </w:p>
        </w:tc>
      </w:tr>
      <w:tr w:rsidR="004E43AB" w14:paraId="45C6C9AB" w14:textId="77777777" w:rsidTr="00DD76FD">
        <w:trPr>
          <w:cantSplit/>
          <w:tblHeader/>
        </w:trPr>
        <w:tc>
          <w:tcPr>
            <w:tcW w:w="1530" w:type="dxa"/>
          </w:tcPr>
          <w:p w14:paraId="5D8B88C8" w14:textId="3DCEA01F" w:rsidR="004E43AB" w:rsidRDefault="004E43AB" w:rsidP="00BC2F6B">
            <w:r w:rsidRPr="00DA2A0E">
              <w:t>WD</w:t>
            </w:r>
          </w:p>
        </w:tc>
        <w:tc>
          <w:tcPr>
            <w:tcW w:w="8550" w:type="dxa"/>
          </w:tcPr>
          <w:p w14:paraId="4D0B4E47" w14:textId="3AE18A59" w:rsidR="004E43AB" w:rsidRDefault="004E43AB" w:rsidP="00BC2F6B">
            <w:r w:rsidRPr="00DA2A0E">
              <w:t>Wood-residue</w:t>
            </w:r>
          </w:p>
        </w:tc>
      </w:tr>
      <w:tr w:rsidR="004E43AB" w14:paraId="584642CC" w14:textId="77777777" w:rsidTr="00DD76FD">
        <w:trPr>
          <w:cantSplit/>
          <w:tblHeader/>
        </w:trPr>
        <w:tc>
          <w:tcPr>
            <w:tcW w:w="1530" w:type="dxa"/>
          </w:tcPr>
          <w:p w14:paraId="763370B9" w14:textId="79853DF0" w:rsidR="004E43AB" w:rsidRDefault="004E43AB" w:rsidP="00BC2F6B">
            <w:r w:rsidRPr="00DA2A0E">
              <w:t>LG</w:t>
            </w:r>
          </w:p>
        </w:tc>
        <w:tc>
          <w:tcPr>
            <w:tcW w:w="8550" w:type="dxa"/>
          </w:tcPr>
          <w:p w14:paraId="2E784D9D" w14:textId="07A61694" w:rsidR="004E43AB" w:rsidRDefault="004E43AB" w:rsidP="00BC2F6B">
            <w:r w:rsidRPr="00DA2A0E">
              <w:t>Lignite</w:t>
            </w:r>
          </w:p>
        </w:tc>
      </w:tr>
      <w:tr w:rsidR="004E43AB" w14:paraId="21937E86" w14:textId="77777777" w:rsidTr="00DD76FD">
        <w:trPr>
          <w:cantSplit/>
          <w:tblHeader/>
        </w:trPr>
        <w:tc>
          <w:tcPr>
            <w:tcW w:w="1530" w:type="dxa"/>
          </w:tcPr>
          <w:p w14:paraId="1A7D5FE2" w14:textId="09BCDEF2" w:rsidR="004E43AB" w:rsidRDefault="004E43AB" w:rsidP="00BC2F6B">
            <w:r w:rsidRPr="00DA2A0E">
              <w:t>CR25</w:t>
            </w:r>
          </w:p>
        </w:tc>
        <w:tc>
          <w:tcPr>
            <w:tcW w:w="8550" w:type="dxa"/>
          </w:tcPr>
          <w:p w14:paraId="56D4176C" w14:textId="2DC19FB7" w:rsidR="004E43AB" w:rsidRDefault="004E43AB" w:rsidP="00BC2F6B">
            <w:r w:rsidRPr="00DA2A0E">
              <w:t>Fossil fuel containing at least 25%, by weight, of coal refuse</w:t>
            </w:r>
          </w:p>
        </w:tc>
      </w:tr>
      <w:tr w:rsidR="004E43AB" w14:paraId="10209F8D" w14:textId="77777777" w:rsidTr="00DD76FD">
        <w:trPr>
          <w:cantSplit/>
          <w:tblHeader/>
        </w:trPr>
        <w:tc>
          <w:tcPr>
            <w:tcW w:w="1530" w:type="dxa"/>
          </w:tcPr>
          <w:p w14:paraId="3269B0EC" w14:textId="7818F2FD" w:rsidR="004E43AB" w:rsidRDefault="004E43AB" w:rsidP="00BC2F6B">
            <w:r w:rsidRPr="00DA2A0E">
              <w:t>LG25</w:t>
            </w:r>
          </w:p>
        </w:tc>
        <w:tc>
          <w:tcPr>
            <w:tcW w:w="8550" w:type="dxa"/>
          </w:tcPr>
          <w:p w14:paraId="1BB52A33" w14:textId="702EC6FF" w:rsidR="004E43AB" w:rsidRDefault="004E43AB" w:rsidP="00BC2F6B">
            <w:r w:rsidRPr="00DA2A0E">
              <w:t>Fossil fuel containing at least 25% of lignite mined in North Dakota, South Dakota, or Montana</w:t>
            </w:r>
          </w:p>
        </w:tc>
      </w:tr>
      <w:tr w:rsidR="004E43AB" w14:paraId="0E0334A1" w14:textId="77777777" w:rsidTr="00DD76FD">
        <w:trPr>
          <w:cantSplit/>
          <w:tblHeader/>
        </w:trPr>
        <w:tc>
          <w:tcPr>
            <w:tcW w:w="1530" w:type="dxa"/>
          </w:tcPr>
          <w:p w14:paraId="4E95A077" w14:textId="4D9524D7" w:rsidR="004E43AB" w:rsidRDefault="004E43AB" w:rsidP="00BC2F6B">
            <w:bookmarkStart w:id="12" w:name="_Hlk31639366"/>
            <w:r w:rsidRPr="00DA2A0E">
              <w:t>GFF</w:t>
            </w:r>
            <w:bookmarkEnd w:id="12"/>
          </w:p>
        </w:tc>
        <w:tc>
          <w:tcPr>
            <w:tcW w:w="8550" w:type="dxa"/>
          </w:tcPr>
          <w:p w14:paraId="5D39D091" w14:textId="6DB31DDA" w:rsidR="004E43AB" w:rsidRDefault="004E43AB" w:rsidP="00BC2F6B">
            <w:r w:rsidRPr="00DA2A0E">
              <w:t>Gaseous fossil fuel other than natural gas</w:t>
            </w:r>
          </w:p>
        </w:tc>
      </w:tr>
      <w:tr w:rsidR="004E43AB" w14:paraId="1EA76DC7" w14:textId="77777777" w:rsidTr="00DD76FD">
        <w:trPr>
          <w:cantSplit/>
          <w:tblHeader/>
        </w:trPr>
        <w:tc>
          <w:tcPr>
            <w:tcW w:w="1530" w:type="dxa"/>
          </w:tcPr>
          <w:p w14:paraId="2C06B1D2" w14:textId="0B8D148E" w:rsidR="004E43AB" w:rsidRDefault="004E43AB" w:rsidP="00BC2F6B">
            <w:r w:rsidRPr="00DA2A0E">
              <w:t>SFF</w:t>
            </w:r>
          </w:p>
        </w:tc>
        <w:tc>
          <w:tcPr>
            <w:tcW w:w="8550" w:type="dxa"/>
          </w:tcPr>
          <w:p w14:paraId="17E09B03" w14:textId="3E5A55D7" w:rsidR="004E43AB" w:rsidRDefault="004E43AB" w:rsidP="00BC2F6B">
            <w:r w:rsidRPr="00DA2A0E">
              <w:t>Solid fossil fuel (fuel that is not lignite, at least 25% coal refuse, or at least 25% lignite mined in North Dakota, South Dakota, or Montana)</w:t>
            </w:r>
          </w:p>
        </w:tc>
      </w:tr>
      <w:tr w:rsidR="004E43AB" w14:paraId="1ECE3A59" w14:textId="77777777" w:rsidTr="00DD76FD">
        <w:trPr>
          <w:cantSplit/>
          <w:tblHeader/>
        </w:trPr>
        <w:tc>
          <w:tcPr>
            <w:tcW w:w="1530" w:type="dxa"/>
          </w:tcPr>
          <w:p w14:paraId="182B1ACD" w14:textId="2A9BF32C" w:rsidR="004E43AB" w:rsidRDefault="004E43AB" w:rsidP="00BC2F6B">
            <w:r w:rsidRPr="00DA2A0E">
              <w:t>LFF</w:t>
            </w:r>
          </w:p>
        </w:tc>
        <w:tc>
          <w:tcPr>
            <w:tcW w:w="8550" w:type="dxa"/>
          </w:tcPr>
          <w:p w14:paraId="48AFE418" w14:textId="3BCC9F33" w:rsidR="004E43AB" w:rsidRDefault="004E43AB" w:rsidP="00BC2F6B">
            <w:r w:rsidRPr="00DA2A0E">
              <w:t>Liquid fossil fuel</w:t>
            </w:r>
          </w:p>
        </w:tc>
      </w:tr>
      <w:tr w:rsidR="004E43AB" w14:paraId="599A4357" w14:textId="77777777" w:rsidTr="00DD76FD">
        <w:trPr>
          <w:cantSplit/>
          <w:tblHeader/>
        </w:trPr>
        <w:tc>
          <w:tcPr>
            <w:tcW w:w="1530" w:type="dxa"/>
          </w:tcPr>
          <w:p w14:paraId="68A122B3" w14:textId="3404348E" w:rsidR="004E43AB" w:rsidRDefault="004E43AB" w:rsidP="00BC2F6B">
            <w:r w:rsidRPr="00DA2A0E">
              <w:t>NFF</w:t>
            </w:r>
          </w:p>
        </w:tc>
        <w:tc>
          <w:tcPr>
            <w:tcW w:w="8550" w:type="dxa"/>
          </w:tcPr>
          <w:p w14:paraId="08BD19FA" w14:textId="2060FAF0" w:rsidR="004E43AB" w:rsidRDefault="004E43AB" w:rsidP="00BC2F6B">
            <w:r w:rsidRPr="00DA2A0E">
              <w:t>Non-fossil fuel other than wood residue</w:t>
            </w:r>
          </w:p>
        </w:tc>
      </w:tr>
      <w:tr w:rsidR="004E43AB" w14:paraId="0560C30A" w14:textId="77777777" w:rsidTr="00DD76FD">
        <w:trPr>
          <w:cantSplit/>
          <w:tblHeader/>
        </w:trPr>
        <w:tc>
          <w:tcPr>
            <w:tcW w:w="1530" w:type="dxa"/>
          </w:tcPr>
          <w:p w14:paraId="0E16514D" w14:textId="43878A60" w:rsidR="004E43AB" w:rsidRDefault="004E43AB" w:rsidP="00BC2F6B">
            <w:r w:rsidRPr="00DA2A0E">
              <w:t>NG</w:t>
            </w:r>
          </w:p>
        </w:tc>
        <w:tc>
          <w:tcPr>
            <w:tcW w:w="8550" w:type="dxa"/>
          </w:tcPr>
          <w:p w14:paraId="0939B1A5" w14:textId="41D45FC3" w:rsidR="004E43AB" w:rsidRDefault="004E43AB" w:rsidP="00BC2F6B">
            <w:r w:rsidRPr="00DA2A0E">
              <w:t>Natural gas</w:t>
            </w:r>
          </w:p>
        </w:tc>
      </w:tr>
    </w:tbl>
    <w:p w14:paraId="33F4D39F" w14:textId="25E38640" w:rsidR="003B4A69" w:rsidRDefault="00F861CF" w:rsidP="002412CA">
      <w:pPr>
        <w:pStyle w:val="APDBodyText"/>
        <w:spacing w:before="120"/>
      </w:pPr>
      <w:r w:rsidRPr="00EF0801">
        <w:t>If a fuel-firing option consists of multiple fuel types being combusted simultaneously, enter the D-Series fuel type code for each fuel in a separate column on the same line, with a single SOP index number. If there are more than three fuels being combusted simultaneously, use multiple lines, and start each line with a different SOP index number. Start each additional fuel-firing option on a different line with a different SOP index number. If multiple fuels that use the same code are simultaneously combusted, then enter the code once for each fuel (see “Fuel-firing Option A” for an example of multiple gaseous fossil fuels combusted simultaneously).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Fuel-firing Option A for an example of multiple gaseous fossil fuels combusted simultaneously. "/>
      </w:tblPr>
      <w:tblGrid>
        <w:gridCol w:w="2160"/>
        <w:gridCol w:w="2160"/>
        <w:gridCol w:w="2160"/>
        <w:gridCol w:w="2160"/>
        <w:gridCol w:w="2160"/>
      </w:tblGrid>
      <w:tr w:rsidR="00386479" w14:paraId="175C842A" w14:textId="77777777" w:rsidTr="00386479">
        <w:trPr>
          <w:cantSplit/>
          <w:tblHeader/>
        </w:trPr>
        <w:tc>
          <w:tcPr>
            <w:tcW w:w="2160" w:type="dxa"/>
            <w:tcBorders>
              <w:top w:val="nil"/>
              <w:left w:val="nil"/>
              <w:bottom w:val="nil"/>
              <w:right w:val="double" w:sz="6" w:space="0" w:color="auto"/>
            </w:tcBorders>
          </w:tcPr>
          <w:p w14:paraId="2485FC07" w14:textId="4C75DB4A" w:rsidR="00386479" w:rsidRDefault="00386479" w:rsidP="00386479">
            <w:r w:rsidRPr="00EF0801">
              <w:rPr>
                <w:i/>
              </w:rPr>
              <w:t>Example:</w:t>
            </w:r>
          </w:p>
        </w:tc>
        <w:tc>
          <w:tcPr>
            <w:tcW w:w="2160" w:type="dxa"/>
            <w:tcBorders>
              <w:left w:val="double" w:sz="6" w:space="0" w:color="auto"/>
            </w:tcBorders>
            <w:shd w:val="clear" w:color="auto" w:fill="D9D9D9" w:themeFill="background1" w:themeFillShade="D9"/>
          </w:tcPr>
          <w:p w14:paraId="43226FD6" w14:textId="7D1C9BE1" w:rsidR="00386479" w:rsidRDefault="00386479" w:rsidP="00386479">
            <w:r w:rsidRPr="00EF0801">
              <w:rPr>
                <w:b/>
              </w:rPr>
              <w:t xml:space="preserve">SOP Index </w:t>
            </w:r>
            <w:r w:rsidR="00B42127">
              <w:rPr>
                <w:b/>
              </w:rPr>
              <w:t>No</w:t>
            </w:r>
            <w:r w:rsidRPr="00EF0801">
              <w:rPr>
                <w:b/>
              </w:rPr>
              <w:t>.</w:t>
            </w:r>
          </w:p>
        </w:tc>
        <w:tc>
          <w:tcPr>
            <w:tcW w:w="2160" w:type="dxa"/>
            <w:shd w:val="clear" w:color="auto" w:fill="D9D9D9" w:themeFill="background1" w:themeFillShade="D9"/>
          </w:tcPr>
          <w:p w14:paraId="1B292FAC" w14:textId="7BAED3E7" w:rsidR="00386479" w:rsidRDefault="00386479" w:rsidP="00386479">
            <w:r w:rsidRPr="00EF0801">
              <w:rPr>
                <w:b/>
              </w:rPr>
              <w:t>D-Series Fuel Type</w:t>
            </w:r>
          </w:p>
        </w:tc>
        <w:tc>
          <w:tcPr>
            <w:tcW w:w="2160" w:type="dxa"/>
            <w:shd w:val="clear" w:color="auto" w:fill="D9D9D9" w:themeFill="background1" w:themeFillShade="D9"/>
          </w:tcPr>
          <w:p w14:paraId="1616A58A" w14:textId="7D0443D8" w:rsidR="00386479" w:rsidRDefault="00386479" w:rsidP="00386479">
            <w:r w:rsidRPr="00EF0801">
              <w:rPr>
                <w:b/>
              </w:rPr>
              <w:t>D-Series Fuel Type</w:t>
            </w:r>
          </w:p>
        </w:tc>
        <w:tc>
          <w:tcPr>
            <w:tcW w:w="2160" w:type="dxa"/>
            <w:shd w:val="clear" w:color="auto" w:fill="D9D9D9" w:themeFill="background1" w:themeFillShade="D9"/>
          </w:tcPr>
          <w:p w14:paraId="7DD9609E" w14:textId="27ABAA49" w:rsidR="00386479" w:rsidRDefault="00386479" w:rsidP="00386479">
            <w:r w:rsidRPr="00EF0801">
              <w:rPr>
                <w:b/>
              </w:rPr>
              <w:t>D-Series Fuel Type</w:t>
            </w:r>
          </w:p>
        </w:tc>
      </w:tr>
      <w:tr w:rsidR="00386479" w14:paraId="241BABBB" w14:textId="77777777" w:rsidTr="00386479">
        <w:trPr>
          <w:cantSplit/>
          <w:tblHeader/>
        </w:trPr>
        <w:tc>
          <w:tcPr>
            <w:tcW w:w="2160" w:type="dxa"/>
            <w:tcBorders>
              <w:top w:val="nil"/>
              <w:left w:val="nil"/>
              <w:bottom w:val="nil"/>
              <w:right w:val="double" w:sz="6" w:space="0" w:color="auto"/>
            </w:tcBorders>
          </w:tcPr>
          <w:p w14:paraId="5346EEFC" w14:textId="56AA712F" w:rsidR="00386479" w:rsidRDefault="00386479" w:rsidP="00386479">
            <w:r w:rsidRPr="00EF0801">
              <w:t>Fuel-firing Option A:</w:t>
            </w:r>
          </w:p>
        </w:tc>
        <w:tc>
          <w:tcPr>
            <w:tcW w:w="2160" w:type="dxa"/>
            <w:tcBorders>
              <w:left w:val="double" w:sz="6" w:space="0" w:color="auto"/>
            </w:tcBorders>
          </w:tcPr>
          <w:p w14:paraId="634B2E6F" w14:textId="63C4FD13" w:rsidR="00386479" w:rsidRDefault="00386479" w:rsidP="00386479">
            <w:r w:rsidRPr="00EF0801">
              <w:t>60D-1A</w:t>
            </w:r>
          </w:p>
        </w:tc>
        <w:tc>
          <w:tcPr>
            <w:tcW w:w="2160" w:type="dxa"/>
          </w:tcPr>
          <w:p w14:paraId="56413FF3" w14:textId="172DBC6A" w:rsidR="00386479" w:rsidRDefault="00386479" w:rsidP="00386479">
            <w:r w:rsidRPr="00EF0801">
              <w:t>GFF</w:t>
            </w:r>
          </w:p>
        </w:tc>
        <w:tc>
          <w:tcPr>
            <w:tcW w:w="2160" w:type="dxa"/>
          </w:tcPr>
          <w:p w14:paraId="203F2F23" w14:textId="50A1E14F" w:rsidR="00386479" w:rsidRDefault="00386479" w:rsidP="00386479">
            <w:r w:rsidRPr="00EF0801">
              <w:t>GFF</w:t>
            </w:r>
          </w:p>
        </w:tc>
        <w:tc>
          <w:tcPr>
            <w:tcW w:w="2160" w:type="dxa"/>
          </w:tcPr>
          <w:p w14:paraId="33000DBC" w14:textId="6D4D7361" w:rsidR="00386479" w:rsidRDefault="00386479" w:rsidP="00386479">
            <w:r w:rsidRPr="00EF0801">
              <w:t>GFF</w:t>
            </w:r>
          </w:p>
        </w:tc>
      </w:tr>
      <w:tr w:rsidR="00386479" w14:paraId="6905BAA8" w14:textId="77777777" w:rsidTr="00386479">
        <w:trPr>
          <w:cantSplit/>
          <w:tblHeader/>
        </w:trPr>
        <w:tc>
          <w:tcPr>
            <w:tcW w:w="2160" w:type="dxa"/>
            <w:tcBorders>
              <w:top w:val="nil"/>
              <w:left w:val="nil"/>
              <w:bottom w:val="nil"/>
              <w:right w:val="double" w:sz="6" w:space="0" w:color="auto"/>
            </w:tcBorders>
          </w:tcPr>
          <w:p w14:paraId="5497F4E2" w14:textId="77777777" w:rsidR="00386479" w:rsidRDefault="00386479" w:rsidP="00386479"/>
        </w:tc>
        <w:tc>
          <w:tcPr>
            <w:tcW w:w="2160" w:type="dxa"/>
            <w:tcBorders>
              <w:left w:val="double" w:sz="6" w:space="0" w:color="auto"/>
            </w:tcBorders>
          </w:tcPr>
          <w:p w14:paraId="649A54AC" w14:textId="3D59234D" w:rsidR="00386479" w:rsidRDefault="00386479" w:rsidP="00386479">
            <w:r w:rsidRPr="00EF0801">
              <w:t>60D-1B</w:t>
            </w:r>
          </w:p>
        </w:tc>
        <w:tc>
          <w:tcPr>
            <w:tcW w:w="2160" w:type="dxa"/>
          </w:tcPr>
          <w:p w14:paraId="0FAF2AC5" w14:textId="1FAC1B6A" w:rsidR="00386479" w:rsidRDefault="00386479" w:rsidP="00386479">
            <w:r w:rsidRPr="00EF0801">
              <w:t>GFF</w:t>
            </w:r>
          </w:p>
        </w:tc>
        <w:tc>
          <w:tcPr>
            <w:tcW w:w="2160" w:type="dxa"/>
          </w:tcPr>
          <w:p w14:paraId="4E088AB4" w14:textId="77777777" w:rsidR="00386479" w:rsidRDefault="00386479" w:rsidP="00386479"/>
        </w:tc>
        <w:tc>
          <w:tcPr>
            <w:tcW w:w="2160" w:type="dxa"/>
          </w:tcPr>
          <w:p w14:paraId="38BDEBA4" w14:textId="77777777" w:rsidR="00386479" w:rsidRDefault="00386479" w:rsidP="00386479"/>
        </w:tc>
      </w:tr>
      <w:tr w:rsidR="00386479" w14:paraId="28DC0A17" w14:textId="77777777" w:rsidTr="00386479">
        <w:trPr>
          <w:cantSplit/>
          <w:tblHeader/>
        </w:trPr>
        <w:tc>
          <w:tcPr>
            <w:tcW w:w="2160" w:type="dxa"/>
            <w:tcBorders>
              <w:top w:val="nil"/>
              <w:left w:val="nil"/>
              <w:bottom w:val="nil"/>
              <w:right w:val="double" w:sz="6" w:space="0" w:color="auto"/>
            </w:tcBorders>
          </w:tcPr>
          <w:p w14:paraId="1BD6B532" w14:textId="3C3C2D1F" w:rsidR="00386479" w:rsidRDefault="00386479" w:rsidP="00386479">
            <w:r w:rsidRPr="00EF0801">
              <w:t>Fuel-firing Option B</w:t>
            </w:r>
          </w:p>
        </w:tc>
        <w:tc>
          <w:tcPr>
            <w:tcW w:w="2160" w:type="dxa"/>
            <w:tcBorders>
              <w:left w:val="double" w:sz="6" w:space="0" w:color="auto"/>
            </w:tcBorders>
          </w:tcPr>
          <w:p w14:paraId="16F203CD" w14:textId="039835E2" w:rsidR="00386479" w:rsidRDefault="00386479" w:rsidP="00386479">
            <w:r w:rsidRPr="00EF0801">
              <w:t>60D-2</w:t>
            </w:r>
          </w:p>
        </w:tc>
        <w:tc>
          <w:tcPr>
            <w:tcW w:w="2160" w:type="dxa"/>
          </w:tcPr>
          <w:p w14:paraId="5D8891A2" w14:textId="0157D040" w:rsidR="00386479" w:rsidRDefault="00386479" w:rsidP="00386479">
            <w:r w:rsidRPr="00EF0801">
              <w:t>WD</w:t>
            </w:r>
          </w:p>
        </w:tc>
        <w:tc>
          <w:tcPr>
            <w:tcW w:w="2160" w:type="dxa"/>
          </w:tcPr>
          <w:p w14:paraId="5B47DC9A" w14:textId="20DCD177" w:rsidR="00386479" w:rsidRDefault="00386479" w:rsidP="00386479">
            <w:r w:rsidRPr="00EF0801">
              <w:t>LG25</w:t>
            </w:r>
          </w:p>
        </w:tc>
        <w:tc>
          <w:tcPr>
            <w:tcW w:w="2160" w:type="dxa"/>
          </w:tcPr>
          <w:p w14:paraId="6EE6D73C" w14:textId="77777777" w:rsidR="00386479" w:rsidRDefault="00386479" w:rsidP="00386479"/>
        </w:tc>
      </w:tr>
      <w:tr w:rsidR="00386479" w14:paraId="4D801A83" w14:textId="77777777" w:rsidTr="00386479">
        <w:trPr>
          <w:cantSplit/>
          <w:tblHeader/>
        </w:trPr>
        <w:tc>
          <w:tcPr>
            <w:tcW w:w="2160" w:type="dxa"/>
            <w:tcBorders>
              <w:top w:val="nil"/>
              <w:left w:val="nil"/>
              <w:bottom w:val="nil"/>
              <w:right w:val="double" w:sz="6" w:space="0" w:color="auto"/>
            </w:tcBorders>
          </w:tcPr>
          <w:p w14:paraId="1C7BE069" w14:textId="12BB9EDD" w:rsidR="00386479" w:rsidRDefault="00386479" w:rsidP="00386479">
            <w:r w:rsidRPr="00EF0801">
              <w:t>Fuel-firing Option C</w:t>
            </w:r>
          </w:p>
        </w:tc>
        <w:tc>
          <w:tcPr>
            <w:tcW w:w="2160" w:type="dxa"/>
            <w:tcBorders>
              <w:left w:val="double" w:sz="6" w:space="0" w:color="auto"/>
            </w:tcBorders>
          </w:tcPr>
          <w:p w14:paraId="575CDDA1" w14:textId="7AAD8E4B" w:rsidR="00386479" w:rsidRDefault="00386479" w:rsidP="00386479">
            <w:r w:rsidRPr="00EF0801">
              <w:t>60D</w:t>
            </w:r>
            <w:r w:rsidR="00134AC0">
              <w:t>-</w:t>
            </w:r>
            <w:r w:rsidRPr="00EF0801">
              <w:t>3</w:t>
            </w:r>
          </w:p>
        </w:tc>
        <w:tc>
          <w:tcPr>
            <w:tcW w:w="2160" w:type="dxa"/>
          </w:tcPr>
          <w:p w14:paraId="20AF6040" w14:textId="2C67C73C" w:rsidR="00386479" w:rsidRDefault="00386479" w:rsidP="00386479">
            <w:r w:rsidRPr="00EF0801">
              <w:t>LG</w:t>
            </w:r>
          </w:p>
        </w:tc>
        <w:tc>
          <w:tcPr>
            <w:tcW w:w="2160" w:type="dxa"/>
          </w:tcPr>
          <w:p w14:paraId="030C4D46" w14:textId="24530677" w:rsidR="00386479" w:rsidRDefault="00386479" w:rsidP="00386479">
            <w:r w:rsidRPr="00EF0801">
              <w:t>SFF</w:t>
            </w:r>
          </w:p>
        </w:tc>
        <w:tc>
          <w:tcPr>
            <w:tcW w:w="2160" w:type="dxa"/>
          </w:tcPr>
          <w:p w14:paraId="09FD17A0" w14:textId="202BC984" w:rsidR="00386479" w:rsidRDefault="00386479" w:rsidP="00386479">
            <w:r w:rsidRPr="00EF0801">
              <w:t>NFF</w:t>
            </w:r>
          </w:p>
        </w:tc>
      </w:tr>
    </w:tbl>
    <w:p w14:paraId="0D24083F" w14:textId="1B8653CF" w:rsidR="001136E2" w:rsidRDefault="00F861CF" w:rsidP="00FD7888">
      <w:pPr>
        <w:pStyle w:val="APDContinueTriangle"/>
      </w:pPr>
      <w:r w:rsidRPr="00EF0801">
        <w:t>Continue only if “D-Series Fuel Type” is not “WD,” “NFF,” or “WD,” and “NFF” in combination.</w:t>
      </w:r>
    </w:p>
    <w:p w14:paraId="2A1E61B8" w14:textId="77777777" w:rsidR="00B0248C" w:rsidRDefault="00B0248C" w:rsidP="001F60FB">
      <w:pPr>
        <w:tabs>
          <w:tab w:val="left" w:pos="0"/>
        </w:tabs>
        <w:rPr>
          <w:b/>
        </w:rPr>
        <w:sectPr w:rsidR="00B0248C" w:rsidSect="0031268E">
          <w:pgSz w:w="12240" w:h="15840" w:code="1"/>
          <w:pgMar w:top="720" w:right="720" w:bottom="720" w:left="720" w:header="720" w:footer="720" w:gutter="0"/>
          <w:cols w:space="720"/>
          <w:titlePg/>
          <w:docGrid w:linePitch="360"/>
        </w:sectPr>
      </w:pPr>
    </w:p>
    <w:p w14:paraId="3A5D167A" w14:textId="77777777" w:rsidR="00F861CF" w:rsidRPr="00EF0801" w:rsidRDefault="00F861CF" w:rsidP="00DA7FA6">
      <w:pPr>
        <w:pStyle w:val="APDStrong"/>
      </w:pPr>
      <w:r w:rsidRPr="00EF0801">
        <w:lastRenderedPageBreak/>
        <w:t>Alternate 43D</w:t>
      </w:r>
      <w:r w:rsidRPr="00EC5E23">
        <w:rPr>
          <w:bCs/>
        </w:rPr>
        <w:t>:</w:t>
      </w:r>
    </w:p>
    <w:p w14:paraId="20342C00" w14:textId="448FB4D0" w:rsidR="00F861CF" w:rsidRDefault="00F861CF" w:rsidP="005A78E3">
      <w:pPr>
        <w:pStyle w:val="APDBodyText"/>
      </w:pPr>
      <w:r w:rsidRPr="005A78E3">
        <w:t xml:space="preserve">Select one of the following options for alternate </w:t>
      </w:r>
      <w:r w:rsidR="004F6614">
        <w:t>SO</w:t>
      </w:r>
      <w:r w:rsidR="00A5028F" w:rsidRPr="00A5028F">
        <w:rPr>
          <w:vertAlign w:val="subscript"/>
        </w:rPr>
        <w:t>2</w:t>
      </w:r>
      <w:r w:rsidRPr="005A78E3">
        <w:t xml:space="preserve"> requirements.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 - Code and Description&#10;&#10;"/>
      </w:tblPr>
      <w:tblGrid>
        <w:gridCol w:w="1530"/>
        <w:gridCol w:w="8550"/>
      </w:tblGrid>
      <w:tr w:rsidR="006B1EB6" w14:paraId="54C8C5D4" w14:textId="77777777" w:rsidTr="00B747AC">
        <w:trPr>
          <w:cantSplit/>
          <w:tblHeader/>
        </w:trPr>
        <w:tc>
          <w:tcPr>
            <w:tcW w:w="1530" w:type="dxa"/>
          </w:tcPr>
          <w:p w14:paraId="0FF0378B" w14:textId="61CE62C4" w:rsidR="006B1EB6" w:rsidRPr="006B1EB6" w:rsidRDefault="006B1EB6" w:rsidP="006B1EB6">
            <w:pPr>
              <w:rPr>
                <w:b/>
                <w:bCs/>
              </w:rPr>
            </w:pPr>
            <w:r w:rsidRPr="006B1EB6">
              <w:rPr>
                <w:b/>
                <w:bCs/>
              </w:rPr>
              <w:t>Code</w:t>
            </w:r>
          </w:p>
        </w:tc>
        <w:tc>
          <w:tcPr>
            <w:tcW w:w="8550" w:type="dxa"/>
          </w:tcPr>
          <w:p w14:paraId="0D8F7D5B" w14:textId="45AFD7C3" w:rsidR="006B1EB6" w:rsidRPr="006B1EB6" w:rsidRDefault="006B1EB6" w:rsidP="006B1EB6">
            <w:pPr>
              <w:rPr>
                <w:b/>
                <w:bCs/>
              </w:rPr>
            </w:pPr>
            <w:r w:rsidRPr="006B1EB6">
              <w:rPr>
                <w:b/>
                <w:bCs/>
              </w:rPr>
              <w:t>Description</w:t>
            </w:r>
          </w:p>
        </w:tc>
      </w:tr>
      <w:tr w:rsidR="006B1EB6" w14:paraId="32B1524F" w14:textId="77777777" w:rsidTr="00B747AC">
        <w:trPr>
          <w:cantSplit/>
          <w:tblHeader/>
        </w:trPr>
        <w:tc>
          <w:tcPr>
            <w:tcW w:w="1530" w:type="dxa"/>
          </w:tcPr>
          <w:p w14:paraId="355A3194" w14:textId="05F53686" w:rsidR="006B1EB6" w:rsidRDefault="006B1EB6" w:rsidP="006B1EB6">
            <w:r w:rsidRPr="00BB1AA3">
              <w:t>43DAI3</w:t>
            </w:r>
          </w:p>
        </w:tc>
        <w:tc>
          <w:tcPr>
            <w:tcW w:w="8550" w:type="dxa"/>
          </w:tcPr>
          <w:p w14:paraId="602CD341" w14:textId="2B396EA0" w:rsidR="006B1EB6" w:rsidRDefault="006B1EB6" w:rsidP="006B1EB6">
            <w:r w:rsidRPr="00BB1AA3">
              <w:t>Facility is meeting § 60.43Da(i)(3) [per § 60.43(d)] as an alternate to meeting the requirements of § 60.43(a) and (b) for SO</w:t>
            </w:r>
            <w:r w:rsidRPr="00BB1AA3">
              <w:rPr>
                <w:vertAlign w:val="subscript"/>
              </w:rPr>
              <w:t>2</w:t>
            </w:r>
          </w:p>
        </w:tc>
      </w:tr>
      <w:tr w:rsidR="006B1EB6" w14:paraId="2009199A" w14:textId="77777777" w:rsidTr="00B747AC">
        <w:trPr>
          <w:cantSplit/>
          <w:tblHeader/>
        </w:trPr>
        <w:tc>
          <w:tcPr>
            <w:tcW w:w="1530" w:type="dxa"/>
          </w:tcPr>
          <w:p w14:paraId="57AF778A" w14:textId="5555AF97" w:rsidR="006B1EB6" w:rsidRDefault="006B1EB6" w:rsidP="006B1EB6">
            <w:r w:rsidRPr="00BB1AA3">
              <w:t>42BK4</w:t>
            </w:r>
          </w:p>
        </w:tc>
        <w:tc>
          <w:tcPr>
            <w:tcW w:w="8550" w:type="dxa"/>
          </w:tcPr>
          <w:p w14:paraId="0189D6FB" w14:textId="533E07ED" w:rsidR="006B1EB6" w:rsidRDefault="006B1EB6" w:rsidP="006B1EB6">
            <w:r w:rsidRPr="00BB1AA3">
              <w:t>Facility is meeting § 60.42b(k)(4) [per § 60.43(d)] as an alternate to meeting the requirements of § 60.43(a) and (b) for SO</w:t>
            </w:r>
            <w:r w:rsidRPr="00BB1AA3">
              <w:rPr>
                <w:vertAlign w:val="subscript"/>
              </w:rPr>
              <w:t>2</w:t>
            </w:r>
          </w:p>
        </w:tc>
      </w:tr>
      <w:tr w:rsidR="006B1EB6" w14:paraId="6E5886A7" w14:textId="77777777" w:rsidTr="00B747AC">
        <w:trPr>
          <w:cantSplit/>
          <w:tblHeader/>
        </w:trPr>
        <w:tc>
          <w:tcPr>
            <w:tcW w:w="1530" w:type="dxa"/>
          </w:tcPr>
          <w:p w14:paraId="1827E830" w14:textId="0DC2E14C" w:rsidR="006B1EB6" w:rsidRDefault="006B1EB6" w:rsidP="006B1EB6">
            <w:r w:rsidRPr="00BB1AA3">
              <w:t>NONE</w:t>
            </w:r>
          </w:p>
        </w:tc>
        <w:tc>
          <w:tcPr>
            <w:tcW w:w="8550" w:type="dxa"/>
          </w:tcPr>
          <w:p w14:paraId="4E03441A" w14:textId="0849DE0E" w:rsidR="006B1EB6" w:rsidRDefault="006B1EB6" w:rsidP="006B1EB6">
            <w:r w:rsidRPr="00BB1AA3">
              <w:t>No alternative requirement is used) for SO</w:t>
            </w:r>
            <w:r w:rsidRPr="00BB1AA3">
              <w:rPr>
                <w:vertAlign w:val="subscript"/>
              </w:rPr>
              <w:t>2</w:t>
            </w:r>
          </w:p>
        </w:tc>
      </w:tr>
    </w:tbl>
    <w:p w14:paraId="693CE1EB" w14:textId="77777777" w:rsidR="00F861CF" w:rsidRPr="00EF0801" w:rsidRDefault="00F861CF" w:rsidP="00035C6C">
      <w:pPr>
        <w:pStyle w:val="APDStrong"/>
        <w:spacing w:before="120"/>
      </w:pPr>
      <w:r w:rsidRPr="00EF0801">
        <w:t>Alternate 44E</w:t>
      </w:r>
      <w:r w:rsidRPr="00EC5E23">
        <w:rPr>
          <w:bCs/>
        </w:rPr>
        <w:t>:</w:t>
      </w:r>
    </w:p>
    <w:p w14:paraId="5FB3E895" w14:textId="16F9173E" w:rsidR="00F861CF" w:rsidRPr="005A78E3" w:rsidRDefault="00F861CF" w:rsidP="005A78E3">
      <w:pPr>
        <w:pStyle w:val="APDBodyText"/>
      </w:pPr>
      <w:r w:rsidRPr="005A78E3">
        <w:t>Enter “</w:t>
      </w:r>
      <w:r w:rsidR="00B42127">
        <w:t>YES</w:t>
      </w:r>
      <w:r w:rsidRPr="005A78E3">
        <w:t>” if the facility is meeting § 60.44Da(e)(3) [per § 60.44(e)] as an alternate to meeting the requirements of § 60.44(a), (b), and (d) for NOx. Otherwise, enter “</w:t>
      </w:r>
      <w:r w:rsidR="00B42127">
        <w:t>NO</w:t>
      </w:r>
      <w:r w:rsidRPr="005A78E3">
        <w:t>.”</w:t>
      </w:r>
    </w:p>
    <w:p w14:paraId="13EE91C5" w14:textId="77777777" w:rsidR="00F861CF" w:rsidRPr="00EF0801" w:rsidRDefault="00F861CF" w:rsidP="00DA7FA6">
      <w:pPr>
        <w:pStyle w:val="APDStrong"/>
      </w:pPr>
      <w:bookmarkStart w:id="13" w:name="_Hlk31639803"/>
      <w:r w:rsidRPr="00EF0801">
        <w:t>Flue Gas Desulfurization</w:t>
      </w:r>
      <w:bookmarkEnd w:id="13"/>
      <w:r w:rsidRPr="00EC5E23">
        <w:rPr>
          <w:bCs/>
        </w:rPr>
        <w:t>:</w:t>
      </w:r>
    </w:p>
    <w:p w14:paraId="425AECC9" w14:textId="512925B1" w:rsidR="00F861CF" w:rsidRPr="005A78E3" w:rsidRDefault="00F861CF" w:rsidP="005A78E3">
      <w:pPr>
        <w:pStyle w:val="APDBodyText"/>
      </w:pPr>
      <w:r w:rsidRPr="005A78E3">
        <w:t>Enter “</w:t>
      </w:r>
      <w:r w:rsidR="00B42127">
        <w:t>YES</w:t>
      </w:r>
      <w:r w:rsidRPr="005A78E3">
        <w:t>” if the unit utilizes a flue gas desulfurization device. Otherwise, enter “</w:t>
      </w:r>
      <w:r w:rsidR="00B42127">
        <w:t>NO</w:t>
      </w:r>
      <w:r w:rsidRPr="005A78E3">
        <w:t>.”</w:t>
      </w:r>
    </w:p>
    <w:p w14:paraId="184C71F2" w14:textId="4E49AFBE" w:rsidR="004F04A3" w:rsidRPr="00EF0801" w:rsidRDefault="004F6614" w:rsidP="00DA7FA6">
      <w:pPr>
        <w:pStyle w:val="APDStrong"/>
      </w:pPr>
      <w:r>
        <w:t>SO</w:t>
      </w:r>
      <w:r w:rsidR="00E20685" w:rsidRPr="00E20685">
        <w:rPr>
          <w:vertAlign w:val="subscript"/>
        </w:rPr>
        <w:t>2</w:t>
      </w:r>
      <w:r w:rsidR="004F04A3">
        <w:t xml:space="preserve"> Monitoring</w:t>
      </w:r>
      <w:r w:rsidR="004F04A3" w:rsidRPr="00EC5E23">
        <w:rPr>
          <w:bCs/>
        </w:rPr>
        <w:t>:</w:t>
      </w:r>
    </w:p>
    <w:p w14:paraId="47BC2164" w14:textId="7BE7E376" w:rsidR="004F04A3" w:rsidRDefault="004F04A3" w:rsidP="005A78E3">
      <w:pPr>
        <w:pStyle w:val="APDBodyText"/>
      </w:pPr>
      <w:r w:rsidRPr="005A78E3">
        <w:t>Select one of the following options for monitoring of sulfur dioxide (</w:t>
      </w:r>
      <w:r w:rsidR="004F6614">
        <w:t>SO</w:t>
      </w:r>
      <w:r w:rsidR="00E20685" w:rsidRPr="00E20685">
        <w:rPr>
          <w:vertAlign w:val="subscript"/>
        </w:rPr>
        <w:t>2</w:t>
      </w:r>
      <w:r w:rsidRPr="005A78E3">
        <w:t>) emissions.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 and Description"/>
      </w:tblPr>
      <w:tblGrid>
        <w:gridCol w:w="1525"/>
        <w:gridCol w:w="8555"/>
      </w:tblGrid>
      <w:tr w:rsidR="00E042B2" w14:paraId="656BC5B8" w14:textId="77777777" w:rsidTr="00B747AC">
        <w:trPr>
          <w:cantSplit/>
          <w:tblHeader/>
        </w:trPr>
        <w:tc>
          <w:tcPr>
            <w:tcW w:w="1525" w:type="dxa"/>
          </w:tcPr>
          <w:p w14:paraId="53A50D3B" w14:textId="225B3C7E" w:rsidR="00E042B2" w:rsidRPr="00E042B2" w:rsidRDefault="00E042B2" w:rsidP="00E042B2">
            <w:pPr>
              <w:rPr>
                <w:b/>
                <w:bCs/>
              </w:rPr>
            </w:pPr>
            <w:r w:rsidRPr="00E042B2">
              <w:rPr>
                <w:b/>
                <w:bCs/>
              </w:rPr>
              <w:t>Code</w:t>
            </w:r>
          </w:p>
        </w:tc>
        <w:tc>
          <w:tcPr>
            <w:tcW w:w="8555" w:type="dxa"/>
          </w:tcPr>
          <w:p w14:paraId="7DF970DD" w14:textId="212C6D17" w:rsidR="00E042B2" w:rsidRPr="00E042B2" w:rsidRDefault="00E042B2" w:rsidP="00E042B2">
            <w:pPr>
              <w:rPr>
                <w:b/>
                <w:bCs/>
              </w:rPr>
            </w:pPr>
            <w:r w:rsidRPr="00E042B2">
              <w:rPr>
                <w:b/>
                <w:bCs/>
              </w:rPr>
              <w:t>Description</w:t>
            </w:r>
          </w:p>
        </w:tc>
      </w:tr>
      <w:tr w:rsidR="00E042B2" w14:paraId="724D183F" w14:textId="77777777" w:rsidTr="00B747AC">
        <w:trPr>
          <w:cantSplit/>
          <w:tblHeader/>
        </w:trPr>
        <w:tc>
          <w:tcPr>
            <w:tcW w:w="1525" w:type="dxa"/>
          </w:tcPr>
          <w:p w14:paraId="728D125C" w14:textId="4061D17D" w:rsidR="00E042B2" w:rsidRDefault="00E042B2" w:rsidP="00E042B2">
            <w:r w:rsidRPr="00944B89">
              <w:t>CEMS</w:t>
            </w:r>
          </w:p>
        </w:tc>
        <w:tc>
          <w:tcPr>
            <w:tcW w:w="8555" w:type="dxa"/>
          </w:tcPr>
          <w:p w14:paraId="2906508E" w14:textId="03AE82DA" w:rsidR="00E042B2" w:rsidRDefault="00E042B2" w:rsidP="00E042B2">
            <w:r w:rsidRPr="00944B89">
              <w:t>Continuous emissions monitoring system</w:t>
            </w:r>
          </w:p>
        </w:tc>
      </w:tr>
      <w:tr w:rsidR="00E042B2" w14:paraId="64FFD657" w14:textId="77777777" w:rsidTr="00B747AC">
        <w:trPr>
          <w:cantSplit/>
          <w:tblHeader/>
        </w:trPr>
        <w:tc>
          <w:tcPr>
            <w:tcW w:w="1525" w:type="dxa"/>
          </w:tcPr>
          <w:p w14:paraId="12A81FBA" w14:textId="58DEA1E3" w:rsidR="00E042B2" w:rsidRDefault="00E042B2" w:rsidP="00E042B2">
            <w:r w:rsidRPr="00944B89">
              <w:t>FLSAMP</w:t>
            </w:r>
          </w:p>
        </w:tc>
        <w:tc>
          <w:tcPr>
            <w:tcW w:w="8555" w:type="dxa"/>
          </w:tcPr>
          <w:p w14:paraId="56D5D958" w14:textId="6FF5603F" w:rsidR="00E042B2" w:rsidRDefault="00E042B2" w:rsidP="00E042B2">
            <w:r w:rsidRPr="00944B89">
              <w:t>Fuel sampling and analysis</w:t>
            </w:r>
          </w:p>
        </w:tc>
      </w:tr>
      <w:tr w:rsidR="00E042B2" w14:paraId="192BE6BC" w14:textId="77777777" w:rsidTr="00B747AC">
        <w:trPr>
          <w:cantSplit/>
          <w:tblHeader/>
        </w:trPr>
        <w:tc>
          <w:tcPr>
            <w:tcW w:w="1525" w:type="dxa"/>
          </w:tcPr>
          <w:p w14:paraId="45CEAB7C" w14:textId="337A4879" w:rsidR="00E042B2" w:rsidRDefault="00E042B2" w:rsidP="00E042B2">
            <w:r w:rsidRPr="00944B89">
              <w:t>FLREC</w:t>
            </w:r>
          </w:p>
        </w:tc>
        <w:tc>
          <w:tcPr>
            <w:tcW w:w="8555" w:type="dxa"/>
          </w:tcPr>
          <w:p w14:paraId="249592C2" w14:textId="753B1FE6" w:rsidR="00E042B2" w:rsidRDefault="00E042B2" w:rsidP="00E042B2">
            <w:r w:rsidRPr="00944B89">
              <w:t>Fuel receipts</w:t>
            </w:r>
          </w:p>
        </w:tc>
      </w:tr>
      <w:tr w:rsidR="00E042B2" w14:paraId="4F3A2902" w14:textId="77777777" w:rsidTr="00B747AC">
        <w:trPr>
          <w:cantSplit/>
          <w:tblHeader/>
        </w:trPr>
        <w:tc>
          <w:tcPr>
            <w:tcW w:w="1525" w:type="dxa"/>
          </w:tcPr>
          <w:p w14:paraId="443F6DFF" w14:textId="7843A181" w:rsidR="00E042B2" w:rsidRDefault="00E042B2" w:rsidP="00E042B2">
            <w:r w:rsidRPr="00944B89">
              <w:t>NONE</w:t>
            </w:r>
          </w:p>
        </w:tc>
        <w:tc>
          <w:tcPr>
            <w:tcW w:w="8555" w:type="dxa"/>
          </w:tcPr>
          <w:p w14:paraId="506BB636" w14:textId="5597C1E1" w:rsidR="00E042B2" w:rsidRDefault="00E042B2" w:rsidP="00E042B2">
            <w:r w:rsidRPr="00944B89">
              <w:t>No monitoring is required for SO</w:t>
            </w:r>
            <w:r w:rsidRPr="00944B89">
              <w:rPr>
                <w:vertAlign w:val="subscript"/>
              </w:rPr>
              <w:t>2</w:t>
            </w:r>
            <w:r w:rsidRPr="00944B89">
              <w:t xml:space="preserve"> emissions because there is no applicable SO</w:t>
            </w:r>
            <w:r w:rsidRPr="00944B89">
              <w:rPr>
                <w:vertAlign w:val="subscript"/>
              </w:rPr>
              <w:t>2</w:t>
            </w:r>
            <w:r w:rsidRPr="00944B89">
              <w:t xml:space="preserve"> emission limit</w:t>
            </w:r>
          </w:p>
        </w:tc>
      </w:tr>
    </w:tbl>
    <w:p w14:paraId="028441E4" w14:textId="77777777" w:rsidR="00F861CF" w:rsidRPr="00EF0801" w:rsidRDefault="00F861CF" w:rsidP="000A6AAC">
      <w:pPr>
        <w:pStyle w:val="APDStrong"/>
        <w:spacing w:before="120"/>
      </w:pPr>
      <w:r w:rsidRPr="00EF0801">
        <w:t>Cyclone-Fired Unit</w:t>
      </w:r>
      <w:r w:rsidRPr="00EC5E23">
        <w:rPr>
          <w:bCs/>
        </w:rPr>
        <w:t>:</w:t>
      </w:r>
    </w:p>
    <w:p w14:paraId="26E086D8" w14:textId="706C4F59" w:rsidR="00F861CF" w:rsidRPr="005A78E3" w:rsidRDefault="00F861CF" w:rsidP="005A78E3">
      <w:pPr>
        <w:pStyle w:val="APDBodyText"/>
      </w:pPr>
      <w:r w:rsidRPr="005A78E3">
        <w:t>Enter “</w:t>
      </w:r>
      <w:r w:rsidR="00B42127">
        <w:t>YES</w:t>
      </w:r>
      <w:r w:rsidRPr="005A78E3">
        <w:t>” if the unit is a cyclone-fired unit. Otherwise, enter “</w:t>
      </w:r>
      <w:r w:rsidR="00B42127">
        <w:t>NO</w:t>
      </w:r>
      <w:r w:rsidRPr="005A78E3">
        <w:t>.”</w:t>
      </w:r>
    </w:p>
    <w:p w14:paraId="0EA1DD19" w14:textId="77777777" w:rsidR="00F861CF" w:rsidRPr="00EF0801" w:rsidRDefault="00F861CF" w:rsidP="00DA7FA6">
      <w:pPr>
        <w:pStyle w:val="APDStrong"/>
      </w:pPr>
      <w:r w:rsidRPr="00EF0801">
        <w:t>NO</w:t>
      </w:r>
      <w:r w:rsidRPr="00EF0801">
        <w:rPr>
          <w:vertAlign w:val="subscript"/>
        </w:rPr>
        <w:t>x</w:t>
      </w:r>
      <w:r w:rsidRPr="00EF0801">
        <w:t xml:space="preserve"> Monitoring Type</w:t>
      </w:r>
      <w:r w:rsidRPr="00287A45">
        <w:rPr>
          <w:bCs/>
        </w:rPr>
        <w:t>:</w:t>
      </w:r>
    </w:p>
    <w:p w14:paraId="72ABBD47" w14:textId="0632FCC8" w:rsidR="006806CF" w:rsidRPr="005A78E3" w:rsidRDefault="00F861CF" w:rsidP="002021E3">
      <w:pPr>
        <w:pStyle w:val="APDBodyText"/>
        <w:spacing w:after="0"/>
      </w:pPr>
      <w:r w:rsidRPr="005A78E3">
        <w:t>Enter “</w:t>
      </w:r>
      <w:r w:rsidR="00B42127">
        <w:t>YES</w:t>
      </w:r>
      <w:r w:rsidRPr="005A78E3">
        <w:t>” if it was demonstrated during the performance test that emissions of NOx are less than 70% of applicable standards in 40 CFR § 60.44. Otherwise, enter “</w:t>
      </w:r>
      <w:r w:rsidR="00B42127">
        <w:t>NO</w:t>
      </w:r>
      <w:r w:rsidRPr="005A78E3">
        <w:t>.”</w:t>
      </w:r>
    </w:p>
    <w:p w14:paraId="41894BA6" w14:textId="77777777" w:rsidR="00F07090" w:rsidRPr="00EF0801" w:rsidRDefault="00F07090" w:rsidP="00F07090">
      <w:pPr>
        <w:pStyle w:val="LineBetweenTables"/>
        <w:rPr>
          <w:rFonts w:cs="Times New Roman"/>
        </w:rPr>
      </w:pPr>
    </w:p>
    <w:bookmarkStart w:id="14" w:name="Table_2a"/>
    <w:p w14:paraId="4B27E6B6" w14:textId="02FA68DF" w:rsidR="00F861CF" w:rsidRPr="00EF0801" w:rsidRDefault="00550F41" w:rsidP="00256939">
      <w:pPr>
        <w:pStyle w:val="APDChapterTitles"/>
        <w:rPr>
          <w:rFonts w:eastAsia="Calibri"/>
          <w:szCs w:val="20"/>
        </w:rPr>
      </w:pPr>
      <w:r w:rsidRPr="0004737E">
        <w:rPr>
          <w:rStyle w:val="Hyperlink"/>
          <w:rFonts w:eastAsia="Calibri"/>
          <w:b/>
          <w:bCs w:val="0"/>
        </w:rPr>
        <w:fldChar w:fldCharType="begin"/>
      </w:r>
      <w:r w:rsidR="00B15C9E" w:rsidRPr="0004737E">
        <w:rPr>
          <w:rStyle w:val="Hyperlink"/>
          <w:rFonts w:eastAsia="Calibri"/>
          <w:b/>
          <w:bCs w:val="0"/>
        </w:rPr>
        <w:instrText>HYPERLINK  \l "TBL_2a" \o "Table 2a"</w:instrText>
      </w:r>
      <w:r w:rsidRPr="0004737E">
        <w:rPr>
          <w:rStyle w:val="Hyperlink"/>
          <w:rFonts w:eastAsia="Calibri"/>
          <w:b/>
          <w:bCs w:val="0"/>
        </w:rPr>
      </w:r>
      <w:r w:rsidRPr="0004737E">
        <w:rPr>
          <w:rStyle w:val="Hyperlink"/>
          <w:rFonts w:eastAsia="Calibri"/>
          <w:b/>
          <w:bCs w:val="0"/>
        </w:rPr>
        <w:fldChar w:fldCharType="separate"/>
      </w:r>
      <w:bookmarkStart w:id="15" w:name="_Toc180398490"/>
      <w:bookmarkStart w:id="16" w:name="_Toc180398544"/>
      <w:r w:rsidR="00F861CF" w:rsidRPr="0004737E">
        <w:rPr>
          <w:rStyle w:val="Hyperlink"/>
          <w:rFonts w:eastAsia="Calibri"/>
          <w:b/>
          <w:bCs w:val="0"/>
        </w:rPr>
        <w:t>Table 2a</w:t>
      </w:r>
      <w:r w:rsidRPr="0004737E">
        <w:rPr>
          <w:rStyle w:val="Hyperlink"/>
          <w:rFonts w:eastAsia="Calibri"/>
          <w:b/>
          <w:bCs w:val="0"/>
        </w:rPr>
        <w:fldChar w:fldCharType="end"/>
      </w:r>
      <w:bookmarkEnd w:id="14"/>
      <w:r w:rsidR="00F861CF" w:rsidRPr="0004737E">
        <w:rPr>
          <w:rStyle w:val="Hyperlink"/>
          <w:rFonts w:eastAsia="Calibri"/>
          <w:b/>
          <w:bCs w:val="0"/>
        </w:rPr>
        <w:t>:</w:t>
      </w:r>
      <w:r w:rsidR="00F861CF" w:rsidRPr="00EF0801">
        <w:rPr>
          <w:rFonts w:eastAsia="Calibri"/>
          <w:szCs w:val="20"/>
        </w:rPr>
        <w:tab/>
      </w:r>
      <w:r w:rsidR="00F861CF" w:rsidRPr="00B15C9E">
        <w:rPr>
          <w:rStyle w:val="APDTableChapterChar"/>
          <w:rFonts w:eastAsia="Calibri"/>
          <w:b/>
        </w:rPr>
        <w:t>Title 40 Code of Federal Regulations Part 60 (40 CFR Part 60)</w:t>
      </w:r>
      <w:r w:rsidR="00AF1FBA" w:rsidRPr="00B15C9E">
        <w:rPr>
          <w:rStyle w:val="APDTableChapterChar"/>
          <w:rFonts w:eastAsia="Calibri"/>
          <w:b/>
        </w:rPr>
        <w:t xml:space="preserve">, </w:t>
      </w:r>
      <w:r w:rsidR="00F861CF" w:rsidRPr="00B15C9E">
        <w:rPr>
          <w:rStyle w:val="APDTableChapterChar"/>
          <w:rFonts w:eastAsia="Calibri"/>
          <w:b/>
        </w:rPr>
        <w:t>Subpart Da:  Standards of Performance for Electric Utility Steam Generating Units</w:t>
      </w:r>
      <w:bookmarkEnd w:id="15"/>
      <w:bookmarkEnd w:id="16"/>
    </w:p>
    <w:p w14:paraId="54CAB1ED" w14:textId="77777777" w:rsidR="00F861CF" w:rsidRPr="00420292" w:rsidRDefault="00F861CF" w:rsidP="00390EE3">
      <w:pPr>
        <w:pStyle w:val="APDCompleteStar"/>
      </w:pPr>
      <w:r w:rsidRPr="00420292">
        <w:t>Complete this table for electric utility steam generating units and SOP applications only.</w:t>
      </w:r>
    </w:p>
    <w:p w14:paraId="7F18BAD1" w14:textId="000EAFAE" w:rsidR="00F861CF" w:rsidRPr="009B012B" w:rsidRDefault="00F861CF" w:rsidP="009B012B">
      <w:pPr>
        <w:pStyle w:val="APDStrong"/>
      </w:pPr>
      <w:r w:rsidRPr="009B012B">
        <w:t xml:space="preserve">Unit ID </w:t>
      </w:r>
      <w:r w:rsidR="00B42127">
        <w:t>No</w:t>
      </w:r>
      <w:r w:rsidRPr="009B012B">
        <w:t>.:</w:t>
      </w:r>
    </w:p>
    <w:p w14:paraId="72C3EF71" w14:textId="7AA08F57" w:rsidR="00F861CF" w:rsidRPr="005A78E3" w:rsidRDefault="00F861CF" w:rsidP="005A78E3">
      <w:pPr>
        <w:pStyle w:val="APDBodyText"/>
      </w:pPr>
      <w:r w:rsidRPr="005A78E3">
        <w:t xml:space="preserve">Enter the identification number (ID </w:t>
      </w:r>
      <w:r w:rsidR="00B42127">
        <w:t>N</w:t>
      </w:r>
      <w:r w:rsidR="005667BA">
        <w:t>o</w:t>
      </w:r>
      <w:r w:rsidRPr="005A78E3">
        <w:t>.) for the unit (maximum 10 characters) as li</w:t>
      </w:r>
      <w:r w:rsidR="003B4A69" w:rsidRPr="005A78E3">
        <w:t>sted on Form OP</w:t>
      </w:r>
      <w:r w:rsidR="003B4A69" w:rsidRPr="005A78E3">
        <w:noBreakHyphen/>
        <w:t>SUM (Individual</w:t>
      </w:r>
      <w:r w:rsidR="00DD00F7" w:rsidRPr="005A78E3">
        <w:t> </w:t>
      </w:r>
      <w:r w:rsidRPr="005A78E3">
        <w:t>Unit Summary).</w:t>
      </w:r>
    </w:p>
    <w:p w14:paraId="61C5A448" w14:textId="2AC3847D" w:rsidR="00F861CF" w:rsidRPr="00EF0801" w:rsidRDefault="00F861CF" w:rsidP="00DA7FA6">
      <w:pPr>
        <w:pStyle w:val="APDStrong"/>
      </w:pPr>
      <w:r w:rsidRPr="00EF0801">
        <w:t xml:space="preserve">SOP Index </w:t>
      </w:r>
      <w:r w:rsidR="00B42127">
        <w:t>No</w:t>
      </w:r>
      <w:r w:rsidRPr="00EF0801">
        <w:t>.</w:t>
      </w:r>
      <w:r w:rsidRPr="00EC5E23">
        <w:rPr>
          <w:bCs/>
        </w:rPr>
        <w:t>:</w:t>
      </w:r>
    </w:p>
    <w:p w14:paraId="574382AC" w14:textId="4EE6E155" w:rsidR="00584E6D" w:rsidRPr="00EF0801" w:rsidRDefault="00F861CF" w:rsidP="005A78E3">
      <w:pPr>
        <w:pStyle w:val="APDBodyText"/>
      </w:pPr>
      <w:r w:rsidRPr="005A78E3">
        <w:t xml:space="preserve">Site operating permit (SOP) applicants should indicate the SOP index number for the </w:t>
      </w:r>
      <w:r w:rsidR="003B4A69" w:rsidRPr="005A78E3">
        <w:t>unit or group of units (maximum</w:t>
      </w:r>
      <w:r w:rsidR="00DD00F7" w:rsidRPr="005A78E3">
        <w:t> </w:t>
      </w:r>
      <w:r w:rsidR="003B4A69" w:rsidRPr="005A78E3">
        <w:t>15</w:t>
      </w:r>
      <w:r w:rsidR="00DD00F7" w:rsidRPr="005A78E3">
        <w:t> </w:t>
      </w:r>
      <w:r w:rsidRPr="005A78E3">
        <w:t xml:space="preserve">characters consisting of numeric, alphanumeric characters, and/or dashes prefixed by a code for the applicable regulation [i.e., 60KB-XXXX]). For additional information relating to SOP index numbers, </w:t>
      </w:r>
      <w:r w:rsidR="00584E6D" w:rsidRPr="005A78E3">
        <w:t>please see the Completing FOP Applications – Additional Guidance on the TCEQ website at</w:t>
      </w:r>
      <w:r w:rsidR="00584E6D" w:rsidRPr="00EF0801">
        <w:t xml:space="preserve"> </w:t>
      </w:r>
      <w:hyperlink r:id="rId16" w:tooltip="TCEQ - Completing FOP Applications - Additional Guidance" w:history="1">
        <w:r w:rsidR="00584E6D" w:rsidRPr="00885E28">
          <w:rPr>
            <w:rStyle w:val="Hyperlink"/>
          </w:rPr>
          <w:t>www.tceq.texas.gov/permitting/air/guidance/titlev/tv_fop_guidance.html</w:t>
        </w:r>
      </w:hyperlink>
      <w:r w:rsidR="00584E6D" w:rsidRPr="00EF0801">
        <w:t>.</w:t>
      </w:r>
    </w:p>
    <w:p w14:paraId="727A2E6E" w14:textId="77777777" w:rsidR="00055FC0" w:rsidRDefault="00055FC0">
      <w:pPr>
        <w:rPr>
          <w:b/>
        </w:rPr>
      </w:pPr>
      <w:r>
        <w:rPr>
          <w:b/>
        </w:rPr>
        <w:br w:type="page"/>
      </w:r>
    </w:p>
    <w:p w14:paraId="00007A85" w14:textId="75DB207C" w:rsidR="00F861CF" w:rsidRPr="00EF0801" w:rsidRDefault="00F861CF" w:rsidP="00AD57E5">
      <w:pPr>
        <w:pStyle w:val="APDStrong"/>
      </w:pPr>
      <w:r w:rsidRPr="00EF0801">
        <w:lastRenderedPageBreak/>
        <w:t>Construction/Modification Date</w:t>
      </w:r>
      <w:r w:rsidR="00EC5E23" w:rsidRPr="00287A45">
        <w:rPr>
          <w:bCs/>
        </w:rPr>
        <w:t>:</w:t>
      </w:r>
    </w:p>
    <w:p w14:paraId="2D68E7CE" w14:textId="77777777" w:rsidR="00F861CF" w:rsidRDefault="00F861CF" w:rsidP="00C401C1">
      <w:pPr>
        <w:pStyle w:val="APDBodyText"/>
      </w:pPr>
      <w:r w:rsidRPr="00C401C1">
        <w:t>Select one of the following options that describe the date of commencement of the most recent construction, modification, or reconstruction. Enter the code on the form.</w:t>
      </w:r>
    </w:p>
    <w:tbl>
      <w:tblPr>
        <w:tblStyle w:val="TableGrid"/>
        <w:tblW w:w="101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640"/>
      </w:tblGrid>
      <w:tr w:rsidR="001546B9" w14:paraId="03C74C81" w14:textId="77777777" w:rsidTr="00FD7888">
        <w:trPr>
          <w:cantSplit/>
          <w:tblHeader/>
        </w:trPr>
        <w:tc>
          <w:tcPr>
            <w:tcW w:w="1530" w:type="dxa"/>
          </w:tcPr>
          <w:p w14:paraId="4379BC5C" w14:textId="0835B7F0" w:rsidR="001546B9" w:rsidRPr="001546B9" w:rsidRDefault="001546B9" w:rsidP="001546B9">
            <w:pPr>
              <w:rPr>
                <w:b/>
                <w:bCs/>
              </w:rPr>
            </w:pPr>
            <w:r w:rsidRPr="001546B9">
              <w:rPr>
                <w:b/>
                <w:bCs/>
              </w:rPr>
              <w:t>Code</w:t>
            </w:r>
          </w:p>
        </w:tc>
        <w:tc>
          <w:tcPr>
            <w:tcW w:w="8640" w:type="dxa"/>
          </w:tcPr>
          <w:p w14:paraId="303BDE2E" w14:textId="0FDE3002" w:rsidR="001546B9" w:rsidRPr="001546B9" w:rsidRDefault="001546B9" w:rsidP="001546B9">
            <w:pPr>
              <w:rPr>
                <w:b/>
                <w:bCs/>
              </w:rPr>
            </w:pPr>
            <w:r w:rsidRPr="001546B9">
              <w:rPr>
                <w:b/>
                <w:bCs/>
              </w:rPr>
              <w:t>Description</w:t>
            </w:r>
          </w:p>
        </w:tc>
      </w:tr>
      <w:tr w:rsidR="001546B9" w14:paraId="0926C945" w14:textId="77777777" w:rsidTr="00FD7888">
        <w:trPr>
          <w:cantSplit/>
          <w:tblHeader/>
        </w:trPr>
        <w:tc>
          <w:tcPr>
            <w:tcW w:w="1530" w:type="dxa"/>
          </w:tcPr>
          <w:p w14:paraId="0FCE9069" w14:textId="59E46A95" w:rsidR="001546B9" w:rsidRDefault="001546B9" w:rsidP="001546B9">
            <w:r w:rsidRPr="00364358">
              <w:t>78-</w:t>
            </w:r>
          </w:p>
        </w:tc>
        <w:tc>
          <w:tcPr>
            <w:tcW w:w="8640" w:type="dxa"/>
          </w:tcPr>
          <w:p w14:paraId="0286D1AF" w14:textId="2AD9B643" w:rsidR="001546B9" w:rsidRDefault="001546B9" w:rsidP="001546B9">
            <w:r w:rsidRPr="00364358">
              <w:t>On or before September 18, 1978</w:t>
            </w:r>
          </w:p>
        </w:tc>
      </w:tr>
      <w:tr w:rsidR="001546B9" w14:paraId="53AC94C2" w14:textId="77777777" w:rsidTr="00FD7888">
        <w:trPr>
          <w:cantSplit/>
          <w:tblHeader/>
        </w:trPr>
        <w:tc>
          <w:tcPr>
            <w:tcW w:w="1530" w:type="dxa"/>
          </w:tcPr>
          <w:p w14:paraId="3004135E" w14:textId="7D3203E6" w:rsidR="001546B9" w:rsidRDefault="001546B9" w:rsidP="001546B9">
            <w:r w:rsidRPr="00364358">
              <w:t>78-97</w:t>
            </w:r>
          </w:p>
        </w:tc>
        <w:tc>
          <w:tcPr>
            <w:tcW w:w="8640" w:type="dxa"/>
          </w:tcPr>
          <w:p w14:paraId="2767C991" w14:textId="02CC8D6A" w:rsidR="001546B9" w:rsidRDefault="001546B9" w:rsidP="001546B9">
            <w:r w:rsidRPr="00364358">
              <w:t>After September 18, 1978, and on or before July 9, 1997</w:t>
            </w:r>
          </w:p>
        </w:tc>
      </w:tr>
      <w:tr w:rsidR="001546B9" w14:paraId="76DAE63C" w14:textId="77777777" w:rsidTr="00FD7888">
        <w:trPr>
          <w:cantSplit/>
          <w:tblHeader/>
        </w:trPr>
        <w:tc>
          <w:tcPr>
            <w:tcW w:w="1530" w:type="dxa"/>
          </w:tcPr>
          <w:p w14:paraId="1ED3A6D7" w14:textId="7C59BC8C" w:rsidR="001546B9" w:rsidRDefault="001546B9" w:rsidP="001546B9">
            <w:r w:rsidRPr="00364358">
              <w:t>97-05C</w:t>
            </w:r>
          </w:p>
        </w:tc>
        <w:tc>
          <w:tcPr>
            <w:tcW w:w="8640" w:type="dxa"/>
          </w:tcPr>
          <w:p w14:paraId="38B4457F" w14:textId="19A34B0A" w:rsidR="001546B9" w:rsidRDefault="001546B9" w:rsidP="001546B9">
            <w:r w:rsidRPr="00364358">
              <w:t>Constructed after July 9, 1997, and on or before February 28, 2005</w:t>
            </w:r>
          </w:p>
        </w:tc>
      </w:tr>
      <w:tr w:rsidR="001546B9" w14:paraId="01A80804" w14:textId="77777777" w:rsidTr="00FD7888">
        <w:trPr>
          <w:cantSplit/>
          <w:tblHeader/>
        </w:trPr>
        <w:tc>
          <w:tcPr>
            <w:tcW w:w="1530" w:type="dxa"/>
          </w:tcPr>
          <w:p w14:paraId="46BF887A" w14:textId="288272B6" w:rsidR="001546B9" w:rsidRDefault="001546B9" w:rsidP="001546B9">
            <w:r w:rsidRPr="00364358">
              <w:t>97-05R</w:t>
            </w:r>
          </w:p>
        </w:tc>
        <w:tc>
          <w:tcPr>
            <w:tcW w:w="8640" w:type="dxa"/>
          </w:tcPr>
          <w:p w14:paraId="3CE393C0" w14:textId="2F776CCF" w:rsidR="001546B9" w:rsidRDefault="001546B9" w:rsidP="001546B9">
            <w:r w:rsidRPr="00364358">
              <w:t>Reconstructed after July 9, 1997, and on or before February 28, 2005</w:t>
            </w:r>
          </w:p>
        </w:tc>
      </w:tr>
      <w:tr w:rsidR="001546B9" w14:paraId="64BA53E7" w14:textId="77777777" w:rsidTr="00FD7888">
        <w:trPr>
          <w:cantSplit/>
          <w:tblHeader/>
        </w:trPr>
        <w:tc>
          <w:tcPr>
            <w:tcW w:w="1530" w:type="dxa"/>
          </w:tcPr>
          <w:p w14:paraId="26483E12" w14:textId="13961FFD" w:rsidR="001546B9" w:rsidRDefault="001546B9" w:rsidP="001546B9">
            <w:r w:rsidRPr="00364358">
              <w:t>05-11C</w:t>
            </w:r>
          </w:p>
        </w:tc>
        <w:tc>
          <w:tcPr>
            <w:tcW w:w="8640" w:type="dxa"/>
          </w:tcPr>
          <w:p w14:paraId="3C82105B" w14:textId="0155D7C6" w:rsidR="001546B9" w:rsidRDefault="001546B9" w:rsidP="001546B9">
            <w:r w:rsidRPr="00364358">
              <w:t>Constructed after February 28, 2005</w:t>
            </w:r>
          </w:p>
        </w:tc>
      </w:tr>
      <w:tr w:rsidR="001546B9" w14:paraId="2EF8EBFF" w14:textId="77777777" w:rsidTr="00FD7888">
        <w:trPr>
          <w:cantSplit/>
          <w:tblHeader/>
        </w:trPr>
        <w:tc>
          <w:tcPr>
            <w:tcW w:w="1530" w:type="dxa"/>
          </w:tcPr>
          <w:p w14:paraId="5B31A92C" w14:textId="55437682" w:rsidR="001546B9" w:rsidRDefault="001546B9" w:rsidP="001546B9">
            <w:r w:rsidRPr="00364358">
              <w:t>05-11R</w:t>
            </w:r>
          </w:p>
        </w:tc>
        <w:tc>
          <w:tcPr>
            <w:tcW w:w="8640" w:type="dxa"/>
          </w:tcPr>
          <w:p w14:paraId="1B33D82D" w14:textId="1826402F" w:rsidR="001546B9" w:rsidRDefault="001546B9" w:rsidP="001546B9">
            <w:r w:rsidRPr="00364358">
              <w:t>Reconstructed after February 28, 2005, and on or before May 3, 2011</w:t>
            </w:r>
          </w:p>
        </w:tc>
      </w:tr>
      <w:tr w:rsidR="001546B9" w14:paraId="3444BA9A" w14:textId="77777777" w:rsidTr="00FD7888">
        <w:trPr>
          <w:cantSplit/>
          <w:tblHeader/>
        </w:trPr>
        <w:tc>
          <w:tcPr>
            <w:tcW w:w="1530" w:type="dxa"/>
          </w:tcPr>
          <w:p w14:paraId="1E827193" w14:textId="0E78F9AF" w:rsidR="001546B9" w:rsidRDefault="001546B9" w:rsidP="001546B9">
            <w:r w:rsidRPr="00364358">
              <w:t>05-11M</w:t>
            </w:r>
          </w:p>
        </w:tc>
        <w:tc>
          <w:tcPr>
            <w:tcW w:w="8640" w:type="dxa"/>
          </w:tcPr>
          <w:p w14:paraId="0D4BE960" w14:textId="520F614D" w:rsidR="001546B9" w:rsidRDefault="001546B9" w:rsidP="001546B9">
            <w:bookmarkStart w:id="17" w:name="_Hlk124242493"/>
            <w:r w:rsidRPr="00364358">
              <w:t>Modified after February 28, 2005, and on or before May 3, 2011</w:t>
            </w:r>
            <w:bookmarkEnd w:id="17"/>
          </w:p>
        </w:tc>
      </w:tr>
      <w:tr w:rsidR="001546B9" w14:paraId="10161255" w14:textId="77777777" w:rsidTr="00FD7888">
        <w:trPr>
          <w:cantSplit/>
          <w:tblHeader/>
        </w:trPr>
        <w:tc>
          <w:tcPr>
            <w:tcW w:w="1530" w:type="dxa"/>
          </w:tcPr>
          <w:p w14:paraId="4BB77EA9" w14:textId="33149FB0" w:rsidR="001546B9" w:rsidRDefault="001546B9" w:rsidP="001546B9">
            <w:r w:rsidRPr="00364358">
              <w:t>11+C</w:t>
            </w:r>
          </w:p>
        </w:tc>
        <w:tc>
          <w:tcPr>
            <w:tcW w:w="8640" w:type="dxa"/>
          </w:tcPr>
          <w:p w14:paraId="5982F5A1" w14:textId="393EFF2D" w:rsidR="001546B9" w:rsidRDefault="001546B9" w:rsidP="001546B9">
            <w:r w:rsidRPr="00364358">
              <w:t>Constructed on or after May 4, 2011</w:t>
            </w:r>
          </w:p>
        </w:tc>
      </w:tr>
      <w:tr w:rsidR="001546B9" w14:paraId="5DB4F27D" w14:textId="77777777" w:rsidTr="00FD7888">
        <w:trPr>
          <w:cantSplit/>
          <w:tblHeader/>
        </w:trPr>
        <w:tc>
          <w:tcPr>
            <w:tcW w:w="1530" w:type="dxa"/>
          </w:tcPr>
          <w:p w14:paraId="39CA0F7C" w14:textId="40D02BD4" w:rsidR="001546B9" w:rsidRDefault="001546B9" w:rsidP="001546B9">
            <w:r w:rsidRPr="00364358">
              <w:t>11+R</w:t>
            </w:r>
          </w:p>
        </w:tc>
        <w:tc>
          <w:tcPr>
            <w:tcW w:w="8640" w:type="dxa"/>
          </w:tcPr>
          <w:p w14:paraId="17C0E243" w14:textId="0D2E2CA0" w:rsidR="001546B9" w:rsidRDefault="001546B9" w:rsidP="001546B9">
            <w:r w:rsidRPr="00364358">
              <w:t>Reconstructed on or after May 4, 2011</w:t>
            </w:r>
          </w:p>
        </w:tc>
      </w:tr>
      <w:tr w:rsidR="001546B9" w14:paraId="36B342DF" w14:textId="77777777" w:rsidTr="00FD7888">
        <w:trPr>
          <w:cantSplit/>
          <w:tblHeader/>
        </w:trPr>
        <w:tc>
          <w:tcPr>
            <w:tcW w:w="1530" w:type="dxa"/>
          </w:tcPr>
          <w:p w14:paraId="01C79090" w14:textId="3F72A9FA" w:rsidR="001546B9" w:rsidRDefault="001546B9" w:rsidP="001546B9">
            <w:r w:rsidRPr="00364358">
              <w:t>11+M</w:t>
            </w:r>
          </w:p>
        </w:tc>
        <w:tc>
          <w:tcPr>
            <w:tcW w:w="8640" w:type="dxa"/>
          </w:tcPr>
          <w:p w14:paraId="60018E0C" w14:textId="2CEFA9F9" w:rsidR="001546B9" w:rsidRDefault="001546B9" w:rsidP="001546B9">
            <w:r w:rsidRPr="00364358">
              <w:t>Modified on or after May 4, 2011</w:t>
            </w:r>
          </w:p>
        </w:tc>
      </w:tr>
    </w:tbl>
    <w:p w14:paraId="40940510" w14:textId="452F2FB6" w:rsidR="00F861CF" w:rsidRPr="004C496B" w:rsidRDefault="00F861CF" w:rsidP="00FD7888">
      <w:pPr>
        <w:pStyle w:val="APDContinueTriangle"/>
      </w:pPr>
      <w:r w:rsidRPr="004C496B">
        <w:t xml:space="preserve">Continue only if “Construction/Modification Date” is </w:t>
      </w:r>
      <w:r w:rsidR="00A966E6" w:rsidRPr="004C496B">
        <w:t xml:space="preserve">not </w:t>
      </w:r>
      <w:r w:rsidRPr="004C496B">
        <w:t>“78-.”</w:t>
      </w:r>
    </w:p>
    <w:p w14:paraId="0993129A" w14:textId="579679FF" w:rsidR="00F861CF" w:rsidRPr="00EF0801" w:rsidRDefault="00F861CF" w:rsidP="00AD57E5">
      <w:pPr>
        <w:pStyle w:val="APDStrong"/>
      </w:pPr>
      <w:r w:rsidRPr="00EF0801">
        <w:t>Heat Input of Fossil Fuel</w:t>
      </w:r>
      <w:r w:rsidR="00EC5E23" w:rsidRPr="00EC5E23">
        <w:rPr>
          <w:bCs/>
        </w:rPr>
        <w:t>:</w:t>
      </w:r>
    </w:p>
    <w:p w14:paraId="6A3D64FA" w14:textId="77777777" w:rsidR="00F861CF" w:rsidRDefault="00F861CF" w:rsidP="00C401C1">
      <w:pPr>
        <w:pStyle w:val="APDBodyText"/>
      </w:pPr>
      <w:r w:rsidRPr="00C401C1">
        <w:t>Select one of the following options for the heat input of fossil fuel alone or in combination with any other fuel.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Code and Description"/>
      </w:tblPr>
      <w:tblGrid>
        <w:gridCol w:w="1530"/>
        <w:gridCol w:w="8550"/>
      </w:tblGrid>
      <w:tr w:rsidR="009424C0" w14:paraId="33A1B577" w14:textId="77777777" w:rsidTr="009424C0">
        <w:trPr>
          <w:cantSplit/>
          <w:tblHeader/>
        </w:trPr>
        <w:tc>
          <w:tcPr>
            <w:tcW w:w="1530" w:type="dxa"/>
          </w:tcPr>
          <w:p w14:paraId="0A63E98B" w14:textId="44D95DF0" w:rsidR="009424C0" w:rsidRPr="009424C0" w:rsidRDefault="009424C0" w:rsidP="009424C0">
            <w:pPr>
              <w:rPr>
                <w:b/>
                <w:bCs/>
              </w:rPr>
            </w:pPr>
            <w:r w:rsidRPr="009424C0">
              <w:rPr>
                <w:b/>
                <w:bCs/>
              </w:rPr>
              <w:t>Code</w:t>
            </w:r>
          </w:p>
        </w:tc>
        <w:tc>
          <w:tcPr>
            <w:tcW w:w="8550" w:type="dxa"/>
          </w:tcPr>
          <w:p w14:paraId="360331FE" w14:textId="61F596BA" w:rsidR="009424C0" w:rsidRPr="009424C0" w:rsidRDefault="009424C0" w:rsidP="009424C0">
            <w:pPr>
              <w:rPr>
                <w:b/>
                <w:bCs/>
              </w:rPr>
            </w:pPr>
            <w:r w:rsidRPr="009424C0">
              <w:rPr>
                <w:b/>
                <w:bCs/>
              </w:rPr>
              <w:t>Description</w:t>
            </w:r>
          </w:p>
        </w:tc>
      </w:tr>
      <w:tr w:rsidR="009424C0" w14:paraId="2FBC92B5" w14:textId="77777777" w:rsidTr="009424C0">
        <w:trPr>
          <w:cantSplit/>
          <w:tblHeader/>
        </w:trPr>
        <w:tc>
          <w:tcPr>
            <w:tcW w:w="1530" w:type="dxa"/>
          </w:tcPr>
          <w:p w14:paraId="5DBB680D" w14:textId="25A455E8" w:rsidR="009424C0" w:rsidRDefault="009424C0" w:rsidP="009424C0">
            <w:r w:rsidRPr="00E040B8">
              <w:t>250-</w:t>
            </w:r>
          </w:p>
        </w:tc>
        <w:tc>
          <w:tcPr>
            <w:tcW w:w="8550" w:type="dxa"/>
          </w:tcPr>
          <w:p w14:paraId="7993A20C" w14:textId="2C80742F" w:rsidR="009424C0" w:rsidRDefault="009424C0" w:rsidP="009424C0">
            <w:r w:rsidRPr="00E040B8">
              <w:t>Heat input of fossil fuel is less than or equal to 250 MMBtu/hr (73 MW)</w:t>
            </w:r>
          </w:p>
        </w:tc>
      </w:tr>
      <w:tr w:rsidR="009424C0" w14:paraId="223ACA9D" w14:textId="77777777" w:rsidTr="009424C0">
        <w:trPr>
          <w:cantSplit/>
          <w:tblHeader/>
        </w:trPr>
        <w:tc>
          <w:tcPr>
            <w:tcW w:w="1530" w:type="dxa"/>
          </w:tcPr>
          <w:p w14:paraId="7054F667" w14:textId="56F5ECD0" w:rsidR="009424C0" w:rsidRDefault="009424C0" w:rsidP="009424C0">
            <w:r w:rsidRPr="00E040B8">
              <w:t>250+</w:t>
            </w:r>
          </w:p>
        </w:tc>
        <w:tc>
          <w:tcPr>
            <w:tcW w:w="8550" w:type="dxa"/>
          </w:tcPr>
          <w:p w14:paraId="067DC6A8" w14:textId="338ADB2E" w:rsidR="009424C0" w:rsidRDefault="009424C0" w:rsidP="009424C0">
            <w:r w:rsidRPr="00E040B8">
              <w:t>Heat input of fossil fuel is greater than 250 MMBtu/hr (73 MW)</w:t>
            </w:r>
          </w:p>
        </w:tc>
      </w:tr>
    </w:tbl>
    <w:p w14:paraId="070E09CD" w14:textId="77777777" w:rsidR="00DC56D7" w:rsidRDefault="00F861CF" w:rsidP="00390EE3">
      <w:pPr>
        <w:pStyle w:val="APDCompleteStar"/>
        <w:sectPr w:rsidR="00DC56D7" w:rsidSect="0031268E">
          <w:pgSz w:w="12240" w:h="15840" w:code="1"/>
          <w:pgMar w:top="720" w:right="720" w:bottom="720" w:left="720" w:header="720" w:footer="720" w:gutter="0"/>
          <w:cols w:space="720"/>
          <w:titlePg/>
          <w:docGrid w:linePitch="360"/>
        </w:sectPr>
      </w:pPr>
      <w:r w:rsidRPr="00EF0801">
        <w:t xml:space="preserve">Complete Table 3a if “Heat Input of Fossil Fuel” is “250-.” Do not </w:t>
      </w:r>
      <w:r w:rsidR="00D97D03">
        <w:t>c</w:t>
      </w:r>
      <w:r w:rsidRPr="00EF0801">
        <w:t xml:space="preserve">omplete the </w:t>
      </w:r>
      <w:r w:rsidR="00D97D03">
        <w:t>r</w:t>
      </w:r>
      <w:r w:rsidRPr="00EF0801">
        <w:t>emainder of Table 2.</w:t>
      </w:r>
    </w:p>
    <w:p w14:paraId="373BA41B" w14:textId="77777777" w:rsidR="00F861CF" w:rsidRPr="00EF0801" w:rsidRDefault="00F861CF" w:rsidP="00AD57E5">
      <w:pPr>
        <w:pStyle w:val="APDStrong"/>
      </w:pPr>
      <w:r w:rsidRPr="00EF0801">
        <w:lastRenderedPageBreak/>
        <w:t>D-Series Fuel Type</w:t>
      </w:r>
      <w:r w:rsidRPr="00EC5E23">
        <w:rPr>
          <w:bCs/>
        </w:rPr>
        <w:t>:</w:t>
      </w:r>
    </w:p>
    <w:p w14:paraId="06137C33" w14:textId="77777777" w:rsidR="00F861CF" w:rsidRDefault="00F861CF" w:rsidP="00C401C1">
      <w:pPr>
        <w:pStyle w:val="APDBodyText"/>
      </w:pPr>
      <w:r w:rsidRPr="00C401C1">
        <w:t>Select one or more of the following options for fuel type(s) used to fire the boiler, steam generator, or steam generating unit. Enter the code(s) on the form. In some cases, several fuel type code options could appropriately describe a single fuel being combusted (e.g., distillate oil). In these instances, select one fuel type code which best represents the fuel being combusted.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 and Description"/>
      </w:tblPr>
      <w:tblGrid>
        <w:gridCol w:w="1530"/>
        <w:gridCol w:w="8550"/>
      </w:tblGrid>
      <w:tr w:rsidR="00DC56D7" w14:paraId="02516188" w14:textId="77777777" w:rsidTr="00DC56D7">
        <w:trPr>
          <w:cantSplit/>
          <w:tblHeader/>
        </w:trPr>
        <w:tc>
          <w:tcPr>
            <w:tcW w:w="1530" w:type="dxa"/>
          </w:tcPr>
          <w:p w14:paraId="76804C8E" w14:textId="28F3C7A4" w:rsidR="00DC56D7" w:rsidRPr="006E594B" w:rsidRDefault="00DC56D7" w:rsidP="00DC56D7">
            <w:pPr>
              <w:rPr>
                <w:b/>
                <w:bCs/>
              </w:rPr>
            </w:pPr>
            <w:r w:rsidRPr="006E594B">
              <w:rPr>
                <w:b/>
                <w:bCs/>
              </w:rPr>
              <w:t>Code</w:t>
            </w:r>
          </w:p>
        </w:tc>
        <w:tc>
          <w:tcPr>
            <w:tcW w:w="8550" w:type="dxa"/>
          </w:tcPr>
          <w:p w14:paraId="3305D88D" w14:textId="2B3EB13A" w:rsidR="00DC56D7" w:rsidRPr="006E594B" w:rsidRDefault="00DC56D7" w:rsidP="00DC56D7">
            <w:pPr>
              <w:rPr>
                <w:b/>
                <w:bCs/>
              </w:rPr>
            </w:pPr>
            <w:r w:rsidRPr="006E594B">
              <w:rPr>
                <w:b/>
                <w:bCs/>
              </w:rPr>
              <w:t>Description</w:t>
            </w:r>
          </w:p>
        </w:tc>
      </w:tr>
      <w:tr w:rsidR="00DC56D7" w14:paraId="1617C276" w14:textId="77777777" w:rsidTr="00DC56D7">
        <w:trPr>
          <w:cantSplit/>
          <w:tblHeader/>
        </w:trPr>
        <w:tc>
          <w:tcPr>
            <w:tcW w:w="1530" w:type="dxa"/>
          </w:tcPr>
          <w:p w14:paraId="07175CC0" w14:textId="1F21BEF6" w:rsidR="00DC56D7" w:rsidRDefault="00DC56D7" w:rsidP="00DC56D7">
            <w:r w:rsidRPr="00813F8D">
              <w:t>NG</w:t>
            </w:r>
          </w:p>
        </w:tc>
        <w:tc>
          <w:tcPr>
            <w:tcW w:w="8550" w:type="dxa"/>
          </w:tcPr>
          <w:p w14:paraId="264DEA06" w14:textId="6CA7A261" w:rsidR="00DC56D7" w:rsidRDefault="00DC56D7" w:rsidP="00DC56D7">
            <w:r w:rsidRPr="00813F8D">
              <w:t>Natural gas</w:t>
            </w:r>
          </w:p>
        </w:tc>
      </w:tr>
      <w:tr w:rsidR="00DC56D7" w14:paraId="4B801220" w14:textId="77777777" w:rsidTr="00DC56D7">
        <w:trPr>
          <w:cantSplit/>
          <w:tblHeader/>
        </w:trPr>
        <w:tc>
          <w:tcPr>
            <w:tcW w:w="1530" w:type="dxa"/>
          </w:tcPr>
          <w:p w14:paraId="288BEEBD" w14:textId="760D5A39" w:rsidR="00DC56D7" w:rsidRDefault="00DC56D7" w:rsidP="00DC56D7">
            <w:r w:rsidRPr="00813F8D">
              <w:t>ACL</w:t>
            </w:r>
          </w:p>
        </w:tc>
        <w:tc>
          <w:tcPr>
            <w:tcW w:w="8550" w:type="dxa"/>
          </w:tcPr>
          <w:p w14:paraId="1B529DE5" w14:textId="794B27A0" w:rsidR="00DC56D7" w:rsidRDefault="00DC56D7" w:rsidP="00DC56D7">
            <w:r w:rsidRPr="00813F8D">
              <w:t>Anthracite coal</w:t>
            </w:r>
          </w:p>
        </w:tc>
      </w:tr>
      <w:tr w:rsidR="00DC56D7" w14:paraId="26874C12" w14:textId="77777777" w:rsidTr="00DC56D7">
        <w:trPr>
          <w:cantSplit/>
          <w:tblHeader/>
        </w:trPr>
        <w:tc>
          <w:tcPr>
            <w:tcW w:w="1530" w:type="dxa"/>
          </w:tcPr>
          <w:p w14:paraId="0B44331A" w14:textId="533C2D1E" w:rsidR="00DC56D7" w:rsidRDefault="00DC56D7" w:rsidP="00DC56D7">
            <w:r w:rsidRPr="00813F8D">
              <w:t>SRC</w:t>
            </w:r>
          </w:p>
        </w:tc>
        <w:tc>
          <w:tcPr>
            <w:tcW w:w="8550" w:type="dxa"/>
          </w:tcPr>
          <w:p w14:paraId="52692397" w14:textId="469BCBD0" w:rsidR="00DC56D7" w:rsidRDefault="00DC56D7" w:rsidP="00DC56D7">
            <w:r w:rsidRPr="00813F8D">
              <w:t>Solvent refined coal (SRC-I)</w:t>
            </w:r>
          </w:p>
        </w:tc>
      </w:tr>
      <w:tr w:rsidR="00DC56D7" w14:paraId="0C488B74" w14:textId="77777777" w:rsidTr="00DC56D7">
        <w:trPr>
          <w:cantSplit/>
          <w:tblHeader/>
        </w:trPr>
        <w:tc>
          <w:tcPr>
            <w:tcW w:w="1530" w:type="dxa"/>
          </w:tcPr>
          <w:p w14:paraId="2F7E1DD1" w14:textId="61E6C453" w:rsidR="00DC56D7" w:rsidRDefault="00DC56D7" w:rsidP="00DC56D7">
            <w:r w:rsidRPr="00813F8D">
              <w:t>LCL</w:t>
            </w:r>
          </w:p>
        </w:tc>
        <w:tc>
          <w:tcPr>
            <w:tcW w:w="8550" w:type="dxa"/>
          </w:tcPr>
          <w:p w14:paraId="144A9526" w14:textId="6D069537" w:rsidR="00DC56D7" w:rsidRDefault="00DC56D7" w:rsidP="00DC56D7">
            <w:r w:rsidRPr="00813F8D">
              <w:t>Liquefied coal</w:t>
            </w:r>
          </w:p>
        </w:tc>
      </w:tr>
      <w:tr w:rsidR="00DC56D7" w14:paraId="2D69B900" w14:textId="77777777" w:rsidTr="00DC56D7">
        <w:trPr>
          <w:cantSplit/>
          <w:tblHeader/>
        </w:trPr>
        <w:tc>
          <w:tcPr>
            <w:tcW w:w="1530" w:type="dxa"/>
          </w:tcPr>
          <w:p w14:paraId="561AA0E7" w14:textId="309762DB" w:rsidR="00DC56D7" w:rsidRDefault="00DC56D7" w:rsidP="00DC56D7">
            <w:r w:rsidRPr="00813F8D">
              <w:t>SFF</w:t>
            </w:r>
          </w:p>
        </w:tc>
        <w:tc>
          <w:tcPr>
            <w:tcW w:w="8550" w:type="dxa"/>
          </w:tcPr>
          <w:p w14:paraId="569BADDC" w14:textId="3AB83969" w:rsidR="00DC56D7" w:rsidRDefault="00DC56D7" w:rsidP="00DC56D7">
            <w:r w:rsidRPr="00813F8D">
              <w:t>Solid fossil fuel</w:t>
            </w:r>
          </w:p>
        </w:tc>
      </w:tr>
      <w:tr w:rsidR="00DC56D7" w14:paraId="1C026FF0" w14:textId="77777777" w:rsidTr="00DC56D7">
        <w:trPr>
          <w:cantSplit/>
          <w:tblHeader/>
        </w:trPr>
        <w:tc>
          <w:tcPr>
            <w:tcW w:w="1530" w:type="dxa"/>
          </w:tcPr>
          <w:p w14:paraId="4BEAF3F0" w14:textId="487F406B" w:rsidR="00DC56D7" w:rsidRDefault="00DC56D7" w:rsidP="00DC56D7">
            <w:r w:rsidRPr="00813F8D">
              <w:t>LFF</w:t>
            </w:r>
          </w:p>
        </w:tc>
        <w:tc>
          <w:tcPr>
            <w:tcW w:w="8550" w:type="dxa"/>
          </w:tcPr>
          <w:p w14:paraId="0F9D2E35" w14:textId="54D72974" w:rsidR="00DC56D7" w:rsidRDefault="00DC56D7" w:rsidP="00DC56D7">
            <w:r w:rsidRPr="00813F8D">
              <w:t>Liquid fossil fuel</w:t>
            </w:r>
          </w:p>
        </w:tc>
      </w:tr>
      <w:tr w:rsidR="00DC56D7" w14:paraId="6A98C2A2" w14:textId="77777777" w:rsidTr="00DC56D7">
        <w:trPr>
          <w:cantSplit/>
          <w:tblHeader/>
        </w:trPr>
        <w:tc>
          <w:tcPr>
            <w:tcW w:w="1530" w:type="dxa"/>
          </w:tcPr>
          <w:p w14:paraId="248D0502" w14:textId="5D5E2626" w:rsidR="00DC56D7" w:rsidRDefault="00DC56D7" w:rsidP="00DC56D7">
            <w:r w:rsidRPr="00813F8D">
              <w:t>GFF</w:t>
            </w:r>
          </w:p>
        </w:tc>
        <w:tc>
          <w:tcPr>
            <w:tcW w:w="8550" w:type="dxa"/>
          </w:tcPr>
          <w:p w14:paraId="5105E7C1" w14:textId="7FEA65EE" w:rsidR="00DC56D7" w:rsidRDefault="00DC56D7" w:rsidP="00DC56D7">
            <w:r w:rsidRPr="00813F8D">
              <w:t>Gaseous fossil fuel</w:t>
            </w:r>
          </w:p>
        </w:tc>
      </w:tr>
      <w:tr w:rsidR="00DC56D7" w14:paraId="08DD4039" w14:textId="77777777" w:rsidTr="00DC56D7">
        <w:trPr>
          <w:cantSplit/>
          <w:tblHeader/>
        </w:trPr>
        <w:tc>
          <w:tcPr>
            <w:tcW w:w="1530" w:type="dxa"/>
          </w:tcPr>
          <w:p w14:paraId="016FB3CC" w14:textId="5E554B67" w:rsidR="00DC56D7" w:rsidRDefault="00DC56D7" w:rsidP="00DC56D7">
            <w:r w:rsidRPr="00813F8D">
              <w:t>SNFF</w:t>
            </w:r>
          </w:p>
        </w:tc>
        <w:tc>
          <w:tcPr>
            <w:tcW w:w="8550" w:type="dxa"/>
          </w:tcPr>
          <w:p w14:paraId="35513EA6" w14:textId="093A96A6" w:rsidR="00DC56D7" w:rsidRDefault="00DC56D7" w:rsidP="00DC56D7">
            <w:r w:rsidRPr="00813F8D">
              <w:t>Solid non-fossil fuel</w:t>
            </w:r>
          </w:p>
        </w:tc>
      </w:tr>
      <w:tr w:rsidR="00DC56D7" w14:paraId="19A032BF" w14:textId="77777777" w:rsidTr="00DC56D7">
        <w:trPr>
          <w:cantSplit/>
          <w:tblHeader/>
        </w:trPr>
        <w:tc>
          <w:tcPr>
            <w:tcW w:w="1530" w:type="dxa"/>
          </w:tcPr>
          <w:p w14:paraId="2AF5887D" w14:textId="27B204D2" w:rsidR="00DC56D7" w:rsidRDefault="00DC56D7" w:rsidP="00DC56D7">
            <w:r w:rsidRPr="00813F8D">
              <w:t>LNFF</w:t>
            </w:r>
          </w:p>
        </w:tc>
        <w:tc>
          <w:tcPr>
            <w:tcW w:w="8550" w:type="dxa"/>
          </w:tcPr>
          <w:p w14:paraId="2881E0F7" w14:textId="736FADB3" w:rsidR="00DC56D7" w:rsidRDefault="00DC56D7" w:rsidP="00DC56D7">
            <w:r w:rsidRPr="00813F8D">
              <w:t>Liquid non-fossil fuel</w:t>
            </w:r>
          </w:p>
        </w:tc>
      </w:tr>
      <w:tr w:rsidR="00DC56D7" w14:paraId="012B3A28" w14:textId="77777777" w:rsidTr="00DC56D7">
        <w:trPr>
          <w:cantSplit/>
          <w:tblHeader/>
        </w:trPr>
        <w:tc>
          <w:tcPr>
            <w:tcW w:w="1530" w:type="dxa"/>
          </w:tcPr>
          <w:p w14:paraId="31C77E66" w14:textId="1E679BD3" w:rsidR="00DC56D7" w:rsidRDefault="00DC56D7" w:rsidP="00DC56D7">
            <w:r w:rsidRPr="00813F8D">
              <w:t>GNFF</w:t>
            </w:r>
          </w:p>
        </w:tc>
        <w:tc>
          <w:tcPr>
            <w:tcW w:w="8550" w:type="dxa"/>
          </w:tcPr>
          <w:p w14:paraId="4D48E94E" w14:textId="07D1A16E" w:rsidR="00DC56D7" w:rsidRDefault="00DC56D7" w:rsidP="00DC56D7">
            <w:r w:rsidRPr="00813F8D">
              <w:t>Gaseous non-fossil fuel</w:t>
            </w:r>
          </w:p>
        </w:tc>
      </w:tr>
      <w:tr w:rsidR="00DC56D7" w14:paraId="03000BDB" w14:textId="77777777" w:rsidTr="00DC56D7">
        <w:trPr>
          <w:cantSplit/>
          <w:tblHeader/>
        </w:trPr>
        <w:tc>
          <w:tcPr>
            <w:tcW w:w="1530" w:type="dxa"/>
          </w:tcPr>
          <w:p w14:paraId="7262C008" w14:textId="102AC025" w:rsidR="00DC56D7" w:rsidRDefault="00DC56D7" w:rsidP="00DC56D7">
            <w:r w:rsidRPr="00813F8D">
              <w:t>SSDFF</w:t>
            </w:r>
          </w:p>
        </w:tc>
        <w:tc>
          <w:tcPr>
            <w:tcW w:w="8550" w:type="dxa"/>
          </w:tcPr>
          <w:p w14:paraId="516DF941" w14:textId="531A1459" w:rsidR="00DC56D7" w:rsidRDefault="00DC56D7" w:rsidP="00DC56D7">
            <w:r w:rsidRPr="00813F8D">
              <w:t>Other solid fossil fuel derived from another solid fossil fuel</w:t>
            </w:r>
          </w:p>
        </w:tc>
      </w:tr>
      <w:tr w:rsidR="00DC56D7" w14:paraId="0821AF40" w14:textId="77777777" w:rsidTr="00DC56D7">
        <w:trPr>
          <w:cantSplit/>
          <w:tblHeader/>
        </w:trPr>
        <w:tc>
          <w:tcPr>
            <w:tcW w:w="1530" w:type="dxa"/>
          </w:tcPr>
          <w:p w14:paraId="33D390D9" w14:textId="2A8B6A0F" w:rsidR="00DC56D7" w:rsidRDefault="00DC56D7" w:rsidP="00DC56D7">
            <w:r w:rsidRPr="00813F8D">
              <w:t>LSDFF</w:t>
            </w:r>
          </w:p>
        </w:tc>
        <w:tc>
          <w:tcPr>
            <w:tcW w:w="8550" w:type="dxa"/>
          </w:tcPr>
          <w:p w14:paraId="5668A8D4" w14:textId="41707F1E" w:rsidR="00DC56D7" w:rsidRDefault="00DC56D7" w:rsidP="00DC56D7">
            <w:r w:rsidRPr="00813F8D">
              <w:t>Other liquid fossil fuel derived from another solid fossil fuel</w:t>
            </w:r>
          </w:p>
        </w:tc>
      </w:tr>
      <w:tr w:rsidR="00DC56D7" w14:paraId="0514AC97" w14:textId="77777777" w:rsidTr="00DC56D7">
        <w:trPr>
          <w:cantSplit/>
          <w:tblHeader/>
        </w:trPr>
        <w:tc>
          <w:tcPr>
            <w:tcW w:w="1530" w:type="dxa"/>
          </w:tcPr>
          <w:p w14:paraId="0F4CE2C0" w14:textId="13C9682F" w:rsidR="00DC56D7" w:rsidRDefault="00DC56D7" w:rsidP="00DC56D7">
            <w:r w:rsidRPr="00813F8D">
              <w:t>GSDFF</w:t>
            </w:r>
          </w:p>
        </w:tc>
        <w:tc>
          <w:tcPr>
            <w:tcW w:w="8550" w:type="dxa"/>
          </w:tcPr>
          <w:p w14:paraId="13A39195" w14:textId="30AE9516" w:rsidR="00DC56D7" w:rsidRDefault="00DC56D7" w:rsidP="00DC56D7">
            <w:r w:rsidRPr="00813F8D">
              <w:t>Other gaseous fossil fuel derived from another solid fossil fuel</w:t>
            </w:r>
          </w:p>
        </w:tc>
      </w:tr>
      <w:tr w:rsidR="00DC56D7" w14:paraId="5B8954EE" w14:textId="77777777" w:rsidTr="00DC56D7">
        <w:trPr>
          <w:cantSplit/>
          <w:tblHeader/>
        </w:trPr>
        <w:tc>
          <w:tcPr>
            <w:tcW w:w="1530" w:type="dxa"/>
          </w:tcPr>
          <w:p w14:paraId="052DDDD2" w14:textId="349A47CE" w:rsidR="00DC56D7" w:rsidRDefault="00DC56D7" w:rsidP="00DC56D7">
            <w:r w:rsidRPr="00813F8D">
              <w:t>SSDNFF</w:t>
            </w:r>
          </w:p>
        </w:tc>
        <w:tc>
          <w:tcPr>
            <w:tcW w:w="8550" w:type="dxa"/>
          </w:tcPr>
          <w:p w14:paraId="4BA38746" w14:textId="1DC1895F" w:rsidR="00DC56D7" w:rsidRDefault="00DC56D7" w:rsidP="00DC56D7">
            <w:r w:rsidRPr="00813F8D">
              <w:t>Solid fuel derived from a solid non-fossil fuel</w:t>
            </w:r>
          </w:p>
        </w:tc>
      </w:tr>
      <w:tr w:rsidR="00DC56D7" w14:paraId="64714ADA" w14:textId="77777777" w:rsidTr="00DC56D7">
        <w:trPr>
          <w:cantSplit/>
          <w:tblHeader/>
        </w:trPr>
        <w:tc>
          <w:tcPr>
            <w:tcW w:w="1530" w:type="dxa"/>
          </w:tcPr>
          <w:p w14:paraId="3E8C19C2" w14:textId="24BFCBB1" w:rsidR="00DC56D7" w:rsidRDefault="00DC56D7" w:rsidP="00DC56D7">
            <w:r w:rsidRPr="00813F8D">
              <w:t>LSDNFF</w:t>
            </w:r>
          </w:p>
        </w:tc>
        <w:tc>
          <w:tcPr>
            <w:tcW w:w="8550" w:type="dxa"/>
          </w:tcPr>
          <w:p w14:paraId="1FC50584" w14:textId="6CF61865" w:rsidR="00DC56D7" w:rsidRDefault="00DC56D7" w:rsidP="00DC56D7">
            <w:r w:rsidRPr="00813F8D">
              <w:t>Liquid fuel derived from a solid non-fossil fuel</w:t>
            </w:r>
          </w:p>
        </w:tc>
      </w:tr>
      <w:tr w:rsidR="00DC56D7" w14:paraId="3181157E" w14:textId="77777777" w:rsidTr="00DC56D7">
        <w:trPr>
          <w:cantSplit/>
          <w:tblHeader/>
        </w:trPr>
        <w:tc>
          <w:tcPr>
            <w:tcW w:w="1530" w:type="dxa"/>
          </w:tcPr>
          <w:p w14:paraId="69518C59" w14:textId="3812C564" w:rsidR="00DC56D7" w:rsidRDefault="00DC56D7" w:rsidP="00DC56D7">
            <w:r w:rsidRPr="00813F8D">
              <w:t>GSDNFF</w:t>
            </w:r>
          </w:p>
        </w:tc>
        <w:tc>
          <w:tcPr>
            <w:tcW w:w="8550" w:type="dxa"/>
          </w:tcPr>
          <w:p w14:paraId="78821589" w14:textId="432B59FB" w:rsidR="00DC56D7" w:rsidRDefault="00DC56D7" w:rsidP="00DC56D7">
            <w:r w:rsidRPr="00813F8D">
              <w:t>Gaseous fuel derived from a solid non-fossil fuel</w:t>
            </w:r>
          </w:p>
        </w:tc>
      </w:tr>
    </w:tbl>
    <w:p w14:paraId="2DE6079E" w14:textId="38D0F826" w:rsidR="003B4A69" w:rsidRPr="00FD74DF" w:rsidRDefault="00F861CF" w:rsidP="005D658E">
      <w:pPr>
        <w:pStyle w:val="APDBodyText"/>
        <w:spacing w:before="120"/>
      </w:pPr>
      <w:bookmarkStart w:id="18" w:name="_Hlk130892801"/>
      <w:bookmarkStart w:id="19" w:name="_Hlk147904169"/>
      <w:r w:rsidRPr="00FD74DF">
        <w:t xml:space="preserve">If a fuel-firing option consists of multiple fuel types being combusted simultaneously, enter the D-Series fuel type code for each fuel in a separate column on the same line, with a single SOP index number. If there are more than three fuels being combusted simultaneously, use multiple lines, and start each line with a different SOP index number. Start each additional fuel-firing option on a different line with a different SOP index number. If multiple fuels that use the same code are simultaneously combusted, then enter the code once for each </w:t>
      </w:r>
      <w:r w:rsidR="004B7A5F" w:rsidRPr="00FD74DF">
        <w:t>fuel (See Fuel-firing Option A:</w:t>
      </w:r>
      <w:r w:rsidRPr="00FD74DF">
        <w:t xml:space="preserve"> for an example of multiple gaseous fossil fuels derived from a solid non-fossil fuel combusted simultaneously).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Fuel-firing Option A for an example of multiple gaseous fossil fuels derived from a solid non-fossil fuel combusted simultaneously. "/>
      </w:tblPr>
      <w:tblGrid>
        <w:gridCol w:w="2160"/>
        <w:gridCol w:w="2160"/>
        <w:gridCol w:w="2160"/>
        <w:gridCol w:w="2160"/>
        <w:gridCol w:w="2160"/>
      </w:tblGrid>
      <w:tr w:rsidR="00D35519" w14:paraId="22227A54" w14:textId="77777777" w:rsidTr="00205EAC">
        <w:trPr>
          <w:cantSplit/>
          <w:tblHeader/>
        </w:trPr>
        <w:tc>
          <w:tcPr>
            <w:tcW w:w="2160" w:type="dxa"/>
            <w:tcBorders>
              <w:top w:val="nil"/>
              <w:left w:val="nil"/>
              <w:bottom w:val="nil"/>
              <w:right w:val="double" w:sz="6" w:space="0" w:color="auto"/>
            </w:tcBorders>
          </w:tcPr>
          <w:p w14:paraId="5651916B" w14:textId="77777777" w:rsidR="00D35519" w:rsidRDefault="00D35519" w:rsidP="00205EAC">
            <w:r w:rsidRPr="00EF0801">
              <w:rPr>
                <w:i/>
              </w:rPr>
              <w:t>Example:</w:t>
            </w:r>
          </w:p>
        </w:tc>
        <w:tc>
          <w:tcPr>
            <w:tcW w:w="2160" w:type="dxa"/>
            <w:tcBorders>
              <w:left w:val="double" w:sz="6" w:space="0" w:color="auto"/>
            </w:tcBorders>
            <w:shd w:val="clear" w:color="auto" w:fill="D9D9D9" w:themeFill="background1" w:themeFillShade="D9"/>
          </w:tcPr>
          <w:p w14:paraId="12448765" w14:textId="08CD45AA" w:rsidR="00D35519" w:rsidRDefault="00D35519" w:rsidP="00205EAC">
            <w:r w:rsidRPr="00EF0801">
              <w:rPr>
                <w:b/>
              </w:rPr>
              <w:t xml:space="preserve">SOP Index </w:t>
            </w:r>
            <w:r w:rsidR="00B42127">
              <w:rPr>
                <w:b/>
              </w:rPr>
              <w:t>No</w:t>
            </w:r>
            <w:r w:rsidRPr="00EF0801">
              <w:rPr>
                <w:b/>
              </w:rPr>
              <w:t>.</w:t>
            </w:r>
          </w:p>
        </w:tc>
        <w:tc>
          <w:tcPr>
            <w:tcW w:w="2160" w:type="dxa"/>
            <w:shd w:val="clear" w:color="auto" w:fill="D9D9D9" w:themeFill="background1" w:themeFillShade="D9"/>
          </w:tcPr>
          <w:p w14:paraId="6A0AF924" w14:textId="77777777" w:rsidR="00D35519" w:rsidRDefault="00D35519" w:rsidP="00205EAC">
            <w:r w:rsidRPr="00EF0801">
              <w:rPr>
                <w:b/>
              </w:rPr>
              <w:t>D-Series Fuel Type</w:t>
            </w:r>
          </w:p>
        </w:tc>
        <w:tc>
          <w:tcPr>
            <w:tcW w:w="2160" w:type="dxa"/>
            <w:shd w:val="clear" w:color="auto" w:fill="D9D9D9" w:themeFill="background1" w:themeFillShade="D9"/>
          </w:tcPr>
          <w:p w14:paraId="4204D6E9" w14:textId="77777777" w:rsidR="00D35519" w:rsidRDefault="00D35519" w:rsidP="00205EAC">
            <w:r w:rsidRPr="00EF0801">
              <w:rPr>
                <w:b/>
              </w:rPr>
              <w:t>D-Series Fuel Type</w:t>
            </w:r>
          </w:p>
        </w:tc>
        <w:tc>
          <w:tcPr>
            <w:tcW w:w="2160" w:type="dxa"/>
            <w:shd w:val="clear" w:color="auto" w:fill="D9D9D9" w:themeFill="background1" w:themeFillShade="D9"/>
          </w:tcPr>
          <w:p w14:paraId="4EB573A6" w14:textId="77777777" w:rsidR="00D35519" w:rsidRDefault="00D35519" w:rsidP="00205EAC">
            <w:r w:rsidRPr="00EF0801">
              <w:rPr>
                <w:b/>
              </w:rPr>
              <w:t>D-Series Fuel Type</w:t>
            </w:r>
          </w:p>
        </w:tc>
      </w:tr>
      <w:tr w:rsidR="00D35519" w14:paraId="4C41B090" w14:textId="77777777" w:rsidTr="00205EAC">
        <w:trPr>
          <w:cantSplit/>
          <w:tblHeader/>
        </w:trPr>
        <w:tc>
          <w:tcPr>
            <w:tcW w:w="2160" w:type="dxa"/>
            <w:tcBorders>
              <w:top w:val="nil"/>
              <w:left w:val="nil"/>
              <w:bottom w:val="nil"/>
              <w:right w:val="double" w:sz="6" w:space="0" w:color="auto"/>
            </w:tcBorders>
          </w:tcPr>
          <w:p w14:paraId="1FBBA5E2" w14:textId="77777777" w:rsidR="00D35519" w:rsidRDefault="00D35519" w:rsidP="00D35519">
            <w:r w:rsidRPr="00EF0801">
              <w:t>Fuel-firing Option A:</w:t>
            </w:r>
          </w:p>
        </w:tc>
        <w:tc>
          <w:tcPr>
            <w:tcW w:w="2160" w:type="dxa"/>
            <w:tcBorders>
              <w:left w:val="double" w:sz="6" w:space="0" w:color="auto"/>
            </w:tcBorders>
          </w:tcPr>
          <w:p w14:paraId="7CD79FDF" w14:textId="611914CF" w:rsidR="00D35519" w:rsidRDefault="00D35519" w:rsidP="00D35519">
            <w:r w:rsidRPr="00EF0801">
              <w:t>60DA-1A</w:t>
            </w:r>
          </w:p>
        </w:tc>
        <w:tc>
          <w:tcPr>
            <w:tcW w:w="2160" w:type="dxa"/>
          </w:tcPr>
          <w:p w14:paraId="771D26DE" w14:textId="1A4037CC" w:rsidR="00D35519" w:rsidRDefault="00D35519" w:rsidP="00D35519">
            <w:r w:rsidRPr="00EF0801">
              <w:t>GSDNFF</w:t>
            </w:r>
          </w:p>
        </w:tc>
        <w:tc>
          <w:tcPr>
            <w:tcW w:w="2160" w:type="dxa"/>
          </w:tcPr>
          <w:p w14:paraId="34691267" w14:textId="2CA9447C" w:rsidR="00D35519" w:rsidRDefault="00D35519" w:rsidP="00D35519">
            <w:r w:rsidRPr="00EF0801">
              <w:t>GSDNFF</w:t>
            </w:r>
          </w:p>
        </w:tc>
        <w:tc>
          <w:tcPr>
            <w:tcW w:w="2160" w:type="dxa"/>
          </w:tcPr>
          <w:p w14:paraId="3DF3C7B8" w14:textId="74B50570" w:rsidR="00D35519" w:rsidRDefault="00D35519" w:rsidP="00D35519">
            <w:r w:rsidRPr="00EF0801">
              <w:t>GSDNFF</w:t>
            </w:r>
          </w:p>
        </w:tc>
      </w:tr>
      <w:tr w:rsidR="00D35519" w14:paraId="38B3D9AA" w14:textId="77777777" w:rsidTr="00205EAC">
        <w:trPr>
          <w:cantSplit/>
          <w:tblHeader/>
        </w:trPr>
        <w:tc>
          <w:tcPr>
            <w:tcW w:w="2160" w:type="dxa"/>
            <w:tcBorders>
              <w:top w:val="nil"/>
              <w:left w:val="nil"/>
              <w:bottom w:val="nil"/>
              <w:right w:val="double" w:sz="6" w:space="0" w:color="auto"/>
            </w:tcBorders>
          </w:tcPr>
          <w:p w14:paraId="0F1F7289" w14:textId="77777777" w:rsidR="00D35519" w:rsidRDefault="00D35519" w:rsidP="00D35519"/>
        </w:tc>
        <w:tc>
          <w:tcPr>
            <w:tcW w:w="2160" w:type="dxa"/>
            <w:tcBorders>
              <w:left w:val="double" w:sz="6" w:space="0" w:color="auto"/>
            </w:tcBorders>
          </w:tcPr>
          <w:p w14:paraId="4479ACAA" w14:textId="3FB3FE1A" w:rsidR="00D35519" w:rsidRDefault="00D35519" w:rsidP="00D35519">
            <w:r w:rsidRPr="00EF0801">
              <w:t>60DA-1B</w:t>
            </w:r>
          </w:p>
        </w:tc>
        <w:tc>
          <w:tcPr>
            <w:tcW w:w="2160" w:type="dxa"/>
          </w:tcPr>
          <w:p w14:paraId="0AE1C6C2" w14:textId="77281025" w:rsidR="00D35519" w:rsidRDefault="00D35519" w:rsidP="00D35519">
            <w:r w:rsidRPr="00EF0801">
              <w:t>GSDNFF</w:t>
            </w:r>
          </w:p>
        </w:tc>
        <w:tc>
          <w:tcPr>
            <w:tcW w:w="2160" w:type="dxa"/>
          </w:tcPr>
          <w:p w14:paraId="1292C184" w14:textId="77777777" w:rsidR="00D35519" w:rsidRDefault="00D35519" w:rsidP="00D35519"/>
        </w:tc>
        <w:tc>
          <w:tcPr>
            <w:tcW w:w="2160" w:type="dxa"/>
          </w:tcPr>
          <w:p w14:paraId="2316B1E8" w14:textId="77777777" w:rsidR="00D35519" w:rsidRDefault="00D35519" w:rsidP="00D35519"/>
        </w:tc>
      </w:tr>
      <w:tr w:rsidR="00D35519" w14:paraId="39A64A49" w14:textId="77777777" w:rsidTr="00205EAC">
        <w:trPr>
          <w:cantSplit/>
          <w:tblHeader/>
        </w:trPr>
        <w:tc>
          <w:tcPr>
            <w:tcW w:w="2160" w:type="dxa"/>
            <w:tcBorders>
              <w:top w:val="nil"/>
              <w:left w:val="nil"/>
              <w:bottom w:val="nil"/>
              <w:right w:val="double" w:sz="6" w:space="0" w:color="auto"/>
            </w:tcBorders>
          </w:tcPr>
          <w:p w14:paraId="66B21410" w14:textId="77777777" w:rsidR="00D35519" w:rsidRDefault="00D35519" w:rsidP="00D35519">
            <w:r w:rsidRPr="00EF0801">
              <w:t>Fuel-firing Option B</w:t>
            </w:r>
          </w:p>
        </w:tc>
        <w:tc>
          <w:tcPr>
            <w:tcW w:w="2160" w:type="dxa"/>
            <w:tcBorders>
              <w:left w:val="double" w:sz="6" w:space="0" w:color="auto"/>
            </w:tcBorders>
          </w:tcPr>
          <w:p w14:paraId="58B8AAB0" w14:textId="6BBC22EF" w:rsidR="00D35519" w:rsidRDefault="00D35519" w:rsidP="00D35519">
            <w:r w:rsidRPr="00EF0801">
              <w:t>60DA-2</w:t>
            </w:r>
          </w:p>
        </w:tc>
        <w:tc>
          <w:tcPr>
            <w:tcW w:w="2160" w:type="dxa"/>
          </w:tcPr>
          <w:p w14:paraId="3F790BF6" w14:textId="2B951E24" w:rsidR="00D35519" w:rsidRDefault="00D35519" w:rsidP="00D35519">
            <w:r w:rsidRPr="00EF0801">
              <w:t>NG</w:t>
            </w:r>
          </w:p>
        </w:tc>
        <w:tc>
          <w:tcPr>
            <w:tcW w:w="2160" w:type="dxa"/>
          </w:tcPr>
          <w:p w14:paraId="21CCB708" w14:textId="12B21389" w:rsidR="00D35519" w:rsidRDefault="00D35519" w:rsidP="00D35519">
            <w:r w:rsidRPr="00EF0801">
              <w:t>ACL</w:t>
            </w:r>
          </w:p>
        </w:tc>
        <w:tc>
          <w:tcPr>
            <w:tcW w:w="2160" w:type="dxa"/>
          </w:tcPr>
          <w:p w14:paraId="45967F81" w14:textId="77777777" w:rsidR="00D35519" w:rsidRDefault="00D35519" w:rsidP="00D35519"/>
        </w:tc>
      </w:tr>
      <w:tr w:rsidR="00D35519" w14:paraId="38F0F39C" w14:textId="77777777" w:rsidTr="00205EAC">
        <w:trPr>
          <w:cantSplit/>
          <w:tblHeader/>
        </w:trPr>
        <w:tc>
          <w:tcPr>
            <w:tcW w:w="2160" w:type="dxa"/>
            <w:tcBorders>
              <w:top w:val="nil"/>
              <w:left w:val="nil"/>
              <w:bottom w:val="nil"/>
              <w:right w:val="double" w:sz="6" w:space="0" w:color="auto"/>
            </w:tcBorders>
          </w:tcPr>
          <w:p w14:paraId="3B7CA4DE" w14:textId="77777777" w:rsidR="00D35519" w:rsidRDefault="00D35519" w:rsidP="00D35519">
            <w:r w:rsidRPr="00EF0801">
              <w:t>Fuel-firing Option C</w:t>
            </w:r>
          </w:p>
        </w:tc>
        <w:tc>
          <w:tcPr>
            <w:tcW w:w="2160" w:type="dxa"/>
            <w:tcBorders>
              <w:left w:val="double" w:sz="6" w:space="0" w:color="auto"/>
            </w:tcBorders>
          </w:tcPr>
          <w:p w14:paraId="37CDA407" w14:textId="7E35CB70" w:rsidR="00D35519" w:rsidRDefault="00D35519" w:rsidP="00D35519">
            <w:r w:rsidRPr="00EF0801">
              <w:t>60DA-3</w:t>
            </w:r>
          </w:p>
        </w:tc>
        <w:tc>
          <w:tcPr>
            <w:tcW w:w="2160" w:type="dxa"/>
          </w:tcPr>
          <w:p w14:paraId="671A700A" w14:textId="70CA7694" w:rsidR="00D35519" w:rsidRDefault="00D35519" w:rsidP="00D35519">
            <w:r w:rsidRPr="00EF0801">
              <w:t>LCL</w:t>
            </w:r>
          </w:p>
        </w:tc>
        <w:tc>
          <w:tcPr>
            <w:tcW w:w="2160" w:type="dxa"/>
          </w:tcPr>
          <w:p w14:paraId="7C49251E" w14:textId="4F499F52" w:rsidR="00D35519" w:rsidRDefault="00D35519" w:rsidP="00D35519">
            <w:r w:rsidRPr="00EF0801">
              <w:t>SSDFF</w:t>
            </w:r>
          </w:p>
        </w:tc>
        <w:tc>
          <w:tcPr>
            <w:tcW w:w="2160" w:type="dxa"/>
          </w:tcPr>
          <w:p w14:paraId="1D21E8E9" w14:textId="40BF0639" w:rsidR="00D35519" w:rsidRDefault="00D35519" w:rsidP="00D35519">
            <w:r w:rsidRPr="00EF0801">
              <w:t>LSDFF</w:t>
            </w:r>
          </w:p>
        </w:tc>
      </w:tr>
    </w:tbl>
    <w:p w14:paraId="4B71FDC7" w14:textId="77777777" w:rsidR="00021380" w:rsidRDefault="00021380" w:rsidP="00CE4E1C">
      <w:pPr>
        <w:pStyle w:val="APDStrong"/>
        <w:spacing w:before="120"/>
        <w:sectPr w:rsidR="00021380" w:rsidSect="0031268E">
          <w:pgSz w:w="12240" w:h="15840" w:code="1"/>
          <w:pgMar w:top="720" w:right="720" w:bottom="720" w:left="720" w:header="720" w:footer="720" w:gutter="0"/>
          <w:cols w:space="720"/>
          <w:titlePg/>
          <w:docGrid w:linePitch="360"/>
        </w:sectPr>
      </w:pPr>
      <w:bookmarkStart w:id="20" w:name="_Hlk130890737"/>
      <w:bookmarkEnd w:id="18"/>
    </w:p>
    <w:p w14:paraId="4DC6810A" w14:textId="77777777" w:rsidR="00F861CF" w:rsidRPr="00FD74DF" w:rsidRDefault="00F861CF" w:rsidP="00CE4E1C">
      <w:pPr>
        <w:pStyle w:val="APDStrong"/>
        <w:spacing w:before="120"/>
      </w:pPr>
      <w:r w:rsidRPr="00FD74DF">
        <w:lastRenderedPageBreak/>
        <w:t>Changes to Existing Affected Facility:</w:t>
      </w:r>
    </w:p>
    <w:p w14:paraId="5C436B92" w14:textId="77777777" w:rsidR="006B014D" w:rsidRDefault="006B014D" w:rsidP="00FD74DF">
      <w:pPr>
        <w:pStyle w:val="APDBodyText"/>
      </w:pPr>
      <w:r w:rsidRPr="00FD74DF">
        <w:t>Select one of the following changes to an existing affected facility.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 and Description"/>
      </w:tblPr>
      <w:tblGrid>
        <w:gridCol w:w="1530"/>
        <w:gridCol w:w="8550"/>
      </w:tblGrid>
      <w:tr w:rsidR="00A54F69" w14:paraId="5A248AB6" w14:textId="77777777" w:rsidTr="00A54F69">
        <w:trPr>
          <w:cantSplit/>
          <w:tblHeader/>
        </w:trPr>
        <w:tc>
          <w:tcPr>
            <w:tcW w:w="1530" w:type="dxa"/>
          </w:tcPr>
          <w:p w14:paraId="1E7C788D" w14:textId="09CA044C" w:rsidR="00A54F69" w:rsidRPr="00E14779" w:rsidRDefault="00A54F69" w:rsidP="00A54F69">
            <w:pPr>
              <w:rPr>
                <w:b/>
                <w:bCs/>
              </w:rPr>
            </w:pPr>
            <w:r w:rsidRPr="00E14779">
              <w:rPr>
                <w:b/>
                <w:bCs/>
              </w:rPr>
              <w:t>Code</w:t>
            </w:r>
          </w:p>
        </w:tc>
        <w:tc>
          <w:tcPr>
            <w:tcW w:w="8550" w:type="dxa"/>
          </w:tcPr>
          <w:p w14:paraId="28297970" w14:textId="26138D8F" w:rsidR="00A54F69" w:rsidRPr="00E14779" w:rsidRDefault="00A54F69" w:rsidP="00A54F69">
            <w:pPr>
              <w:rPr>
                <w:b/>
                <w:bCs/>
              </w:rPr>
            </w:pPr>
            <w:r w:rsidRPr="00E14779">
              <w:rPr>
                <w:b/>
                <w:bCs/>
              </w:rPr>
              <w:t>Description</w:t>
            </w:r>
          </w:p>
        </w:tc>
      </w:tr>
      <w:tr w:rsidR="00A54F69" w14:paraId="33911691" w14:textId="77777777" w:rsidTr="00A54F69">
        <w:trPr>
          <w:cantSplit/>
          <w:tblHeader/>
        </w:trPr>
        <w:tc>
          <w:tcPr>
            <w:tcW w:w="1530" w:type="dxa"/>
          </w:tcPr>
          <w:p w14:paraId="46EA5DD4" w14:textId="572A7865" w:rsidR="00A54F69" w:rsidRDefault="00A54F69" w:rsidP="00A54F69">
            <w:r w:rsidRPr="00A2425E">
              <w:t>COFF</w:t>
            </w:r>
          </w:p>
        </w:tc>
        <w:tc>
          <w:tcPr>
            <w:tcW w:w="8550" w:type="dxa"/>
          </w:tcPr>
          <w:p w14:paraId="281E7591" w14:textId="1359A58B" w:rsidR="00A54F69" w:rsidRDefault="00A54F69" w:rsidP="00A54F69">
            <w:r w:rsidRPr="00A2425E">
              <w:t>A change has been made to the existing fossil fuel-fired steam generating unit, which was not previously subject to 40 CFR Part 60, Subpart Da, to accommodate the use of combustible materials other than fossil fuels</w:t>
            </w:r>
          </w:p>
        </w:tc>
      </w:tr>
      <w:tr w:rsidR="00A54F69" w14:paraId="4ACA2A04" w14:textId="77777777" w:rsidTr="00A54F69">
        <w:trPr>
          <w:cantSplit/>
          <w:tblHeader/>
        </w:trPr>
        <w:tc>
          <w:tcPr>
            <w:tcW w:w="1530" w:type="dxa"/>
          </w:tcPr>
          <w:p w14:paraId="601B78D0" w14:textId="713079B8" w:rsidR="00A54F69" w:rsidRDefault="00A54F69" w:rsidP="00A54F69">
            <w:r w:rsidRPr="00A2425E">
              <w:t>CFNF</w:t>
            </w:r>
          </w:p>
        </w:tc>
        <w:tc>
          <w:tcPr>
            <w:tcW w:w="8550" w:type="dxa"/>
          </w:tcPr>
          <w:p w14:paraId="18F6AFFD" w14:textId="6BBA78D5" w:rsidR="00A54F69" w:rsidRDefault="00A54F69" w:rsidP="00A54F69">
            <w:r w:rsidRPr="00A2425E">
              <w:t>A change has been made to the existing steam generating unit, which was not previously subject to 40 CFR Part 60, Subpart Da and was originally designed to fire gaseous or liquid fossil fuels, to accommodate the use of any other fuel (fossil or non-fossil)</w:t>
            </w:r>
          </w:p>
        </w:tc>
      </w:tr>
      <w:tr w:rsidR="00A54F69" w14:paraId="2F2FE44D" w14:textId="77777777" w:rsidTr="00A54F69">
        <w:trPr>
          <w:cantSplit/>
          <w:tblHeader/>
        </w:trPr>
        <w:tc>
          <w:tcPr>
            <w:tcW w:w="1530" w:type="dxa"/>
          </w:tcPr>
          <w:p w14:paraId="48BAC2A1" w14:textId="6BBA8048" w:rsidR="00A54F69" w:rsidRDefault="00A54F69" w:rsidP="00A54F69">
            <w:r w:rsidRPr="00A2425E">
              <w:t>NO</w:t>
            </w:r>
          </w:p>
        </w:tc>
        <w:tc>
          <w:tcPr>
            <w:tcW w:w="8550" w:type="dxa"/>
          </w:tcPr>
          <w:p w14:paraId="3FC978E6" w14:textId="6CD84290" w:rsidR="00A54F69" w:rsidRDefault="00A54F69" w:rsidP="00A54F69">
            <w:r w:rsidRPr="00A2425E">
              <w:t>No change as described in COFF and CFNF</w:t>
            </w:r>
          </w:p>
        </w:tc>
      </w:tr>
    </w:tbl>
    <w:bookmarkEnd w:id="20"/>
    <w:p w14:paraId="6BD7A652" w14:textId="5E8426F3" w:rsidR="00F861CF" w:rsidRPr="00697756" w:rsidRDefault="00F861CF" w:rsidP="00FD7888">
      <w:pPr>
        <w:pStyle w:val="APDContinueTriangle"/>
      </w:pPr>
      <w:r w:rsidRPr="00697756">
        <w:t>Continue only if “Changes to Existing Affected Facility” is “</w:t>
      </w:r>
      <w:r w:rsidR="00B42127">
        <w:t>NO</w:t>
      </w:r>
      <w:r w:rsidRPr="00697756">
        <w:t>.”</w:t>
      </w:r>
    </w:p>
    <w:p w14:paraId="4B14785F" w14:textId="294106B9" w:rsidR="00F861CF" w:rsidRPr="009226C6" w:rsidRDefault="00F861CF" w:rsidP="00390EE3">
      <w:pPr>
        <w:pStyle w:val="APDCompleteStar"/>
      </w:pPr>
      <w:r w:rsidRPr="009226C6">
        <w:t xml:space="preserve">Complete </w:t>
      </w:r>
      <w:bookmarkStart w:id="21" w:name="_Hlk130460436"/>
      <w:r w:rsidRPr="009226C6">
        <w:t xml:space="preserve">“Percent (%) Coal Refuse” </w:t>
      </w:r>
      <w:bookmarkEnd w:id="21"/>
      <w:r w:rsidRPr="009226C6">
        <w:t xml:space="preserve">only if “Construction/Modification Date” is </w:t>
      </w:r>
      <w:r w:rsidR="00EA65B0" w:rsidRPr="009226C6">
        <w:t>“05-11C,” 05-11R,”</w:t>
      </w:r>
      <w:r w:rsidR="00C65D5C" w:rsidRPr="009226C6">
        <w:br/>
      </w:r>
      <w:r w:rsidR="00EA65B0" w:rsidRPr="009226C6">
        <w:t>05-11M,” “11+C,” “11+R</w:t>
      </w:r>
      <w:r w:rsidR="00C90F04" w:rsidRPr="009226C6">
        <w:t>,</w:t>
      </w:r>
      <w:r w:rsidR="00EA65B0" w:rsidRPr="009226C6">
        <w:t>” or “11+M.”</w:t>
      </w:r>
    </w:p>
    <w:p w14:paraId="11A8BB51" w14:textId="77777777" w:rsidR="00F861CF" w:rsidRPr="00FD74DF" w:rsidRDefault="00F861CF" w:rsidP="00FD74DF">
      <w:pPr>
        <w:pStyle w:val="APDStrong"/>
      </w:pPr>
      <w:r w:rsidRPr="00FD74DF">
        <w:t>Percent (%) Coal Refuse:</w:t>
      </w:r>
    </w:p>
    <w:p w14:paraId="1126D7E3" w14:textId="6B49614B" w:rsidR="00F861CF" w:rsidRPr="00FD74DF" w:rsidRDefault="00F861CF" w:rsidP="00FD74DF">
      <w:pPr>
        <w:pStyle w:val="APDBodyText"/>
      </w:pPr>
      <w:r w:rsidRPr="00FD74DF">
        <w:t>Enter “</w:t>
      </w:r>
      <w:r w:rsidR="00B42127">
        <w:t>YES</w:t>
      </w:r>
      <w:r w:rsidRPr="00FD74DF">
        <w:t>” if the facility burns 75% or more coal refuse on a 12-month rolling average basis. Otherwise, enter “</w:t>
      </w:r>
      <w:r w:rsidR="00B42127">
        <w:t>NO</w:t>
      </w:r>
      <w:r w:rsidRPr="00FD74DF">
        <w:t>.”</w:t>
      </w:r>
    </w:p>
    <w:p w14:paraId="1A34E18E" w14:textId="77777777" w:rsidR="00F861CF" w:rsidRPr="00FD74DF" w:rsidRDefault="00F861CF" w:rsidP="00FD74DF">
      <w:pPr>
        <w:pStyle w:val="APDStrong"/>
      </w:pPr>
      <w:r w:rsidRPr="00FD74DF">
        <w:t>Combined Cycle Type:</w:t>
      </w:r>
    </w:p>
    <w:p w14:paraId="79BDC000" w14:textId="77777777" w:rsidR="00F861CF" w:rsidRDefault="00F861CF" w:rsidP="00FD74DF">
      <w:pPr>
        <w:pStyle w:val="APDBodyText"/>
      </w:pPr>
      <w:r w:rsidRPr="00FD74DF">
        <w:t>Select one of the following combined cycle type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 and Descriptions"/>
      </w:tblPr>
      <w:tblGrid>
        <w:gridCol w:w="1530"/>
        <w:gridCol w:w="8550"/>
      </w:tblGrid>
      <w:tr w:rsidR="00D80D67" w14:paraId="56AB9399" w14:textId="77777777" w:rsidTr="005944AE">
        <w:trPr>
          <w:cantSplit/>
          <w:tblHeader/>
        </w:trPr>
        <w:tc>
          <w:tcPr>
            <w:tcW w:w="1530" w:type="dxa"/>
          </w:tcPr>
          <w:p w14:paraId="68F33CE9" w14:textId="2F506AE5" w:rsidR="00D80D67" w:rsidRPr="00D80D67" w:rsidRDefault="00D80D67" w:rsidP="00D80D67">
            <w:pPr>
              <w:rPr>
                <w:b/>
                <w:bCs/>
              </w:rPr>
            </w:pPr>
            <w:r w:rsidRPr="00D80D67">
              <w:rPr>
                <w:b/>
                <w:bCs/>
              </w:rPr>
              <w:t>Code</w:t>
            </w:r>
          </w:p>
        </w:tc>
        <w:tc>
          <w:tcPr>
            <w:tcW w:w="8550" w:type="dxa"/>
          </w:tcPr>
          <w:p w14:paraId="5674B75F" w14:textId="3B219727" w:rsidR="00D80D67" w:rsidRPr="00D80D67" w:rsidRDefault="00D80D67" w:rsidP="00D80D67">
            <w:pPr>
              <w:rPr>
                <w:b/>
                <w:bCs/>
              </w:rPr>
            </w:pPr>
            <w:r w:rsidRPr="00D80D67">
              <w:rPr>
                <w:b/>
                <w:bCs/>
              </w:rPr>
              <w:t>Description</w:t>
            </w:r>
          </w:p>
        </w:tc>
      </w:tr>
      <w:tr w:rsidR="00D80D67" w14:paraId="7934C870" w14:textId="77777777" w:rsidTr="005944AE">
        <w:trPr>
          <w:cantSplit/>
          <w:tblHeader/>
        </w:trPr>
        <w:tc>
          <w:tcPr>
            <w:tcW w:w="1530" w:type="dxa"/>
          </w:tcPr>
          <w:p w14:paraId="0F4A377E" w14:textId="12B08358" w:rsidR="00D80D67" w:rsidRDefault="00D80D67" w:rsidP="00D80D67">
            <w:r w:rsidRPr="001558BE">
              <w:t>IGCC</w:t>
            </w:r>
          </w:p>
        </w:tc>
        <w:tc>
          <w:tcPr>
            <w:tcW w:w="8550" w:type="dxa"/>
          </w:tcPr>
          <w:p w14:paraId="2D3F8742" w14:textId="18AB8816" w:rsidR="00D80D67" w:rsidRDefault="00D80D67" w:rsidP="00D80D67">
            <w:r w:rsidRPr="001558BE">
              <w:t>Integrated gasification combined cycle gas turbine electric utility steam generating unit</w:t>
            </w:r>
          </w:p>
        </w:tc>
      </w:tr>
      <w:tr w:rsidR="00D80D67" w14:paraId="30E0BE9D" w14:textId="77777777" w:rsidTr="005944AE">
        <w:trPr>
          <w:cantSplit/>
          <w:tblHeader/>
        </w:trPr>
        <w:tc>
          <w:tcPr>
            <w:tcW w:w="1530" w:type="dxa"/>
          </w:tcPr>
          <w:p w14:paraId="78FA6C3E" w14:textId="0790618D" w:rsidR="00D80D67" w:rsidRDefault="00D80D67" w:rsidP="00D80D67">
            <w:r w:rsidRPr="001558BE">
              <w:t>COMCYC</w:t>
            </w:r>
          </w:p>
        </w:tc>
        <w:tc>
          <w:tcPr>
            <w:tcW w:w="8550" w:type="dxa"/>
          </w:tcPr>
          <w:p w14:paraId="3A177498" w14:textId="48FB227B" w:rsidR="00D80D67" w:rsidRDefault="00D80D67" w:rsidP="00D80D67">
            <w:r w:rsidRPr="001558BE">
              <w:t>Combined cycle gas turbine (other than an IGCC) that is not subject to NSPS KKKK</w:t>
            </w:r>
          </w:p>
        </w:tc>
      </w:tr>
      <w:tr w:rsidR="00D80D67" w14:paraId="683EDB74" w14:textId="77777777" w:rsidTr="005944AE">
        <w:trPr>
          <w:cantSplit/>
          <w:tblHeader/>
        </w:trPr>
        <w:tc>
          <w:tcPr>
            <w:tcW w:w="1530" w:type="dxa"/>
          </w:tcPr>
          <w:p w14:paraId="38FD6D3E" w14:textId="6566B4BA" w:rsidR="00D80D67" w:rsidRDefault="00D80D67" w:rsidP="00D80D67">
            <w:r w:rsidRPr="001558BE">
              <w:t>KKKK</w:t>
            </w:r>
          </w:p>
        </w:tc>
        <w:tc>
          <w:tcPr>
            <w:tcW w:w="8550" w:type="dxa"/>
          </w:tcPr>
          <w:p w14:paraId="6D54C60D" w14:textId="303040ED" w:rsidR="00D80D67" w:rsidRDefault="00D80D67" w:rsidP="00D80D67">
            <w:r w:rsidRPr="001558BE">
              <w:t>Combined cycle gas turbine (other than an IGCC) that is subject to NSPS KKKK</w:t>
            </w:r>
          </w:p>
        </w:tc>
      </w:tr>
      <w:tr w:rsidR="00D80D67" w14:paraId="6A41BD35" w14:textId="77777777" w:rsidTr="005944AE">
        <w:trPr>
          <w:cantSplit/>
          <w:tblHeader/>
        </w:trPr>
        <w:tc>
          <w:tcPr>
            <w:tcW w:w="1530" w:type="dxa"/>
          </w:tcPr>
          <w:p w14:paraId="4E75DF5C" w14:textId="46379984" w:rsidR="00D80D67" w:rsidRDefault="00D80D67" w:rsidP="00D80D67">
            <w:r w:rsidRPr="001558BE">
              <w:t>EB/CCCC</w:t>
            </w:r>
          </w:p>
        </w:tc>
        <w:tc>
          <w:tcPr>
            <w:tcW w:w="8550" w:type="dxa"/>
          </w:tcPr>
          <w:p w14:paraId="1B06ADAE" w14:textId="5E09397D" w:rsidR="00D80D67" w:rsidRDefault="00D80D67" w:rsidP="00D80D67">
            <w:r w:rsidRPr="001558BE">
              <w:t>Municipal/commercial/industrial solid waste unit that is subject to NSPS Eb or CCCC</w:t>
            </w:r>
          </w:p>
        </w:tc>
      </w:tr>
      <w:tr w:rsidR="00D80D67" w14:paraId="1FBA4A01" w14:textId="77777777" w:rsidTr="005944AE">
        <w:trPr>
          <w:cantSplit/>
          <w:tblHeader/>
        </w:trPr>
        <w:tc>
          <w:tcPr>
            <w:tcW w:w="1530" w:type="dxa"/>
          </w:tcPr>
          <w:p w14:paraId="770481A7" w14:textId="22EF56C4" w:rsidR="00D80D67" w:rsidRDefault="00D80D67" w:rsidP="00D80D67">
            <w:r w:rsidRPr="001558BE">
              <w:t>OTHER</w:t>
            </w:r>
          </w:p>
        </w:tc>
        <w:tc>
          <w:tcPr>
            <w:tcW w:w="8550" w:type="dxa"/>
          </w:tcPr>
          <w:p w14:paraId="02EED6FD" w14:textId="52E05553" w:rsidR="00D80D67" w:rsidRDefault="00D80D67" w:rsidP="00D80D67">
            <w:r w:rsidRPr="001558BE">
              <w:t>Not a combined cycle gas turbine or a unit subject to NSPS Eb or CCCC</w:t>
            </w:r>
          </w:p>
        </w:tc>
      </w:tr>
    </w:tbl>
    <w:p w14:paraId="0F1AE263" w14:textId="48A1F1E7" w:rsidR="00F861CF" w:rsidRPr="00697756" w:rsidRDefault="00F861CF" w:rsidP="00FD7888">
      <w:pPr>
        <w:pStyle w:val="APDContinueTriangle"/>
      </w:pPr>
      <w:r w:rsidRPr="00697756">
        <w:t xml:space="preserve">Do not continue if “Combined Cycle Type” is </w:t>
      </w:r>
      <w:r w:rsidR="006A0B97" w:rsidRPr="00697756">
        <w:t xml:space="preserve">“EB/CCCC" or </w:t>
      </w:r>
      <w:r w:rsidRPr="00697756">
        <w:t>“KKKK</w:t>
      </w:r>
      <w:r w:rsidR="00752DEA" w:rsidRPr="00697756">
        <w:t>.</w:t>
      </w:r>
      <w:r w:rsidRPr="00697756">
        <w:t>”</w:t>
      </w:r>
    </w:p>
    <w:p w14:paraId="67CE0AD0" w14:textId="4AA1C917" w:rsidR="006B014D" w:rsidRPr="00697756" w:rsidRDefault="00F861CF" w:rsidP="00FD7888">
      <w:pPr>
        <w:pStyle w:val="APDContinueTriangle"/>
      </w:pPr>
      <w:r w:rsidRPr="00697756">
        <w:t>Do not continue if “Combined Cycle Type” is “IGCC” and “Construction/Modification Date” is “78</w:t>
      </w:r>
      <w:r w:rsidR="00C90F04" w:rsidRPr="00697756">
        <w:t>-</w:t>
      </w:r>
      <w:r w:rsidRPr="00697756">
        <w:t>97,” “97-05C</w:t>
      </w:r>
      <w:r w:rsidR="00C90F04" w:rsidRPr="00697756">
        <w:t>,</w:t>
      </w:r>
      <w:r w:rsidRPr="00697756">
        <w:t>” or “97-05R.”</w:t>
      </w:r>
    </w:p>
    <w:p w14:paraId="7EB6ECA7" w14:textId="036974CC" w:rsidR="004C4365" w:rsidRPr="00E303DC" w:rsidRDefault="006B014D" w:rsidP="00D2170D">
      <w:pPr>
        <w:rPr>
          <w:rFonts w:eastAsia="Calibri"/>
          <w:b/>
          <w:szCs w:val="20"/>
        </w:rPr>
      </w:pPr>
      <w:r>
        <w:rPr>
          <w:rFonts w:eastAsia="Calibri"/>
          <w:b/>
          <w:szCs w:val="20"/>
        </w:rPr>
        <w:br w:type="page"/>
      </w:r>
    </w:p>
    <w:bookmarkEnd w:id="19"/>
    <w:p w14:paraId="59E63BD8" w14:textId="00D6E41E" w:rsidR="004C4365" w:rsidRPr="00932A6C" w:rsidRDefault="004C4365" w:rsidP="00932A6C">
      <w:pPr>
        <w:pStyle w:val="APDStrong"/>
      </w:pPr>
      <w:r w:rsidRPr="00932A6C">
        <w:lastRenderedPageBreak/>
        <w:t>PM Commercial Demonstration Permit:</w:t>
      </w:r>
    </w:p>
    <w:p w14:paraId="7092BB03" w14:textId="231A1FD9" w:rsidR="004C4365" w:rsidRDefault="004C4365" w:rsidP="004B2A60">
      <w:pPr>
        <w:pStyle w:val="APDBodyText"/>
      </w:pPr>
      <w:r w:rsidRPr="004B2A60">
        <w:t>Select one of the following exemptions to the particulate matter emission limits.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 and Descriptions"/>
      </w:tblPr>
      <w:tblGrid>
        <w:gridCol w:w="1530"/>
        <w:gridCol w:w="8550"/>
      </w:tblGrid>
      <w:tr w:rsidR="00C64961" w14:paraId="20C5C480" w14:textId="77777777" w:rsidTr="00B26AFF">
        <w:trPr>
          <w:cantSplit/>
          <w:tblHeader/>
        </w:trPr>
        <w:tc>
          <w:tcPr>
            <w:tcW w:w="1530" w:type="dxa"/>
          </w:tcPr>
          <w:p w14:paraId="7F1A6F5F" w14:textId="68C1CDC9" w:rsidR="00C64961" w:rsidRPr="00C64961" w:rsidRDefault="00C64961" w:rsidP="00C64961">
            <w:pPr>
              <w:rPr>
                <w:b/>
                <w:bCs/>
              </w:rPr>
            </w:pPr>
            <w:r w:rsidRPr="00C64961">
              <w:rPr>
                <w:b/>
                <w:bCs/>
              </w:rPr>
              <w:t>Code</w:t>
            </w:r>
          </w:p>
        </w:tc>
        <w:tc>
          <w:tcPr>
            <w:tcW w:w="8550" w:type="dxa"/>
          </w:tcPr>
          <w:p w14:paraId="342F9722" w14:textId="6E008556" w:rsidR="00C64961" w:rsidRPr="00C64961" w:rsidRDefault="00C64961" w:rsidP="00C64961">
            <w:pPr>
              <w:rPr>
                <w:b/>
                <w:bCs/>
              </w:rPr>
            </w:pPr>
            <w:r w:rsidRPr="00C64961">
              <w:rPr>
                <w:b/>
                <w:bCs/>
              </w:rPr>
              <w:t>Description</w:t>
            </w:r>
          </w:p>
        </w:tc>
      </w:tr>
      <w:tr w:rsidR="00C64961" w14:paraId="6F272E09" w14:textId="77777777" w:rsidTr="00B26AFF">
        <w:trPr>
          <w:cantSplit/>
          <w:tblHeader/>
        </w:trPr>
        <w:tc>
          <w:tcPr>
            <w:tcW w:w="1530" w:type="dxa"/>
          </w:tcPr>
          <w:p w14:paraId="5E103179" w14:textId="250834F9" w:rsidR="00C64961" w:rsidRDefault="00C64961" w:rsidP="00C64961">
            <w:r w:rsidRPr="00685DBE">
              <w:t>CDP</w:t>
            </w:r>
          </w:p>
        </w:tc>
        <w:tc>
          <w:tcPr>
            <w:tcW w:w="8550" w:type="dxa"/>
          </w:tcPr>
          <w:p w14:paraId="2E46DA08" w14:textId="46E4EA55" w:rsidR="00C64961" w:rsidRDefault="00C64961" w:rsidP="00C64961">
            <w:r w:rsidRPr="00685DBE">
              <w:t>The facility is operating under a PM commercial demonstration permit issued by the Administrator according to the provisions of § 60.47Da</w:t>
            </w:r>
          </w:p>
        </w:tc>
      </w:tr>
      <w:tr w:rsidR="00C64961" w14:paraId="76ECAFFB" w14:textId="77777777" w:rsidTr="00B26AFF">
        <w:trPr>
          <w:cantSplit/>
          <w:tblHeader/>
        </w:trPr>
        <w:tc>
          <w:tcPr>
            <w:tcW w:w="1530" w:type="dxa"/>
          </w:tcPr>
          <w:p w14:paraId="4D1DF3E6" w14:textId="56FE895B" w:rsidR="00C64961" w:rsidRDefault="00C64961" w:rsidP="00C64961">
            <w:r w:rsidRPr="00685DBE">
              <w:t>EXEMPTF1</w:t>
            </w:r>
          </w:p>
        </w:tc>
        <w:tc>
          <w:tcPr>
            <w:tcW w:w="8550" w:type="dxa"/>
          </w:tcPr>
          <w:p w14:paraId="1122964D" w14:textId="7DE85706" w:rsidR="00C64961" w:rsidRDefault="00C64961" w:rsidP="00C64961">
            <w:r w:rsidRPr="00685DBE">
              <w:t>Affected facility meets the exemption in 60.42Da(f)(1)</w:t>
            </w:r>
          </w:p>
        </w:tc>
      </w:tr>
      <w:tr w:rsidR="00C64961" w14:paraId="066EADC6" w14:textId="77777777" w:rsidTr="00B26AFF">
        <w:trPr>
          <w:cantSplit/>
          <w:tblHeader/>
        </w:trPr>
        <w:tc>
          <w:tcPr>
            <w:tcW w:w="1530" w:type="dxa"/>
          </w:tcPr>
          <w:p w14:paraId="7128303C" w14:textId="555F81C1" w:rsidR="00C64961" w:rsidRDefault="00C64961" w:rsidP="00C64961">
            <w:r w:rsidRPr="00685DBE">
              <w:t>NONE</w:t>
            </w:r>
          </w:p>
        </w:tc>
        <w:tc>
          <w:tcPr>
            <w:tcW w:w="8550" w:type="dxa"/>
          </w:tcPr>
          <w:p w14:paraId="2DCF57F9" w14:textId="4C01BDA0" w:rsidR="00C64961" w:rsidRDefault="00C64961" w:rsidP="00C64961">
            <w:r w:rsidRPr="00685DBE">
              <w:t>The facility does not meet the PM exemptions in § 60.42Da(f)(1) or (2)</w:t>
            </w:r>
          </w:p>
        </w:tc>
      </w:tr>
    </w:tbl>
    <w:p w14:paraId="5E166FF6" w14:textId="3FB2B39A" w:rsidR="00F861CF" w:rsidRPr="0013410E" w:rsidRDefault="00F861CF" w:rsidP="00390EE3">
      <w:pPr>
        <w:pStyle w:val="APDCompleteStar"/>
      </w:pPr>
      <w:r w:rsidRPr="0013410E">
        <w:t>Complete “PM Standard</w:t>
      </w:r>
      <w:r w:rsidR="00F21D0F" w:rsidRPr="0013410E">
        <w:t xml:space="preserve"> Basis</w:t>
      </w:r>
      <w:r w:rsidRPr="0013410E">
        <w:t xml:space="preserve">” only if </w:t>
      </w:r>
      <w:r w:rsidR="00F21D0F" w:rsidRPr="0013410E">
        <w:t xml:space="preserve">“PM Commercial Demonstration Permit” is “NONE” and </w:t>
      </w:r>
      <w:r w:rsidRPr="0013410E">
        <w:t xml:space="preserve">“Construction/Modification Date” is </w:t>
      </w:r>
      <w:r w:rsidR="00F21D0F" w:rsidRPr="0013410E">
        <w:t>“05-11C,” “05-11R,” “05-11M,” “11+M,” “11+C,’ or “11+R.”</w:t>
      </w:r>
    </w:p>
    <w:p w14:paraId="1DD21F0A" w14:textId="1DB4845A" w:rsidR="00344D32" w:rsidRPr="00932A6C" w:rsidRDefault="00344D32" w:rsidP="00932A6C">
      <w:pPr>
        <w:pStyle w:val="APDStrong"/>
      </w:pPr>
      <w:r w:rsidRPr="00932A6C">
        <w:t>PM Standard</w:t>
      </w:r>
      <w:r w:rsidR="00F21D0F" w:rsidRPr="00932A6C">
        <w:t xml:space="preserve"> Basis</w:t>
      </w:r>
      <w:r w:rsidRPr="00932A6C">
        <w:t>:</w:t>
      </w:r>
    </w:p>
    <w:p w14:paraId="20FD80FA" w14:textId="51F76BB9" w:rsidR="00344D32" w:rsidRPr="004B2A60" w:rsidRDefault="00344D32" w:rsidP="004B2A60">
      <w:pPr>
        <w:pStyle w:val="APDBodyText"/>
      </w:pPr>
      <w:r w:rsidRPr="004B2A60">
        <w:t>Select one of the following PM standards. Enter the code on the form.</w:t>
      </w:r>
    </w:p>
    <w:p w14:paraId="1BEC6E9A" w14:textId="1F525707" w:rsidR="00F21D0F" w:rsidRDefault="00F21D0F" w:rsidP="00FB27CB">
      <w:pPr>
        <w:pStyle w:val="APDCodeIdentifiers"/>
        <w:rPr>
          <w:szCs w:val="20"/>
        </w:rPr>
      </w:pPr>
      <w:r>
        <w:t xml:space="preserve">For facilities with “Construction/Modification Date” of </w:t>
      </w:r>
      <w:r w:rsidRPr="00412F2C">
        <w:t>“</w:t>
      </w:r>
      <w:r w:rsidRPr="00412F2C">
        <w:rPr>
          <w:szCs w:val="20"/>
        </w:rPr>
        <w:t>05-11C,” “05-11R,” “05-11M,”</w:t>
      </w:r>
      <w:r>
        <w:rPr>
          <w:szCs w:val="20"/>
        </w:rPr>
        <w:t xml:space="preserve"> or</w:t>
      </w:r>
      <w:r w:rsidRPr="00412F2C">
        <w:rPr>
          <w:szCs w:val="20"/>
        </w:rPr>
        <w:t xml:space="preserve"> “11+M”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 and Description"/>
      </w:tblPr>
      <w:tblGrid>
        <w:gridCol w:w="1530"/>
        <w:gridCol w:w="8550"/>
      </w:tblGrid>
      <w:tr w:rsidR="00F0329D" w14:paraId="44BA2A84" w14:textId="77777777" w:rsidTr="00F0329D">
        <w:trPr>
          <w:cantSplit/>
          <w:tblHeader/>
        </w:trPr>
        <w:tc>
          <w:tcPr>
            <w:tcW w:w="1530" w:type="dxa"/>
          </w:tcPr>
          <w:p w14:paraId="793C6392" w14:textId="3802B114" w:rsidR="00F0329D" w:rsidRPr="00F0329D" w:rsidRDefault="00F0329D" w:rsidP="00F0329D">
            <w:pPr>
              <w:rPr>
                <w:b/>
                <w:bCs/>
              </w:rPr>
            </w:pPr>
            <w:r w:rsidRPr="00F0329D">
              <w:rPr>
                <w:b/>
                <w:bCs/>
              </w:rPr>
              <w:t>Code</w:t>
            </w:r>
          </w:p>
        </w:tc>
        <w:tc>
          <w:tcPr>
            <w:tcW w:w="8550" w:type="dxa"/>
          </w:tcPr>
          <w:p w14:paraId="1CC4CB5B" w14:textId="5A503098" w:rsidR="00F0329D" w:rsidRPr="00F0329D" w:rsidRDefault="00F0329D" w:rsidP="00F0329D">
            <w:pPr>
              <w:rPr>
                <w:b/>
                <w:bCs/>
              </w:rPr>
            </w:pPr>
            <w:r w:rsidRPr="00F0329D">
              <w:rPr>
                <w:b/>
                <w:bCs/>
              </w:rPr>
              <w:t>Description</w:t>
            </w:r>
          </w:p>
        </w:tc>
      </w:tr>
      <w:tr w:rsidR="00F0329D" w14:paraId="5605680D" w14:textId="77777777" w:rsidTr="00F0329D">
        <w:trPr>
          <w:cantSplit/>
          <w:tblHeader/>
        </w:trPr>
        <w:tc>
          <w:tcPr>
            <w:tcW w:w="1530" w:type="dxa"/>
          </w:tcPr>
          <w:p w14:paraId="34FDD63B" w14:textId="51651960" w:rsidR="00F0329D" w:rsidRDefault="00F0329D" w:rsidP="00F0329D">
            <w:r w:rsidRPr="00DE7710">
              <w:t>ALT-D</w:t>
            </w:r>
          </w:p>
        </w:tc>
        <w:tc>
          <w:tcPr>
            <w:tcW w:w="8550" w:type="dxa"/>
          </w:tcPr>
          <w:p w14:paraId="09106BD4" w14:textId="2E8B4FC4" w:rsidR="00F0329D" w:rsidRDefault="00F0329D" w:rsidP="00F0329D">
            <w:r w:rsidRPr="00DE7710">
              <w:t>§ 60.42Da(d) alternative to § 60.42Da(c)(1) or (2)</w:t>
            </w:r>
          </w:p>
        </w:tc>
      </w:tr>
      <w:tr w:rsidR="00F0329D" w14:paraId="0E5D9DE0" w14:textId="77777777" w:rsidTr="00F0329D">
        <w:trPr>
          <w:cantSplit/>
          <w:tblHeader/>
        </w:trPr>
        <w:tc>
          <w:tcPr>
            <w:tcW w:w="1530" w:type="dxa"/>
          </w:tcPr>
          <w:p w14:paraId="287591DE" w14:textId="317FEE84" w:rsidR="00F0329D" w:rsidRDefault="00F0329D" w:rsidP="00F0329D">
            <w:r w:rsidRPr="00DE7710">
              <w:t>PMGEO</w:t>
            </w:r>
          </w:p>
        </w:tc>
        <w:tc>
          <w:tcPr>
            <w:tcW w:w="8550" w:type="dxa"/>
          </w:tcPr>
          <w:p w14:paraId="4169AEA4" w14:textId="13EE0F67" w:rsidR="00F0329D" w:rsidRDefault="00F0329D" w:rsidP="00F0329D">
            <w:r w:rsidRPr="00DE7710">
              <w:t>Gross energy based output standard</w:t>
            </w:r>
          </w:p>
        </w:tc>
      </w:tr>
      <w:tr w:rsidR="00F0329D" w14:paraId="06CED5B0" w14:textId="77777777" w:rsidTr="00F0329D">
        <w:trPr>
          <w:cantSplit/>
          <w:tblHeader/>
        </w:trPr>
        <w:tc>
          <w:tcPr>
            <w:tcW w:w="1530" w:type="dxa"/>
          </w:tcPr>
          <w:p w14:paraId="387E5B1D" w14:textId="2ED1A6E7" w:rsidR="00F0329D" w:rsidRDefault="00F0329D" w:rsidP="00F0329D">
            <w:r w:rsidRPr="00DE7710">
              <w:t>PMHIN</w:t>
            </w:r>
          </w:p>
        </w:tc>
        <w:tc>
          <w:tcPr>
            <w:tcW w:w="8550" w:type="dxa"/>
          </w:tcPr>
          <w:p w14:paraId="627A3EFA" w14:textId="3BFCC682" w:rsidR="00F0329D" w:rsidRDefault="00F0329D" w:rsidP="00F0329D">
            <w:r w:rsidRPr="00DE7710">
              <w:t>Heat input-based standard</w:t>
            </w:r>
          </w:p>
        </w:tc>
      </w:tr>
    </w:tbl>
    <w:p w14:paraId="7610AE5C" w14:textId="2DF0B25B" w:rsidR="00F21D0F" w:rsidRDefault="00F21D0F" w:rsidP="001A58EE">
      <w:pPr>
        <w:pStyle w:val="APDCodeIdentifiers"/>
        <w:spacing w:before="120"/>
        <w:rPr>
          <w:szCs w:val="20"/>
        </w:rPr>
      </w:pPr>
      <w:r>
        <w:t xml:space="preserve">For facilities with “Construction/Modification Date” of </w:t>
      </w:r>
      <w:r w:rsidRPr="00412F2C">
        <w:rPr>
          <w:szCs w:val="20"/>
        </w:rPr>
        <w:t>“11+</w:t>
      </w:r>
      <w:r>
        <w:rPr>
          <w:szCs w:val="20"/>
        </w:rPr>
        <w:t>C</w:t>
      </w:r>
      <w:r w:rsidRPr="00412F2C">
        <w:rPr>
          <w:szCs w:val="20"/>
        </w:rPr>
        <w:t>”</w:t>
      </w:r>
      <w:r>
        <w:rPr>
          <w:szCs w:val="20"/>
        </w:rPr>
        <w:t xml:space="preserve"> or “11+R”</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20"/>
        <w:gridCol w:w="8560"/>
      </w:tblGrid>
      <w:tr w:rsidR="009E731A" w14:paraId="6DC126CE" w14:textId="77777777" w:rsidTr="009E731A">
        <w:tc>
          <w:tcPr>
            <w:tcW w:w="1620" w:type="dxa"/>
          </w:tcPr>
          <w:p w14:paraId="65C99A56" w14:textId="26C812D3" w:rsidR="009E731A" w:rsidRPr="009E731A" w:rsidRDefault="009E731A" w:rsidP="009E731A">
            <w:pPr>
              <w:rPr>
                <w:b/>
                <w:bCs/>
              </w:rPr>
            </w:pPr>
            <w:r w:rsidRPr="009E731A">
              <w:rPr>
                <w:b/>
                <w:bCs/>
              </w:rPr>
              <w:t>Code</w:t>
            </w:r>
          </w:p>
        </w:tc>
        <w:tc>
          <w:tcPr>
            <w:tcW w:w="9170" w:type="dxa"/>
          </w:tcPr>
          <w:p w14:paraId="0232B11C" w14:textId="64870317" w:rsidR="009E731A" w:rsidRPr="009E731A" w:rsidRDefault="009E731A" w:rsidP="009E731A">
            <w:pPr>
              <w:rPr>
                <w:b/>
                <w:bCs/>
              </w:rPr>
            </w:pPr>
            <w:r w:rsidRPr="009E731A">
              <w:rPr>
                <w:b/>
                <w:bCs/>
              </w:rPr>
              <w:t>Description</w:t>
            </w:r>
          </w:p>
        </w:tc>
      </w:tr>
      <w:tr w:rsidR="009E731A" w14:paraId="6BB2C0F8" w14:textId="77777777" w:rsidTr="009E731A">
        <w:tc>
          <w:tcPr>
            <w:tcW w:w="1620" w:type="dxa"/>
          </w:tcPr>
          <w:p w14:paraId="25FAB06A" w14:textId="2A8E6C6A" w:rsidR="009E731A" w:rsidRDefault="009E731A" w:rsidP="009E731A">
            <w:r w:rsidRPr="00BC1336">
              <w:t>PMGEO</w:t>
            </w:r>
          </w:p>
        </w:tc>
        <w:tc>
          <w:tcPr>
            <w:tcW w:w="9170" w:type="dxa"/>
          </w:tcPr>
          <w:p w14:paraId="1D4E9B91" w14:textId="34E1D6EE" w:rsidR="009E731A" w:rsidRDefault="009E731A" w:rsidP="009E731A">
            <w:r w:rsidRPr="00BC1336">
              <w:t>Gross energy based output standard</w:t>
            </w:r>
          </w:p>
        </w:tc>
      </w:tr>
      <w:tr w:rsidR="009E731A" w14:paraId="77CD3F92" w14:textId="77777777" w:rsidTr="009E731A">
        <w:tc>
          <w:tcPr>
            <w:tcW w:w="1620" w:type="dxa"/>
          </w:tcPr>
          <w:p w14:paraId="43A1EC3F" w14:textId="56FF39AF" w:rsidR="009E731A" w:rsidRDefault="009E731A" w:rsidP="009E731A">
            <w:r w:rsidRPr="00BC1336">
              <w:t>PMNEO</w:t>
            </w:r>
          </w:p>
        </w:tc>
        <w:tc>
          <w:tcPr>
            <w:tcW w:w="9170" w:type="dxa"/>
          </w:tcPr>
          <w:p w14:paraId="35F0F3FF" w14:textId="1854C485" w:rsidR="009E731A" w:rsidRDefault="009E731A" w:rsidP="009E731A">
            <w:r w:rsidRPr="00BC1336">
              <w:t>Net energy based output standard</w:t>
            </w:r>
          </w:p>
        </w:tc>
      </w:tr>
    </w:tbl>
    <w:p w14:paraId="6FB5A23A" w14:textId="77777777" w:rsidR="00F861CF" w:rsidRPr="00EF0801" w:rsidRDefault="00F861CF" w:rsidP="00E224A2">
      <w:pPr>
        <w:widowControl w:val="0"/>
        <w:pBdr>
          <w:bottom w:val="double" w:sz="6" w:space="1" w:color="auto"/>
        </w:pBdr>
      </w:pPr>
    </w:p>
    <w:p w14:paraId="261D9145" w14:textId="28FFA1D6" w:rsidR="00F861CF" w:rsidRPr="0032001D" w:rsidRDefault="00F861CF" w:rsidP="00256939">
      <w:pPr>
        <w:pStyle w:val="APDChapterTitles"/>
        <w:rPr>
          <w:rStyle w:val="APDTableChapterChar"/>
          <w:rFonts w:eastAsia="Calibri"/>
          <w:b/>
          <w:bCs w:val="0"/>
        </w:rPr>
      </w:pPr>
      <w:hyperlink w:anchor="TBL_2b" w:tooltip="Table 2b" w:history="1">
        <w:bookmarkStart w:id="22" w:name="_Toc180398491"/>
        <w:bookmarkStart w:id="23" w:name="_Toc180398545"/>
        <w:r w:rsidRPr="008C1590">
          <w:rPr>
            <w:rStyle w:val="Hyperlink"/>
            <w:rFonts w:eastAsia="Calibri"/>
            <w:b/>
            <w:bCs w:val="0"/>
          </w:rPr>
          <w:t>Table 2b</w:t>
        </w:r>
      </w:hyperlink>
      <w:r w:rsidRPr="008C1590">
        <w:rPr>
          <w:rStyle w:val="Hyperlink"/>
          <w:rFonts w:eastAsia="Calibri"/>
          <w:b/>
          <w:bCs w:val="0"/>
        </w:rPr>
        <w:t>:</w:t>
      </w:r>
      <w:r w:rsidRPr="00EF0801">
        <w:rPr>
          <w:rFonts w:eastAsia="Calibri"/>
          <w:szCs w:val="20"/>
        </w:rPr>
        <w:tab/>
      </w:r>
      <w:r w:rsidRPr="0032001D">
        <w:rPr>
          <w:rStyle w:val="APDTableChapterChar"/>
          <w:rFonts w:eastAsia="Calibri"/>
          <w:b/>
        </w:rPr>
        <w:t>Title 40 Code of Federal Regulations Part 60 (40 CFR Part 60)</w:t>
      </w:r>
      <w:r w:rsidR="00AF1FBA" w:rsidRPr="0032001D">
        <w:rPr>
          <w:rStyle w:val="APDTableChapterChar"/>
          <w:rFonts w:eastAsia="Calibri"/>
          <w:b/>
        </w:rPr>
        <w:t xml:space="preserve">, </w:t>
      </w:r>
      <w:r w:rsidRPr="0032001D">
        <w:rPr>
          <w:rStyle w:val="APDTableChapterChar"/>
          <w:rFonts w:eastAsia="Calibri"/>
          <w:b/>
        </w:rPr>
        <w:t>Subpart Da: Standards of Performance for Electric Utility Steam Generating Units</w:t>
      </w:r>
      <w:bookmarkEnd w:id="22"/>
      <w:bookmarkEnd w:id="23"/>
    </w:p>
    <w:p w14:paraId="575AC3D4" w14:textId="14E16095" w:rsidR="00F861CF" w:rsidRPr="00932A6C" w:rsidRDefault="00F861CF" w:rsidP="00932A6C">
      <w:pPr>
        <w:pStyle w:val="APDStrong"/>
      </w:pPr>
      <w:r w:rsidRPr="00932A6C">
        <w:t xml:space="preserve">Unit ID </w:t>
      </w:r>
      <w:r w:rsidR="00B42127">
        <w:t>No</w:t>
      </w:r>
      <w:r w:rsidRPr="00932A6C">
        <w:t>.:</w:t>
      </w:r>
    </w:p>
    <w:p w14:paraId="50178BF5" w14:textId="55778D7A" w:rsidR="00F861CF" w:rsidRPr="004B2A60" w:rsidRDefault="00F861CF" w:rsidP="004B2A60">
      <w:pPr>
        <w:pStyle w:val="APDBodyText"/>
      </w:pPr>
      <w:r w:rsidRPr="004B2A60">
        <w:t xml:space="preserve">Enter the identification number (ID </w:t>
      </w:r>
      <w:r w:rsidR="00B42127">
        <w:t>N</w:t>
      </w:r>
      <w:r w:rsidR="005667BA">
        <w:t>o</w:t>
      </w:r>
      <w:r w:rsidRPr="004B2A60">
        <w:t>.) for the unit (maximum 10 characters) as li</w:t>
      </w:r>
      <w:r w:rsidR="002344D7" w:rsidRPr="004B2A60">
        <w:t>sted on Form OP</w:t>
      </w:r>
      <w:r w:rsidR="002344D7" w:rsidRPr="004B2A60">
        <w:noBreakHyphen/>
        <w:t xml:space="preserve">SUM (Individual </w:t>
      </w:r>
      <w:r w:rsidRPr="004B2A60">
        <w:t>Unit Summary).</w:t>
      </w:r>
    </w:p>
    <w:p w14:paraId="32611E15" w14:textId="138AEDAC" w:rsidR="00F861CF" w:rsidRPr="00932A6C" w:rsidRDefault="00F861CF" w:rsidP="00932A6C">
      <w:pPr>
        <w:pStyle w:val="APDStrong"/>
      </w:pPr>
      <w:r w:rsidRPr="00932A6C">
        <w:t xml:space="preserve">SOP Index </w:t>
      </w:r>
      <w:r w:rsidR="00B42127">
        <w:t>No</w:t>
      </w:r>
      <w:r w:rsidRPr="00932A6C">
        <w:t>.:</w:t>
      </w:r>
    </w:p>
    <w:p w14:paraId="1CD38AB8" w14:textId="2EC71AEE" w:rsidR="00584E6D" w:rsidRPr="00EF0801" w:rsidRDefault="00F861CF" w:rsidP="004B2A60">
      <w:pPr>
        <w:pStyle w:val="APDBodyText"/>
      </w:pPr>
      <w:r w:rsidRPr="004B2A60">
        <w:t xml:space="preserve">Site operating permit (SOP) applicants should indicate the SOP index number for the </w:t>
      </w:r>
      <w:r w:rsidR="002344D7" w:rsidRPr="004B2A60">
        <w:t>unit or group of units (maximum</w:t>
      </w:r>
      <w:r w:rsidR="00B6557C" w:rsidRPr="004B2A60">
        <w:t> </w:t>
      </w:r>
      <w:r w:rsidR="002344D7" w:rsidRPr="004B2A60">
        <w:t>15</w:t>
      </w:r>
      <w:r w:rsidR="00B6557C" w:rsidRPr="004B2A60">
        <w:t> </w:t>
      </w:r>
      <w:r w:rsidRPr="004B2A60">
        <w:t xml:space="preserve">characters consisting of numeric, alphanumeric characters, and/or dashes prefixed by a code for the applicable regulation [i.e., 60KB-XXXX]). For additional information relating to SOP index numbers, </w:t>
      </w:r>
      <w:r w:rsidR="00584E6D" w:rsidRPr="004B2A60">
        <w:t>please see the Completing FOP Applications – Additional Guidance on the TCEQ website at</w:t>
      </w:r>
      <w:r w:rsidR="00584E6D" w:rsidRPr="00EF0801">
        <w:t xml:space="preserve"> </w:t>
      </w:r>
      <w:hyperlink r:id="rId17" w:tooltip="TCEQ - Completing FOP Applications - Additional Guidancee" w:history="1">
        <w:r w:rsidR="00584E6D" w:rsidRPr="00885E28">
          <w:rPr>
            <w:rStyle w:val="Hyperlink"/>
          </w:rPr>
          <w:t>www.tceq.texas.gov/permitting/air/guidance/titlev/tv_fop_guidance.html</w:t>
        </w:r>
      </w:hyperlink>
      <w:r w:rsidR="00584E6D" w:rsidRPr="00EF0801">
        <w:t>.</w:t>
      </w:r>
    </w:p>
    <w:p w14:paraId="025B646D" w14:textId="77777777" w:rsidR="00EF1C01" w:rsidRDefault="00F861CF" w:rsidP="00390EE3">
      <w:pPr>
        <w:pStyle w:val="APDCompleteStar"/>
        <w:sectPr w:rsidR="00EF1C01" w:rsidSect="0031268E">
          <w:pgSz w:w="12240" w:h="15840" w:code="1"/>
          <w:pgMar w:top="720" w:right="720" w:bottom="720" w:left="720" w:header="720" w:footer="720" w:gutter="0"/>
          <w:cols w:space="720"/>
          <w:titlePg/>
          <w:docGrid w:linePitch="360"/>
        </w:sectPr>
      </w:pPr>
      <w:r w:rsidRPr="00FB27CB">
        <w:t>Complete “NOx Standard” only if “Combined Cycle Type” is “IGCC.”</w:t>
      </w:r>
    </w:p>
    <w:p w14:paraId="481ED158" w14:textId="77777777" w:rsidR="00F861CF" w:rsidRPr="00932A6C" w:rsidRDefault="00F861CF" w:rsidP="00932A6C">
      <w:pPr>
        <w:pStyle w:val="APDStrong"/>
      </w:pPr>
      <w:r w:rsidRPr="00932A6C">
        <w:lastRenderedPageBreak/>
        <w:t>NOx IGCC Standard:</w:t>
      </w:r>
    </w:p>
    <w:p w14:paraId="6151FE4D" w14:textId="77777777" w:rsidR="00F861CF" w:rsidRDefault="00F861CF" w:rsidP="004B2A60">
      <w:pPr>
        <w:pStyle w:val="APDBodyText"/>
      </w:pPr>
      <w:r w:rsidRPr="004B2A60">
        <w:t>Select one of the following options for NOx Standard applicable to the IGCC.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432303" w14:paraId="1F6AADE5" w14:textId="77777777" w:rsidTr="00432303">
        <w:trPr>
          <w:cantSplit/>
          <w:tblHeader/>
        </w:trPr>
        <w:tc>
          <w:tcPr>
            <w:tcW w:w="1530" w:type="dxa"/>
          </w:tcPr>
          <w:p w14:paraId="3B211C70" w14:textId="7DCE5B2E" w:rsidR="00432303" w:rsidRDefault="00432303" w:rsidP="00432303">
            <w:r w:rsidRPr="00456FC0">
              <w:t>Code</w:t>
            </w:r>
          </w:p>
        </w:tc>
        <w:tc>
          <w:tcPr>
            <w:tcW w:w="8550" w:type="dxa"/>
          </w:tcPr>
          <w:p w14:paraId="004CDA98" w14:textId="708CF915" w:rsidR="00432303" w:rsidRDefault="00432303" w:rsidP="00432303">
            <w:r w:rsidRPr="00456FC0">
              <w:t>Description</w:t>
            </w:r>
          </w:p>
        </w:tc>
      </w:tr>
      <w:tr w:rsidR="00432303" w14:paraId="2FD0957E" w14:textId="77777777" w:rsidTr="00432303">
        <w:trPr>
          <w:cantSplit/>
          <w:tblHeader/>
        </w:trPr>
        <w:tc>
          <w:tcPr>
            <w:tcW w:w="1530" w:type="dxa"/>
          </w:tcPr>
          <w:p w14:paraId="5A9DF844" w14:textId="6B3C80C1" w:rsidR="00432303" w:rsidRDefault="00432303" w:rsidP="00432303">
            <w:r w:rsidRPr="00456FC0">
              <w:t>LIQ+50</w:t>
            </w:r>
          </w:p>
        </w:tc>
        <w:tc>
          <w:tcPr>
            <w:tcW w:w="8550" w:type="dxa"/>
          </w:tcPr>
          <w:p w14:paraId="794A3B44" w14:textId="0B245C22" w:rsidR="00432303" w:rsidRDefault="00432303" w:rsidP="00432303">
            <w:r w:rsidRPr="00456FC0">
              <w:t>The facility burns liquid fuel exclusively or in combination with solid-derived fuel such that liquid fuel contributes 50% or more of the total heat input</w:t>
            </w:r>
          </w:p>
        </w:tc>
      </w:tr>
      <w:tr w:rsidR="00432303" w14:paraId="23F60F19" w14:textId="77777777" w:rsidTr="00432303">
        <w:trPr>
          <w:cantSplit/>
          <w:tblHeader/>
        </w:trPr>
        <w:tc>
          <w:tcPr>
            <w:tcW w:w="1530" w:type="dxa"/>
          </w:tcPr>
          <w:p w14:paraId="7003CAED" w14:textId="0CEF4D1C" w:rsidR="00432303" w:rsidRDefault="00432303" w:rsidP="00432303">
            <w:r w:rsidRPr="00456FC0">
              <w:t>LIQVAR</w:t>
            </w:r>
          </w:p>
        </w:tc>
        <w:tc>
          <w:tcPr>
            <w:tcW w:w="8550" w:type="dxa"/>
          </w:tcPr>
          <w:p w14:paraId="5C8CE33A" w14:textId="536DECF5" w:rsidR="00432303" w:rsidRDefault="00432303" w:rsidP="00432303">
            <w:r w:rsidRPr="00456FC0">
              <w:t>The facility, during a 30-day rolling average compliance period, burns liquid fuel in combination with solid-derived fuel such the liquid fuel contributes 50% or more of the total heat input for only a portion of the clock hours in the 30-day period</w:t>
            </w:r>
          </w:p>
        </w:tc>
      </w:tr>
      <w:tr w:rsidR="00432303" w14:paraId="7EFB70D6" w14:textId="77777777" w:rsidTr="00432303">
        <w:trPr>
          <w:cantSplit/>
          <w:tblHeader/>
        </w:trPr>
        <w:tc>
          <w:tcPr>
            <w:tcW w:w="1530" w:type="dxa"/>
          </w:tcPr>
          <w:p w14:paraId="31AE028E" w14:textId="3B285F47" w:rsidR="00432303" w:rsidRDefault="00432303" w:rsidP="00432303">
            <w:r w:rsidRPr="00456FC0">
              <w:t>LIQ-50</w:t>
            </w:r>
          </w:p>
        </w:tc>
        <w:tc>
          <w:tcPr>
            <w:tcW w:w="8550" w:type="dxa"/>
          </w:tcPr>
          <w:p w14:paraId="7BA4DE92" w14:textId="16DBEC54" w:rsidR="00432303" w:rsidRDefault="00432303" w:rsidP="00432303">
            <w:r w:rsidRPr="00456FC0">
              <w:t>Neither of the above (liquid fuel is less than 50% of the total heat input)</w:t>
            </w:r>
          </w:p>
        </w:tc>
      </w:tr>
    </w:tbl>
    <w:p w14:paraId="5C805D74" w14:textId="4D5CF5D6" w:rsidR="006B014D" w:rsidRPr="00FB27CB" w:rsidRDefault="00631D52" w:rsidP="00ED45F4">
      <w:pPr>
        <w:pStyle w:val="APDCompleteStar"/>
      </w:pPr>
      <w:r>
        <w:t>C</w:t>
      </w:r>
      <w:r w:rsidR="00A6517A" w:rsidRPr="00FB27CB">
        <w:t xml:space="preserve">omplete </w:t>
      </w:r>
      <w:r w:rsidR="00C90D82" w:rsidRPr="00FB27CB">
        <w:t xml:space="preserve">“MACT Applicability” </w:t>
      </w:r>
      <w:r w:rsidR="00A6517A" w:rsidRPr="00FB27CB">
        <w:t>only if “Construction/Modification Date” is “11+C,” “11+R,” or “11+M.”</w:t>
      </w:r>
    </w:p>
    <w:p w14:paraId="438E20EE" w14:textId="77777777" w:rsidR="00A6517A" w:rsidRPr="00932A6C" w:rsidRDefault="00A6517A" w:rsidP="00932A6C">
      <w:pPr>
        <w:pStyle w:val="APDStrong"/>
      </w:pPr>
      <w:r w:rsidRPr="00932A6C">
        <w:t>MACT Applicability:</w:t>
      </w:r>
    </w:p>
    <w:p w14:paraId="3E92129E" w14:textId="77777777" w:rsidR="00A6517A" w:rsidRDefault="00A6517A" w:rsidP="004B2A60">
      <w:pPr>
        <w:pStyle w:val="APDBodyText"/>
      </w:pPr>
      <w:r w:rsidRPr="004B2A60">
        <w:t>Select one of the following for options compliance with MACT work practice standards.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297C14" w14:paraId="5AE9CFC6" w14:textId="77777777" w:rsidTr="00297C14">
        <w:trPr>
          <w:cantSplit/>
          <w:tblHeader/>
        </w:trPr>
        <w:tc>
          <w:tcPr>
            <w:tcW w:w="1530" w:type="dxa"/>
          </w:tcPr>
          <w:p w14:paraId="07E8716B" w14:textId="0B54D36C" w:rsidR="00297C14" w:rsidRPr="00297C14" w:rsidRDefault="00297C14" w:rsidP="00297C14">
            <w:pPr>
              <w:rPr>
                <w:b/>
                <w:bCs/>
              </w:rPr>
            </w:pPr>
            <w:r w:rsidRPr="00297C14">
              <w:rPr>
                <w:b/>
                <w:bCs/>
              </w:rPr>
              <w:t>Code</w:t>
            </w:r>
          </w:p>
        </w:tc>
        <w:tc>
          <w:tcPr>
            <w:tcW w:w="8550" w:type="dxa"/>
          </w:tcPr>
          <w:p w14:paraId="7B53DA47" w14:textId="503F904E" w:rsidR="00297C14" w:rsidRPr="00297C14" w:rsidRDefault="00297C14" w:rsidP="00297C14">
            <w:pPr>
              <w:rPr>
                <w:b/>
                <w:bCs/>
              </w:rPr>
            </w:pPr>
            <w:r w:rsidRPr="00297C14">
              <w:rPr>
                <w:b/>
                <w:bCs/>
              </w:rPr>
              <w:t>Description</w:t>
            </w:r>
          </w:p>
        </w:tc>
      </w:tr>
      <w:tr w:rsidR="00297C14" w14:paraId="0F5CA0C1" w14:textId="77777777" w:rsidTr="00297C14">
        <w:trPr>
          <w:cantSplit/>
          <w:tblHeader/>
        </w:trPr>
        <w:tc>
          <w:tcPr>
            <w:tcW w:w="1530" w:type="dxa"/>
          </w:tcPr>
          <w:p w14:paraId="56D4D40B" w14:textId="318FD169" w:rsidR="00297C14" w:rsidRDefault="00297C14" w:rsidP="00297C14">
            <w:r w:rsidRPr="00AB6BA6">
              <w:t>63UUUUU</w:t>
            </w:r>
          </w:p>
        </w:tc>
        <w:tc>
          <w:tcPr>
            <w:tcW w:w="8550" w:type="dxa"/>
          </w:tcPr>
          <w:p w14:paraId="3DD7802A" w14:textId="75617126" w:rsidR="00297C14" w:rsidRDefault="00297C14" w:rsidP="00297C14">
            <w:r w:rsidRPr="00AB6BA6">
              <w:t>Unit is also subject to 40 CFR Part 63, Subpart UUUUU and complies with those work practice standards during startup/shutdown</w:t>
            </w:r>
          </w:p>
        </w:tc>
      </w:tr>
      <w:tr w:rsidR="00297C14" w14:paraId="0448D168" w14:textId="77777777" w:rsidTr="00297C14">
        <w:trPr>
          <w:cantSplit/>
          <w:tblHeader/>
        </w:trPr>
        <w:tc>
          <w:tcPr>
            <w:tcW w:w="1530" w:type="dxa"/>
          </w:tcPr>
          <w:p w14:paraId="6F8FC941" w14:textId="363EAE00" w:rsidR="00297C14" w:rsidRDefault="00297C14" w:rsidP="00297C14">
            <w:r w:rsidRPr="00AB6BA6">
              <w:t>63DDDDD</w:t>
            </w:r>
          </w:p>
        </w:tc>
        <w:tc>
          <w:tcPr>
            <w:tcW w:w="8550" w:type="dxa"/>
          </w:tcPr>
          <w:p w14:paraId="7A28A4D7" w14:textId="1DA5FEC2" w:rsidR="00297C14" w:rsidRDefault="00297C14" w:rsidP="00297C14">
            <w:r w:rsidRPr="00AB6BA6">
              <w:t>Unit is also subject to 40 CFR Part 63, Subpart DDDDD and complies with those work practice standards during startup/shutdown</w:t>
            </w:r>
          </w:p>
        </w:tc>
      </w:tr>
      <w:tr w:rsidR="00297C14" w14:paraId="32DFA8F9" w14:textId="77777777" w:rsidTr="00297C14">
        <w:trPr>
          <w:cantSplit/>
          <w:tblHeader/>
        </w:trPr>
        <w:tc>
          <w:tcPr>
            <w:tcW w:w="1530" w:type="dxa"/>
          </w:tcPr>
          <w:p w14:paraId="78963BA6" w14:textId="042B1A45" w:rsidR="00297C14" w:rsidRDefault="00297C14" w:rsidP="00297C14">
            <w:r w:rsidRPr="00AB6BA6">
              <w:t>NONE</w:t>
            </w:r>
          </w:p>
        </w:tc>
        <w:tc>
          <w:tcPr>
            <w:tcW w:w="8550" w:type="dxa"/>
          </w:tcPr>
          <w:p w14:paraId="367B4A56" w14:textId="049B689D" w:rsidR="00297C14" w:rsidRDefault="00297C14" w:rsidP="00297C14">
            <w:r w:rsidRPr="00AB6BA6">
              <w:t>Unit is not subject to 40 CFR Part 63, Subpart DDDDD or UUUUU</w:t>
            </w:r>
          </w:p>
        </w:tc>
      </w:tr>
    </w:tbl>
    <w:p w14:paraId="070261E9" w14:textId="36CC6402" w:rsidR="00F861CF" w:rsidRPr="00932A6C" w:rsidRDefault="00F861CF" w:rsidP="00CF1100">
      <w:pPr>
        <w:pStyle w:val="APDStrong"/>
        <w:spacing w:before="120"/>
      </w:pPr>
      <w:r w:rsidRPr="00932A6C">
        <w:t>Unit Type:</w:t>
      </w:r>
    </w:p>
    <w:p w14:paraId="0172D9B3" w14:textId="77777777" w:rsidR="00F861CF" w:rsidRDefault="00F861CF" w:rsidP="004B2A60">
      <w:pPr>
        <w:pStyle w:val="APDBodyText"/>
      </w:pPr>
      <w:r w:rsidRPr="004B2A60">
        <w:t>Select one of the following unit type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D7DAC" w14:paraId="1C092EC2" w14:textId="77777777" w:rsidTr="00BD7DAC">
        <w:trPr>
          <w:cantSplit/>
          <w:tblHeader/>
        </w:trPr>
        <w:tc>
          <w:tcPr>
            <w:tcW w:w="1530" w:type="dxa"/>
          </w:tcPr>
          <w:p w14:paraId="4A03BE8C" w14:textId="3ECA68A4" w:rsidR="00BD7DAC" w:rsidRPr="00BD7DAC" w:rsidRDefault="00BD7DAC" w:rsidP="00BD7DAC">
            <w:pPr>
              <w:rPr>
                <w:b/>
                <w:bCs/>
              </w:rPr>
            </w:pPr>
            <w:r w:rsidRPr="00BD7DAC">
              <w:rPr>
                <w:b/>
                <w:bCs/>
              </w:rPr>
              <w:t>Code</w:t>
            </w:r>
          </w:p>
        </w:tc>
        <w:tc>
          <w:tcPr>
            <w:tcW w:w="8550" w:type="dxa"/>
          </w:tcPr>
          <w:p w14:paraId="0CB1CCC4" w14:textId="761D3437" w:rsidR="00BD7DAC" w:rsidRPr="00BD7DAC" w:rsidRDefault="00BD7DAC" w:rsidP="00BD7DAC">
            <w:pPr>
              <w:rPr>
                <w:b/>
                <w:bCs/>
              </w:rPr>
            </w:pPr>
            <w:r w:rsidRPr="00BD7DAC">
              <w:rPr>
                <w:b/>
                <w:bCs/>
              </w:rPr>
              <w:t>Description</w:t>
            </w:r>
          </w:p>
        </w:tc>
      </w:tr>
      <w:tr w:rsidR="00BD7DAC" w14:paraId="33896534" w14:textId="77777777" w:rsidTr="00BD7DAC">
        <w:trPr>
          <w:cantSplit/>
          <w:tblHeader/>
        </w:trPr>
        <w:tc>
          <w:tcPr>
            <w:tcW w:w="1530" w:type="dxa"/>
          </w:tcPr>
          <w:p w14:paraId="27537AC1" w14:textId="59691D9C" w:rsidR="00BD7DAC" w:rsidRDefault="00BD7DAC" w:rsidP="00BD7DAC">
            <w:r w:rsidRPr="002B7E60">
              <w:t>RESREC</w:t>
            </w:r>
          </w:p>
        </w:tc>
        <w:tc>
          <w:tcPr>
            <w:tcW w:w="8550" w:type="dxa"/>
          </w:tcPr>
          <w:p w14:paraId="48991362" w14:textId="30A1DEC9" w:rsidR="00BD7DAC" w:rsidRDefault="00BD7DAC" w:rsidP="00BD7DAC">
            <w:r w:rsidRPr="002B7E60">
              <w:t>Resource recovery unit</w:t>
            </w:r>
          </w:p>
        </w:tc>
      </w:tr>
      <w:tr w:rsidR="00BD7DAC" w14:paraId="4220B764" w14:textId="77777777" w:rsidTr="00BD7DAC">
        <w:trPr>
          <w:cantSplit/>
          <w:tblHeader/>
        </w:trPr>
        <w:tc>
          <w:tcPr>
            <w:tcW w:w="1530" w:type="dxa"/>
          </w:tcPr>
          <w:p w14:paraId="38FC441F" w14:textId="4CEC9B30" w:rsidR="00BD7DAC" w:rsidRDefault="00BD7DAC" w:rsidP="00BD7DAC">
            <w:r w:rsidRPr="002B7E60">
              <w:t>OTHER</w:t>
            </w:r>
          </w:p>
        </w:tc>
        <w:tc>
          <w:tcPr>
            <w:tcW w:w="8550" w:type="dxa"/>
          </w:tcPr>
          <w:p w14:paraId="40CE36FF" w14:textId="2C0A55EF" w:rsidR="00BD7DAC" w:rsidRDefault="00BD7DAC" w:rsidP="00BD7DAC">
            <w:r w:rsidRPr="002B7E60">
              <w:t>Other unit type</w:t>
            </w:r>
          </w:p>
        </w:tc>
      </w:tr>
    </w:tbl>
    <w:p w14:paraId="646BEC24" w14:textId="77777777" w:rsidR="00F861CF" w:rsidRPr="00932A6C" w:rsidRDefault="00F861CF" w:rsidP="007E3160">
      <w:pPr>
        <w:pStyle w:val="APDStrong"/>
        <w:spacing w:before="120"/>
      </w:pPr>
      <w:r w:rsidRPr="00932A6C">
        <w:t>Monitoring Type:</w:t>
      </w:r>
    </w:p>
    <w:p w14:paraId="4E95CD85" w14:textId="03C3C1DE" w:rsidR="000676AB" w:rsidRDefault="00F861CF" w:rsidP="004B2A60">
      <w:pPr>
        <w:pStyle w:val="APDBodyText"/>
        <w:sectPr w:rsidR="000676AB" w:rsidSect="0031268E">
          <w:pgSz w:w="12240" w:h="15840" w:code="1"/>
          <w:pgMar w:top="720" w:right="720" w:bottom="720" w:left="720" w:header="720" w:footer="720" w:gutter="0"/>
          <w:cols w:space="720"/>
          <w:titlePg/>
          <w:docGrid w:linePitch="360"/>
        </w:sectPr>
      </w:pPr>
      <w:r w:rsidRPr="004B2A60">
        <w:t>Designate the monitoring option for each pollutant. Select only the type(s) of monitori</w:t>
      </w:r>
      <w:r w:rsidR="00654913" w:rsidRPr="004B2A60">
        <w:t>ng applicable under 40 </w:t>
      </w:r>
      <w:r w:rsidR="006117A9" w:rsidRPr="004B2A60">
        <w:t>CFR</w:t>
      </w:r>
      <w:r w:rsidR="00C94A6E">
        <w:t> </w:t>
      </w:r>
      <w:r w:rsidR="006117A9" w:rsidRPr="004B2A60">
        <w:t>Part</w:t>
      </w:r>
      <w:r w:rsidR="00AF233D" w:rsidRPr="004B2A60">
        <w:t> </w:t>
      </w:r>
      <w:r w:rsidRPr="004B2A60">
        <w:t>60, Subpart Da. If no monitoring is required for a specified pollutant, leave the column blank.</w:t>
      </w:r>
    </w:p>
    <w:p w14:paraId="44E50287" w14:textId="1F6B5197" w:rsidR="00F861CF" w:rsidRPr="00932A6C" w:rsidRDefault="00F861CF" w:rsidP="00932A6C">
      <w:pPr>
        <w:pStyle w:val="APDStrong"/>
      </w:pPr>
      <w:r w:rsidRPr="00932A6C">
        <w:lastRenderedPageBreak/>
        <w:t>PM</w:t>
      </w:r>
      <w:r w:rsidR="00A6517A" w:rsidRPr="00932A6C">
        <w:t xml:space="preserve"> Monitoring Type</w:t>
      </w:r>
      <w:r w:rsidRPr="00932A6C">
        <w:t>:</w:t>
      </w:r>
    </w:p>
    <w:p w14:paraId="209ED09C" w14:textId="77777777" w:rsidR="00F861CF" w:rsidRPr="004B2A60" w:rsidRDefault="00F861CF" w:rsidP="004B2A60">
      <w:pPr>
        <w:pStyle w:val="APDBodyText"/>
      </w:pPr>
      <w:r w:rsidRPr="004B2A60">
        <w:t>Select one of the following monitoring options for particulate matter. Enter the code on the form.</w:t>
      </w:r>
    </w:p>
    <w:p w14:paraId="07B5A2CD" w14:textId="6DA15C4F" w:rsidR="00F861CF" w:rsidRDefault="00F861CF" w:rsidP="004B2A60">
      <w:pPr>
        <w:pStyle w:val="APDBodyText"/>
      </w:pPr>
      <w:r w:rsidRPr="004B2A60">
        <w:t xml:space="preserve">Note: PM Monitoring type need not be completed if </w:t>
      </w:r>
      <w:r w:rsidR="00ED71E0" w:rsidRPr="004B2A60">
        <w:t>“PM Exemptions” is “CDP,” or “EXEMPTF1.”</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619DE" w14:paraId="189544C5" w14:textId="77777777" w:rsidTr="000676AB">
        <w:trPr>
          <w:cantSplit/>
          <w:tblHeader/>
        </w:trPr>
        <w:tc>
          <w:tcPr>
            <w:tcW w:w="1530" w:type="dxa"/>
          </w:tcPr>
          <w:p w14:paraId="78B6C83A" w14:textId="6269A62E" w:rsidR="00A619DE" w:rsidRPr="00A619DE" w:rsidRDefault="00A619DE" w:rsidP="00A619DE">
            <w:pPr>
              <w:rPr>
                <w:b/>
                <w:bCs/>
              </w:rPr>
            </w:pPr>
            <w:r w:rsidRPr="00A619DE">
              <w:rPr>
                <w:b/>
                <w:bCs/>
              </w:rPr>
              <w:t>Code</w:t>
            </w:r>
          </w:p>
        </w:tc>
        <w:tc>
          <w:tcPr>
            <w:tcW w:w="8550" w:type="dxa"/>
          </w:tcPr>
          <w:p w14:paraId="172C4665" w14:textId="0A19176B" w:rsidR="00A619DE" w:rsidRPr="00A619DE" w:rsidRDefault="00A619DE" w:rsidP="00A619DE">
            <w:pPr>
              <w:rPr>
                <w:b/>
                <w:bCs/>
              </w:rPr>
            </w:pPr>
            <w:r w:rsidRPr="00A619DE">
              <w:rPr>
                <w:b/>
                <w:bCs/>
              </w:rPr>
              <w:t>Description</w:t>
            </w:r>
          </w:p>
        </w:tc>
      </w:tr>
      <w:tr w:rsidR="00A619DE" w14:paraId="3C2CAA10" w14:textId="77777777" w:rsidTr="000676AB">
        <w:trPr>
          <w:cantSplit/>
          <w:tblHeader/>
        </w:trPr>
        <w:tc>
          <w:tcPr>
            <w:tcW w:w="1530" w:type="dxa"/>
          </w:tcPr>
          <w:p w14:paraId="317BF642" w14:textId="7FA41C24" w:rsidR="00A619DE" w:rsidRDefault="00A619DE" w:rsidP="00A619DE">
            <w:r w:rsidRPr="00536E7D">
              <w:t>PMCEMS</w:t>
            </w:r>
          </w:p>
        </w:tc>
        <w:tc>
          <w:tcPr>
            <w:tcW w:w="8550" w:type="dxa"/>
          </w:tcPr>
          <w:p w14:paraId="7BA320C2" w14:textId="55D87ABA" w:rsidR="00A619DE" w:rsidRDefault="00A619DE" w:rsidP="00A619DE">
            <w:r w:rsidRPr="00536E7D">
              <w:t>Continuous emission monitoring system (CEMS) per § 60.49Da(v)</w:t>
            </w:r>
          </w:p>
        </w:tc>
      </w:tr>
      <w:tr w:rsidR="00A619DE" w14:paraId="60C6A1AE" w14:textId="77777777" w:rsidTr="000676AB">
        <w:trPr>
          <w:cantSplit/>
          <w:tblHeader/>
        </w:trPr>
        <w:tc>
          <w:tcPr>
            <w:tcW w:w="1530" w:type="dxa"/>
          </w:tcPr>
          <w:p w14:paraId="1884FDC2" w14:textId="6CE90FE7" w:rsidR="00A619DE" w:rsidRDefault="00A619DE" w:rsidP="00A619DE">
            <w:r w:rsidRPr="00536E7D">
              <w:t>EP-PMOD</w:t>
            </w:r>
          </w:p>
        </w:tc>
        <w:tc>
          <w:tcPr>
            <w:tcW w:w="8550" w:type="dxa"/>
          </w:tcPr>
          <w:p w14:paraId="4107BC11" w14:textId="4414050F" w:rsidR="00A619DE" w:rsidRDefault="00A619DE" w:rsidP="00A619DE">
            <w:r w:rsidRPr="00536E7D">
              <w:t>An electrostatic precipitator is used for PM control and PM monitored using a predictive model per § 60.48Da(o)(3)</w:t>
            </w:r>
          </w:p>
        </w:tc>
      </w:tr>
      <w:tr w:rsidR="00A619DE" w14:paraId="0F71897A" w14:textId="77777777" w:rsidTr="000676AB">
        <w:trPr>
          <w:cantSplit/>
          <w:tblHeader/>
        </w:trPr>
        <w:tc>
          <w:tcPr>
            <w:tcW w:w="1530" w:type="dxa"/>
          </w:tcPr>
          <w:p w14:paraId="3F357152" w14:textId="4F12D8E7" w:rsidR="00A619DE" w:rsidRDefault="00A619DE" w:rsidP="00A619DE">
            <w:r w:rsidRPr="00536E7D">
              <w:t>BH-LDET</w:t>
            </w:r>
          </w:p>
        </w:tc>
        <w:tc>
          <w:tcPr>
            <w:tcW w:w="8550" w:type="dxa"/>
          </w:tcPr>
          <w:p w14:paraId="004919DB" w14:textId="2118088F" w:rsidR="00A619DE" w:rsidRDefault="00A619DE" w:rsidP="00A619DE">
            <w:r w:rsidRPr="00536E7D">
              <w:t>A baghouse is used for PM control and PM monitored using a leak detection per § 60.48Da(o)(4)</w:t>
            </w:r>
          </w:p>
        </w:tc>
      </w:tr>
      <w:tr w:rsidR="00A619DE" w14:paraId="6E6D382A" w14:textId="77777777" w:rsidTr="000676AB">
        <w:trPr>
          <w:cantSplit/>
          <w:tblHeader/>
        </w:trPr>
        <w:tc>
          <w:tcPr>
            <w:tcW w:w="1530" w:type="dxa"/>
          </w:tcPr>
          <w:p w14:paraId="11B3D987" w14:textId="320D2C58" w:rsidR="00A619DE" w:rsidRDefault="00A619DE" w:rsidP="00A619DE">
            <w:r w:rsidRPr="00536E7D">
              <w:t>EPBH-COMS</w:t>
            </w:r>
          </w:p>
        </w:tc>
        <w:tc>
          <w:tcPr>
            <w:tcW w:w="8550" w:type="dxa"/>
          </w:tcPr>
          <w:p w14:paraId="3BACC779" w14:textId="3E6AF001" w:rsidR="00A619DE" w:rsidRDefault="00A619DE" w:rsidP="00A619DE">
            <w:r w:rsidRPr="00536E7D">
              <w:t>An electrostatic precipitator or a baghouse is used for PM control and PM monitored using COMS per § 60.48Da(o)(2)</w:t>
            </w:r>
          </w:p>
        </w:tc>
      </w:tr>
      <w:tr w:rsidR="00A619DE" w14:paraId="3F606C8B" w14:textId="77777777" w:rsidTr="000676AB">
        <w:trPr>
          <w:cantSplit/>
          <w:tblHeader/>
        </w:trPr>
        <w:tc>
          <w:tcPr>
            <w:tcW w:w="1530" w:type="dxa"/>
          </w:tcPr>
          <w:p w14:paraId="6F10930C" w14:textId="27862D82" w:rsidR="00A619DE" w:rsidRDefault="00A619DE" w:rsidP="00A619DE">
            <w:r w:rsidRPr="00536E7D">
              <w:t>PMCPMS</w:t>
            </w:r>
          </w:p>
        </w:tc>
        <w:tc>
          <w:tcPr>
            <w:tcW w:w="8550" w:type="dxa"/>
          </w:tcPr>
          <w:p w14:paraId="69E633DC" w14:textId="618C9137" w:rsidR="00A619DE" w:rsidRDefault="00A619DE" w:rsidP="00A619DE">
            <w:r w:rsidRPr="00536E7D">
              <w:t>Continuous parameter monitoring system (CPMS) per 40 CFR Part 63, Subpart UUUUU per 60.49Da(a)(4)(ii)</w:t>
            </w:r>
          </w:p>
        </w:tc>
      </w:tr>
      <w:tr w:rsidR="00A619DE" w14:paraId="0BD30504" w14:textId="77777777" w:rsidTr="000676AB">
        <w:trPr>
          <w:cantSplit/>
          <w:tblHeader/>
        </w:trPr>
        <w:tc>
          <w:tcPr>
            <w:tcW w:w="1530" w:type="dxa"/>
          </w:tcPr>
          <w:p w14:paraId="7130E05E" w14:textId="68ABE5A3" w:rsidR="00A619DE" w:rsidRDefault="00A619DE" w:rsidP="00A619DE">
            <w:r w:rsidRPr="00536E7D">
              <w:t>OTHERPM</w:t>
            </w:r>
          </w:p>
        </w:tc>
        <w:tc>
          <w:tcPr>
            <w:tcW w:w="8550" w:type="dxa"/>
          </w:tcPr>
          <w:p w14:paraId="7B1C681C" w14:textId="25958551" w:rsidR="00A619DE" w:rsidRDefault="00A619DE" w:rsidP="00A619DE">
            <w:r w:rsidRPr="00536E7D">
              <w:t>Other than above options</w:t>
            </w:r>
          </w:p>
        </w:tc>
      </w:tr>
    </w:tbl>
    <w:p w14:paraId="71FCD64F" w14:textId="2B88B783" w:rsidR="00F861CF" w:rsidRPr="00131AF7" w:rsidRDefault="00F861CF" w:rsidP="00E27828">
      <w:pPr>
        <w:pStyle w:val="APDStrong"/>
        <w:spacing w:before="120"/>
      </w:pPr>
      <w:r w:rsidRPr="00131AF7">
        <w:t>Opacity</w:t>
      </w:r>
      <w:r w:rsidR="00ED71E0" w:rsidRPr="00131AF7">
        <w:t xml:space="preserve"> Monitoring Type</w:t>
      </w:r>
      <w:r w:rsidRPr="00131AF7">
        <w:t>:</w:t>
      </w:r>
    </w:p>
    <w:p w14:paraId="0BB696B4" w14:textId="625F4047" w:rsidR="00F861CF" w:rsidRPr="00180FDD" w:rsidRDefault="00F861CF" w:rsidP="00180FDD">
      <w:pPr>
        <w:pStyle w:val="APDBodyText"/>
      </w:pPr>
      <w:r w:rsidRPr="00180FDD">
        <w:t>Select one of the following monitoring options for opacity. Enter the code on the form.</w:t>
      </w:r>
    </w:p>
    <w:p w14:paraId="0F26B05D" w14:textId="1EBDD20F" w:rsidR="00ED71E0" w:rsidRDefault="00ED71E0" w:rsidP="00180FDD">
      <w:pPr>
        <w:pStyle w:val="APDBodyText"/>
      </w:pPr>
      <w:r w:rsidRPr="00180FDD">
        <w:t>Note: “Opacity Monitoring Type” need not be completed if “PM Exemptions” is “CDP,” or “EXEMPTF1.”</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582014" w14:paraId="691E6D45" w14:textId="77777777" w:rsidTr="00582014">
        <w:trPr>
          <w:cantSplit/>
          <w:tblHeader/>
        </w:trPr>
        <w:tc>
          <w:tcPr>
            <w:tcW w:w="1530" w:type="dxa"/>
          </w:tcPr>
          <w:p w14:paraId="28A5115E" w14:textId="12BDFF14" w:rsidR="00582014" w:rsidRPr="00582014" w:rsidRDefault="00582014" w:rsidP="00582014">
            <w:pPr>
              <w:rPr>
                <w:b/>
                <w:bCs/>
              </w:rPr>
            </w:pPr>
            <w:r w:rsidRPr="00582014">
              <w:rPr>
                <w:b/>
                <w:bCs/>
              </w:rPr>
              <w:t>Code</w:t>
            </w:r>
          </w:p>
        </w:tc>
        <w:tc>
          <w:tcPr>
            <w:tcW w:w="8550" w:type="dxa"/>
          </w:tcPr>
          <w:p w14:paraId="5F9819B0" w14:textId="1DEF50CC" w:rsidR="00582014" w:rsidRPr="00582014" w:rsidRDefault="00582014" w:rsidP="00582014">
            <w:pPr>
              <w:rPr>
                <w:b/>
                <w:bCs/>
              </w:rPr>
            </w:pPr>
            <w:r w:rsidRPr="00582014">
              <w:rPr>
                <w:b/>
                <w:bCs/>
              </w:rPr>
              <w:t>Description</w:t>
            </w:r>
          </w:p>
        </w:tc>
      </w:tr>
      <w:tr w:rsidR="00582014" w14:paraId="11A8C004" w14:textId="77777777" w:rsidTr="00582014">
        <w:trPr>
          <w:cantSplit/>
          <w:tblHeader/>
        </w:trPr>
        <w:tc>
          <w:tcPr>
            <w:tcW w:w="1530" w:type="dxa"/>
          </w:tcPr>
          <w:p w14:paraId="4F52E554" w14:textId="00FB743C" w:rsidR="00582014" w:rsidRDefault="00582014" w:rsidP="00582014">
            <w:r w:rsidRPr="00975BFE">
              <w:t>CMS</w:t>
            </w:r>
          </w:p>
        </w:tc>
        <w:tc>
          <w:tcPr>
            <w:tcW w:w="8550" w:type="dxa"/>
          </w:tcPr>
          <w:p w14:paraId="3A34AB9F" w14:textId="49A6D845" w:rsidR="00582014" w:rsidRDefault="00582014" w:rsidP="00582014">
            <w:r w:rsidRPr="00975BFE">
              <w:t>Continuous monitoring system for opacity (COMS)</w:t>
            </w:r>
          </w:p>
        </w:tc>
      </w:tr>
      <w:tr w:rsidR="00582014" w14:paraId="3F2AE88B" w14:textId="77777777" w:rsidTr="00582014">
        <w:trPr>
          <w:cantSplit/>
          <w:tblHeader/>
        </w:trPr>
        <w:tc>
          <w:tcPr>
            <w:tcW w:w="1530" w:type="dxa"/>
          </w:tcPr>
          <w:p w14:paraId="11DB1759" w14:textId="20C3AAEF" w:rsidR="00582014" w:rsidRDefault="00582014" w:rsidP="00582014">
            <w:r w:rsidRPr="00975BFE">
              <w:t>ALT-A2I</w:t>
            </w:r>
          </w:p>
        </w:tc>
        <w:tc>
          <w:tcPr>
            <w:tcW w:w="8550" w:type="dxa"/>
          </w:tcPr>
          <w:p w14:paraId="1D1B6629" w14:textId="0D8145EE" w:rsidR="00582014" w:rsidRDefault="00582014" w:rsidP="00582014">
            <w:r w:rsidRPr="00975BFE">
              <w:t>The facility uses a fabric filter with a leak detection system installed per § 60.49Da(a)(2)(i) to meet § 60.42Da and elects to monitor opacity per § 60.49Da(a)(3)</w:t>
            </w:r>
          </w:p>
        </w:tc>
      </w:tr>
      <w:tr w:rsidR="00582014" w14:paraId="49F0097C" w14:textId="77777777" w:rsidTr="00582014">
        <w:trPr>
          <w:cantSplit/>
          <w:tblHeader/>
        </w:trPr>
        <w:tc>
          <w:tcPr>
            <w:tcW w:w="1530" w:type="dxa"/>
          </w:tcPr>
          <w:p w14:paraId="6C27F86E" w14:textId="33646A4B" w:rsidR="00582014" w:rsidRDefault="00582014" w:rsidP="00582014">
            <w:r w:rsidRPr="00975BFE">
              <w:t>ALT-A2II</w:t>
            </w:r>
          </w:p>
        </w:tc>
        <w:tc>
          <w:tcPr>
            <w:tcW w:w="8550" w:type="dxa"/>
          </w:tcPr>
          <w:p w14:paraId="54728F4B" w14:textId="2E4E86E1" w:rsidR="00582014" w:rsidRDefault="00582014" w:rsidP="00582014">
            <w:r w:rsidRPr="00975BFE">
              <w:t>The facility does not use a post-combustion technology for SO</w:t>
            </w:r>
            <w:r w:rsidRPr="00975BFE">
              <w:rPr>
                <w:vertAlign w:val="subscript"/>
              </w:rPr>
              <w:t>2</w:t>
            </w:r>
            <w:r w:rsidRPr="00975BFE">
              <w:t xml:space="preserve"> or PM and burns gaseous or liquid fuels meeting specifications in § 60.49Da(a)(2)(ii) and elects to monitor opacity per § 60.49Da(a)(3)</w:t>
            </w:r>
          </w:p>
        </w:tc>
      </w:tr>
      <w:tr w:rsidR="00582014" w14:paraId="0D7E1C69" w14:textId="77777777" w:rsidTr="00582014">
        <w:trPr>
          <w:cantSplit/>
          <w:tblHeader/>
        </w:trPr>
        <w:tc>
          <w:tcPr>
            <w:tcW w:w="1530" w:type="dxa"/>
          </w:tcPr>
          <w:p w14:paraId="18A8C0B4" w14:textId="15993218" w:rsidR="00582014" w:rsidRDefault="00582014" w:rsidP="00582014">
            <w:r w:rsidRPr="00975BFE">
              <w:t>ALT-A2III</w:t>
            </w:r>
          </w:p>
        </w:tc>
        <w:tc>
          <w:tcPr>
            <w:tcW w:w="8550" w:type="dxa"/>
          </w:tcPr>
          <w:p w14:paraId="1CF56706" w14:textId="312379B8" w:rsidR="00582014" w:rsidRDefault="00582014" w:rsidP="00582014">
            <w:r w:rsidRPr="00975BFE">
              <w:t>The facility does not use a post-combustion technology (except a wet scrubber) for PM, SO or CO and burns gaseous fuels or fuel oils meeting specifications in § 60.49Da(a)(2)(iii)(A)-(C) and elects to monitor opacity per § 60.49Da(a)(3)</w:t>
            </w:r>
          </w:p>
        </w:tc>
      </w:tr>
      <w:tr w:rsidR="00582014" w14:paraId="593DE328" w14:textId="77777777" w:rsidTr="00582014">
        <w:trPr>
          <w:cantSplit/>
          <w:tblHeader/>
        </w:trPr>
        <w:tc>
          <w:tcPr>
            <w:tcW w:w="1530" w:type="dxa"/>
          </w:tcPr>
          <w:p w14:paraId="3A14A9B5" w14:textId="390147C2" w:rsidR="00582014" w:rsidRDefault="00582014" w:rsidP="00582014">
            <w:r w:rsidRPr="00975BFE">
              <w:t>ALT-A2IV</w:t>
            </w:r>
          </w:p>
        </w:tc>
        <w:tc>
          <w:tcPr>
            <w:tcW w:w="8550" w:type="dxa"/>
          </w:tcPr>
          <w:p w14:paraId="45BF5C1F" w14:textId="012AB4FF" w:rsidR="00582014" w:rsidRDefault="00582014" w:rsidP="00582014">
            <w:r w:rsidRPr="00975BFE">
              <w:t>The facility uses an ESP and uses an ESP predictive model to monitor the performance of the ESP developed in accordance and operated according to the most current requirements in section §60.48Da of this part) (use if PM monitoring is EP-PMOD)</w:t>
            </w:r>
          </w:p>
        </w:tc>
      </w:tr>
      <w:tr w:rsidR="00582014" w14:paraId="14E3ED9E" w14:textId="77777777" w:rsidTr="00582014">
        <w:trPr>
          <w:cantSplit/>
          <w:tblHeader/>
        </w:trPr>
        <w:tc>
          <w:tcPr>
            <w:tcW w:w="1530" w:type="dxa"/>
          </w:tcPr>
          <w:p w14:paraId="364063D4" w14:textId="5E6E541B" w:rsidR="00582014" w:rsidRDefault="00582014" w:rsidP="00582014">
            <w:r w:rsidRPr="00975BFE">
              <w:t>ALT-A4I</w:t>
            </w:r>
          </w:p>
        </w:tc>
        <w:tc>
          <w:tcPr>
            <w:tcW w:w="8550" w:type="dxa"/>
          </w:tcPr>
          <w:p w14:paraId="5F427DE0" w14:textId="499D75DD" w:rsidR="00582014" w:rsidRDefault="00582014" w:rsidP="00582014">
            <w:r w:rsidRPr="00975BFE">
              <w:t>The affected facility combusts only gaseous and/or liquid fuels (excluding residue oil) where the potential SO</w:t>
            </w:r>
            <w:r w:rsidRPr="00975BFE">
              <w:rPr>
                <w:vertAlign w:val="subscript"/>
              </w:rPr>
              <w:t>2</w:t>
            </w:r>
            <w:r w:rsidRPr="00975BFE">
              <w:t xml:space="preserve"> emissions rate of each fuel is no greater than 26 ng/J (0.060 lb/MMBtu), and the unit operates according to a written site-specific monitoring plan approved by the permitting authority</w:t>
            </w:r>
          </w:p>
        </w:tc>
      </w:tr>
      <w:tr w:rsidR="00582014" w14:paraId="17CE8D6A" w14:textId="77777777" w:rsidTr="00582014">
        <w:trPr>
          <w:cantSplit/>
          <w:tblHeader/>
        </w:trPr>
        <w:tc>
          <w:tcPr>
            <w:tcW w:w="1530" w:type="dxa"/>
          </w:tcPr>
          <w:p w14:paraId="071F87D1" w14:textId="38BF6D5C" w:rsidR="00582014" w:rsidRDefault="00582014" w:rsidP="00582014">
            <w:r w:rsidRPr="00975BFE">
              <w:t>ALT-A4II</w:t>
            </w:r>
          </w:p>
        </w:tc>
        <w:tc>
          <w:tcPr>
            <w:tcW w:w="8550" w:type="dxa"/>
          </w:tcPr>
          <w:p w14:paraId="5FA9FFFE" w14:textId="22D3469A" w:rsidR="00582014" w:rsidRDefault="00582014" w:rsidP="00582014">
            <w:r w:rsidRPr="00975BFE">
              <w:t>The affected facility uses a particulate matter continuous parametric monitoring system (PM CPMS) according to the requirements specified in subpart UUUUU of part 63</w:t>
            </w:r>
          </w:p>
        </w:tc>
      </w:tr>
      <w:tr w:rsidR="00582014" w14:paraId="638CE5FA" w14:textId="77777777" w:rsidTr="00582014">
        <w:trPr>
          <w:cantSplit/>
          <w:tblHeader/>
        </w:trPr>
        <w:tc>
          <w:tcPr>
            <w:tcW w:w="1530" w:type="dxa"/>
          </w:tcPr>
          <w:p w14:paraId="6A13E2B0" w14:textId="1E48562B" w:rsidR="00582014" w:rsidRDefault="00582014" w:rsidP="00582014">
            <w:r w:rsidRPr="00975BFE">
              <w:t>NONE</w:t>
            </w:r>
          </w:p>
        </w:tc>
        <w:tc>
          <w:tcPr>
            <w:tcW w:w="8550" w:type="dxa"/>
          </w:tcPr>
          <w:p w14:paraId="17EC6935" w14:textId="581E6964" w:rsidR="00582014" w:rsidRDefault="00582014" w:rsidP="00582014">
            <w:r w:rsidRPr="00975BFE">
              <w:t>No monitoring for opacity (use if PM monitoring is “PMCEMS”)</w:t>
            </w:r>
          </w:p>
        </w:tc>
      </w:tr>
    </w:tbl>
    <w:p w14:paraId="455C5639" w14:textId="77777777" w:rsidR="007132DB" w:rsidRDefault="007132DB" w:rsidP="00582014">
      <w:pPr>
        <w:sectPr w:rsidR="007132DB" w:rsidSect="0031268E">
          <w:pgSz w:w="12240" w:h="15840" w:code="1"/>
          <w:pgMar w:top="720" w:right="720" w:bottom="720" w:left="720" w:header="720" w:footer="720" w:gutter="0"/>
          <w:cols w:space="720"/>
          <w:titlePg/>
          <w:docGrid w:linePitch="360"/>
        </w:sectPr>
      </w:pPr>
    </w:p>
    <w:p w14:paraId="2DE57796" w14:textId="7E593167" w:rsidR="00F861CF" w:rsidRPr="00131AF7" w:rsidRDefault="004F6614" w:rsidP="00131AF7">
      <w:pPr>
        <w:pStyle w:val="APDStrong"/>
      </w:pPr>
      <w:r>
        <w:lastRenderedPageBreak/>
        <w:t>SO</w:t>
      </w:r>
      <w:r w:rsidR="00A10163" w:rsidRPr="00A10163">
        <w:rPr>
          <w:vertAlign w:val="subscript"/>
        </w:rPr>
        <w:t>2</w:t>
      </w:r>
      <w:r w:rsidR="00ED71E0" w:rsidRPr="00131AF7">
        <w:t xml:space="preserve"> Monitoring Type</w:t>
      </w:r>
      <w:r w:rsidR="00F861CF" w:rsidRPr="00131AF7">
        <w:t>:</w:t>
      </w:r>
    </w:p>
    <w:p w14:paraId="57298571" w14:textId="0C550D44" w:rsidR="00F861CF" w:rsidRDefault="00F861CF" w:rsidP="00180FDD">
      <w:pPr>
        <w:pStyle w:val="APDBodyText"/>
      </w:pPr>
      <w:r w:rsidRPr="00180FDD">
        <w:t>Select one of the following monitoring options for sulfur dioxide (</w:t>
      </w:r>
      <w:r w:rsidR="004F6614">
        <w:t>SO</w:t>
      </w:r>
      <w:r w:rsidR="00524CB6" w:rsidRPr="00524CB6">
        <w:rPr>
          <w:vertAlign w:val="subscript"/>
        </w:rPr>
        <w:t>2</w:t>
      </w:r>
      <w:r w:rsidRPr="00180FDD">
        <w: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E626E" w14:paraId="059F8CEC" w14:textId="77777777" w:rsidTr="00A4022B">
        <w:tc>
          <w:tcPr>
            <w:tcW w:w="1530" w:type="dxa"/>
          </w:tcPr>
          <w:p w14:paraId="146FACAD" w14:textId="70C7E1E7" w:rsidR="00AE626E" w:rsidRPr="00AE626E" w:rsidRDefault="00AE626E" w:rsidP="00AE626E">
            <w:pPr>
              <w:rPr>
                <w:b/>
                <w:bCs/>
              </w:rPr>
            </w:pPr>
            <w:r w:rsidRPr="00AE626E">
              <w:rPr>
                <w:b/>
                <w:bCs/>
              </w:rPr>
              <w:t>Code</w:t>
            </w:r>
          </w:p>
        </w:tc>
        <w:tc>
          <w:tcPr>
            <w:tcW w:w="8550" w:type="dxa"/>
          </w:tcPr>
          <w:p w14:paraId="1B401CDA" w14:textId="3F3254D4" w:rsidR="00AE626E" w:rsidRPr="00AE626E" w:rsidRDefault="00AE626E" w:rsidP="00AE626E">
            <w:pPr>
              <w:rPr>
                <w:b/>
                <w:bCs/>
              </w:rPr>
            </w:pPr>
            <w:r w:rsidRPr="00AE626E">
              <w:rPr>
                <w:b/>
                <w:bCs/>
              </w:rPr>
              <w:t>Description</w:t>
            </w:r>
          </w:p>
        </w:tc>
      </w:tr>
      <w:tr w:rsidR="00AE626E" w14:paraId="5556B70B" w14:textId="77777777" w:rsidTr="00A4022B">
        <w:tc>
          <w:tcPr>
            <w:tcW w:w="1530" w:type="dxa"/>
          </w:tcPr>
          <w:p w14:paraId="54EDF647" w14:textId="08ED10E0" w:rsidR="00AE626E" w:rsidRDefault="00AE626E" w:rsidP="00AE626E">
            <w:r w:rsidRPr="00061595">
              <w:t>ASFRD-C</w:t>
            </w:r>
          </w:p>
        </w:tc>
        <w:tc>
          <w:tcPr>
            <w:tcW w:w="8550" w:type="dxa"/>
          </w:tcPr>
          <w:p w14:paraId="480DD2A4" w14:textId="09AD1C46" w:rsidR="00AE626E" w:rsidRDefault="00AE626E" w:rsidP="00AE626E">
            <w:r w:rsidRPr="00061595">
              <w:t>As-fired sampling and using continuous emission monitoring system [§ 60.49Da(b)(3)]</w:t>
            </w:r>
          </w:p>
        </w:tc>
      </w:tr>
      <w:tr w:rsidR="00AE626E" w14:paraId="60DDD7AD" w14:textId="77777777" w:rsidTr="00A4022B">
        <w:tc>
          <w:tcPr>
            <w:tcW w:w="1530" w:type="dxa"/>
          </w:tcPr>
          <w:p w14:paraId="7AB8F630" w14:textId="51225410" w:rsidR="00AE626E" w:rsidRDefault="00AE626E" w:rsidP="00AE626E">
            <w:r w:rsidRPr="00061595">
              <w:t>ASFRD-C75</w:t>
            </w:r>
          </w:p>
        </w:tc>
        <w:tc>
          <w:tcPr>
            <w:tcW w:w="8550" w:type="dxa"/>
          </w:tcPr>
          <w:p w14:paraId="24C97D6F" w14:textId="2CFFD137" w:rsidR="00AE626E" w:rsidRDefault="00AE626E" w:rsidP="00AE626E">
            <w:r w:rsidRPr="00061595">
              <w:t>As-fired sampling and using continuous emission monitoring system installed to meet the requirements of Part 75 [§ 60.49Da(b)(3)]</w:t>
            </w:r>
          </w:p>
        </w:tc>
      </w:tr>
      <w:tr w:rsidR="00AE626E" w14:paraId="1D8120ED" w14:textId="77777777" w:rsidTr="00A4022B">
        <w:tc>
          <w:tcPr>
            <w:tcW w:w="1530" w:type="dxa"/>
          </w:tcPr>
          <w:p w14:paraId="39A7E536" w14:textId="6D09F7EE" w:rsidR="00AE626E" w:rsidRDefault="00AE626E" w:rsidP="00AE626E">
            <w:r w:rsidRPr="00061595">
              <w:t>CEM</w:t>
            </w:r>
          </w:p>
        </w:tc>
        <w:tc>
          <w:tcPr>
            <w:tcW w:w="8550" w:type="dxa"/>
          </w:tcPr>
          <w:p w14:paraId="79110887" w14:textId="32795435" w:rsidR="00AE626E" w:rsidRDefault="00AE626E" w:rsidP="00AE626E">
            <w:r w:rsidRPr="00061595">
              <w:t>Continuous emission monitoring system [§ 60.49Da(b)(1) or (b)(2)]</w:t>
            </w:r>
          </w:p>
        </w:tc>
      </w:tr>
      <w:tr w:rsidR="00AE626E" w14:paraId="67EB6DB1" w14:textId="77777777" w:rsidTr="00A4022B">
        <w:tc>
          <w:tcPr>
            <w:tcW w:w="1530" w:type="dxa"/>
          </w:tcPr>
          <w:p w14:paraId="7DD8DD90" w14:textId="73A03AB6" w:rsidR="00AE626E" w:rsidRDefault="00AE626E" w:rsidP="00AE626E">
            <w:r w:rsidRPr="00061595">
              <w:t>CEMS75</w:t>
            </w:r>
          </w:p>
        </w:tc>
        <w:tc>
          <w:tcPr>
            <w:tcW w:w="8550" w:type="dxa"/>
          </w:tcPr>
          <w:p w14:paraId="03B8E9BB" w14:textId="64F94091" w:rsidR="00AE626E" w:rsidRDefault="00AE626E" w:rsidP="00AE626E">
            <w:r w:rsidRPr="00061595">
              <w:t>Continuous emission monitoring system installed to meet the requirements of Part 75 [§ 60.49Da(b)(4)]</w:t>
            </w:r>
          </w:p>
        </w:tc>
      </w:tr>
      <w:tr w:rsidR="00AE626E" w14:paraId="1CE30505" w14:textId="77777777" w:rsidTr="00A4022B">
        <w:tc>
          <w:tcPr>
            <w:tcW w:w="1530" w:type="dxa"/>
          </w:tcPr>
          <w:p w14:paraId="4DDC196F" w14:textId="492EDC9B" w:rsidR="00AE626E" w:rsidRDefault="00AE626E" w:rsidP="00AE626E">
            <w:r w:rsidRPr="00061595">
              <w:t>NONE</w:t>
            </w:r>
          </w:p>
        </w:tc>
        <w:tc>
          <w:tcPr>
            <w:tcW w:w="8550" w:type="dxa"/>
          </w:tcPr>
          <w:p w14:paraId="0FC89404" w14:textId="25D20FA9" w:rsidR="00AE626E" w:rsidRDefault="00AE626E" w:rsidP="00AE626E">
            <w:r w:rsidRPr="00061595">
              <w:t>Only gaseous and/or liquid fuels (excluding residual oil) where the potential SO</w:t>
            </w:r>
            <w:r w:rsidRPr="00061595">
              <w:rPr>
                <w:vertAlign w:val="subscript"/>
              </w:rPr>
              <w:t>2</w:t>
            </w:r>
            <w:r w:rsidRPr="00061595">
              <w:t xml:space="preserve"> emissions rate of each fuel is 26 ng/J (0.060 lb/MMBtu) or less are combusted as specified in 60.49Da(b)</w:t>
            </w:r>
          </w:p>
        </w:tc>
      </w:tr>
    </w:tbl>
    <w:p w14:paraId="2E69FCF0" w14:textId="54F01F0C" w:rsidR="00F861CF" w:rsidRPr="00131AF7" w:rsidRDefault="00F861CF" w:rsidP="00E14C3E">
      <w:pPr>
        <w:pStyle w:val="APDStrong"/>
        <w:spacing w:before="120"/>
      </w:pPr>
      <w:r w:rsidRPr="00131AF7">
        <w:t>NOx</w:t>
      </w:r>
      <w:r w:rsidR="00ED71E0" w:rsidRPr="00131AF7">
        <w:t xml:space="preserve"> Monitoring Type</w:t>
      </w:r>
      <w:r w:rsidRPr="00131AF7">
        <w:t>:</w:t>
      </w:r>
    </w:p>
    <w:p w14:paraId="3319535D" w14:textId="77777777" w:rsidR="00F861CF" w:rsidRDefault="00F861CF" w:rsidP="00180FDD">
      <w:pPr>
        <w:pStyle w:val="APDBodyText"/>
      </w:pPr>
      <w:r w:rsidRPr="00180FDD">
        <w:t>Select one of the following monitoring options for nitrogen oxides (NOx).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B23F0" w14:paraId="59D3DCCB" w14:textId="77777777" w:rsidTr="00A4022B">
        <w:trPr>
          <w:cantSplit/>
          <w:tblHeader/>
        </w:trPr>
        <w:tc>
          <w:tcPr>
            <w:tcW w:w="1530" w:type="dxa"/>
          </w:tcPr>
          <w:p w14:paraId="63A866ED" w14:textId="18C08808" w:rsidR="008B23F0" w:rsidRPr="008B23F0" w:rsidRDefault="008B23F0" w:rsidP="008B23F0">
            <w:pPr>
              <w:rPr>
                <w:b/>
                <w:bCs/>
              </w:rPr>
            </w:pPr>
            <w:r w:rsidRPr="008B23F0">
              <w:rPr>
                <w:b/>
                <w:bCs/>
              </w:rPr>
              <w:t>Code</w:t>
            </w:r>
          </w:p>
        </w:tc>
        <w:tc>
          <w:tcPr>
            <w:tcW w:w="8550" w:type="dxa"/>
          </w:tcPr>
          <w:p w14:paraId="4E8184E3" w14:textId="2D2F6503" w:rsidR="008B23F0" w:rsidRPr="008B23F0" w:rsidRDefault="008B23F0" w:rsidP="008B23F0">
            <w:pPr>
              <w:rPr>
                <w:b/>
                <w:bCs/>
              </w:rPr>
            </w:pPr>
            <w:r w:rsidRPr="008B23F0">
              <w:rPr>
                <w:b/>
                <w:bCs/>
              </w:rPr>
              <w:t>Description</w:t>
            </w:r>
          </w:p>
        </w:tc>
      </w:tr>
      <w:tr w:rsidR="008B23F0" w14:paraId="5FA32382" w14:textId="77777777" w:rsidTr="00A4022B">
        <w:trPr>
          <w:cantSplit/>
          <w:tblHeader/>
        </w:trPr>
        <w:tc>
          <w:tcPr>
            <w:tcW w:w="1530" w:type="dxa"/>
          </w:tcPr>
          <w:p w14:paraId="2FCA39E7" w14:textId="0E42F038" w:rsidR="008B23F0" w:rsidRDefault="008B23F0" w:rsidP="008B23F0">
            <w:r w:rsidRPr="001F62FA">
              <w:t>CEMS</w:t>
            </w:r>
          </w:p>
        </w:tc>
        <w:tc>
          <w:tcPr>
            <w:tcW w:w="8550" w:type="dxa"/>
          </w:tcPr>
          <w:p w14:paraId="7C1C2ACE" w14:textId="39065CCD" w:rsidR="008B23F0" w:rsidRDefault="008B23F0" w:rsidP="008B23F0">
            <w:r w:rsidRPr="001F62FA">
              <w:t>Continuous emission monitoring system</w:t>
            </w:r>
          </w:p>
        </w:tc>
      </w:tr>
      <w:tr w:rsidR="008B23F0" w14:paraId="4641077D" w14:textId="77777777" w:rsidTr="00A4022B">
        <w:trPr>
          <w:cantSplit/>
          <w:tblHeader/>
        </w:trPr>
        <w:tc>
          <w:tcPr>
            <w:tcW w:w="1530" w:type="dxa"/>
          </w:tcPr>
          <w:p w14:paraId="10962A0A" w14:textId="4422F0C0" w:rsidR="008B23F0" w:rsidRDefault="008B23F0" w:rsidP="008B23F0">
            <w:r w:rsidRPr="001F62FA">
              <w:t>CEMS75</w:t>
            </w:r>
          </w:p>
        </w:tc>
        <w:tc>
          <w:tcPr>
            <w:tcW w:w="8550" w:type="dxa"/>
          </w:tcPr>
          <w:p w14:paraId="6BD7861D" w14:textId="0B7ACC25" w:rsidR="008B23F0" w:rsidRDefault="008B23F0" w:rsidP="008B23F0">
            <w:r w:rsidRPr="001F62FA">
              <w:t>Continuous emission monitoring system installed to meet the requirements of Part 75</w:t>
            </w:r>
          </w:p>
        </w:tc>
      </w:tr>
      <w:tr w:rsidR="008B23F0" w14:paraId="7BBE9135" w14:textId="77777777" w:rsidTr="00A4022B">
        <w:trPr>
          <w:cantSplit/>
          <w:tblHeader/>
        </w:trPr>
        <w:tc>
          <w:tcPr>
            <w:tcW w:w="1530" w:type="dxa"/>
          </w:tcPr>
          <w:p w14:paraId="47C9111D" w14:textId="00F66B7B" w:rsidR="008B23F0" w:rsidRDefault="008B23F0" w:rsidP="008B23F0">
            <w:r w:rsidRPr="001F62FA">
              <w:t>PERF</w:t>
            </w:r>
          </w:p>
        </w:tc>
        <w:tc>
          <w:tcPr>
            <w:tcW w:w="8550" w:type="dxa"/>
          </w:tcPr>
          <w:p w14:paraId="07A2630D" w14:textId="0885FE77" w:rsidR="008B23F0" w:rsidRDefault="008B23F0" w:rsidP="008B23F0">
            <w:r w:rsidRPr="001F62FA">
              <w:t>Performance test method per § 60.48Da(j)(1) or (k)(1)</w:t>
            </w:r>
          </w:p>
        </w:tc>
      </w:tr>
    </w:tbl>
    <w:p w14:paraId="2816B9C0" w14:textId="488F1870" w:rsidR="00F861CF" w:rsidRPr="00131AF7" w:rsidRDefault="004F6614" w:rsidP="00E14C3E">
      <w:pPr>
        <w:pStyle w:val="APDStrong"/>
        <w:spacing w:before="120"/>
      </w:pPr>
      <w:r>
        <w:t>SO</w:t>
      </w:r>
      <w:r w:rsidR="00A10163" w:rsidRPr="00A10163">
        <w:rPr>
          <w:vertAlign w:val="subscript"/>
        </w:rPr>
        <w:t>2</w:t>
      </w:r>
      <w:r w:rsidR="00ED71E0" w:rsidRPr="00131AF7">
        <w:t xml:space="preserve"> </w:t>
      </w:r>
      <w:r w:rsidR="00F861CF" w:rsidRPr="00131AF7">
        <w:t>Commercial Demonstration Permit:</w:t>
      </w:r>
    </w:p>
    <w:p w14:paraId="454271B6" w14:textId="77777777" w:rsidR="007A0003" w:rsidRDefault="00F861CF" w:rsidP="007A0003">
      <w:pPr>
        <w:pStyle w:val="APDBodyText"/>
      </w:pPr>
      <w:r w:rsidRPr="00180FDD">
        <w:t>Enter “</w:t>
      </w:r>
      <w:r w:rsidR="00B42127">
        <w:t>YES</w:t>
      </w:r>
      <w:r w:rsidRPr="00180FDD">
        <w:t xml:space="preserve">” if the </w:t>
      </w:r>
      <w:r w:rsidR="00ED71E0" w:rsidRPr="00180FDD">
        <w:t xml:space="preserve">facility is operating under </w:t>
      </w:r>
      <w:r w:rsidRPr="00180FDD">
        <w:t>a</w:t>
      </w:r>
      <w:r w:rsidR="00ED71E0" w:rsidRPr="00180FDD">
        <w:t>n</w:t>
      </w:r>
      <w:r w:rsidRPr="00180FDD">
        <w:t xml:space="preserve"> </w:t>
      </w:r>
      <w:r w:rsidR="004F6614">
        <w:t>SO</w:t>
      </w:r>
      <w:r w:rsidR="00A10163" w:rsidRPr="00A10163">
        <w:rPr>
          <w:vertAlign w:val="subscript"/>
        </w:rPr>
        <w:t>2</w:t>
      </w:r>
      <w:r w:rsidR="00ED71E0" w:rsidRPr="00180FDD">
        <w:t xml:space="preserve"> </w:t>
      </w:r>
      <w:r w:rsidRPr="00180FDD">
        <w:t xml:space="preserve">commercial demonstration permit </w:t>
      </w:r>
      <w:r w:rsidR="00ED71E0" w:rsidRPr="00180FDD">
        <w:t>issued by the Administrator according to the provisions of § 60.47Da</w:t>
      </w:r>
      <w:r w:rsidRPr="00180FDD">
        <w:t>. Otherwise, enter “</w:t>
      </w:r>
      <w:r w:rsidR="00B42127">
        <w:t>NO</w:t>
      </w:r>
      <w:r w:rsidRPr="00180FDD">
        <w:t>.”</w:t>
      </w:r>
    </w:p>
    <w:p w14:paraId="49FC3198" w14:textId="77777777" w:rsidR="004C382C" w:rsidRDefault="00F861CF" w:rsidP="007A0003">
      <w:pPr>
        <w:pStyle w:val="APDCompleteStar"/>
      </w:pPr>
      <w:r w:rsidRPr="00A115D0">
        <w:t>Do not complete “</w:t>
      </w:r>
      <w:r w:rsidR="004F6614">
        <w:t>SO</w:t>
      </w:r>
      <w:r w:rsidR="00EA0FAC" w:rsidRPr="00EA0FAC">
        <w:rPr>
          <w:vertAlign w:val="subscript"/>
        </w:rPr>
        <w:t>2</w:t>
      </w:r>
      <w:r w:rsidRPr="00A115D0">
        <w:t xml:space="preserve"> Emission Rate” if “D-Series Fuel Type” is only “ACL” </w:t>
      </w:r>
      <w:r w:rsidR="00090040" w:rsidRPr="00A115D0">
        <w:t>or</w:t>
      </w:r>
      <w:r w:rsidRPr="00A115D0">
        <w:t xml:space="preserve"> “SRC</w:t>
      </w:r>
      <w:r w:rsidR="00BF46AB" w:rsidRPr="00A115D0">
        <w:t>;</w:t>
      </w:r>
      <w:r w:rsidRPr="00A115D0">
        <w:t xml:space="preserve">” or if “Construction/Modification Date” is </w:t>
      </w:r>
      <w:r w:rsidR="008B74BF" w:rsidRPr="00A115D0">
        <w:t xml:space="preserve"> “05-11C,” 05-11R,” 05-11M,” “11+C,” “11+R</w:t>
      </w:r>
      <w:r w:rsidR="00C90F04" w:rsidRPr="00A115D0">
        <w:t>,</w:t>
      </w:r>
      <w:r w:rsidR="008B74BF" w:rsidRPr="00A115D0">
        <w:t>” or “11+M.”</w:t>
      </w:r>
    </w:p>
    <w:p w14:paraId="3E3A8AF0" w14:textId="35EA9995" w:rsidR="00F861CF" w:rsidRPr="00131AF7" w:rsidRDefault="004F6614" w:rsidP="00131AF7">
      <w:pPr>
        <w:pStyle w:val="APDStrong"/>
      </w:pPr>
      <w:r>
        <w:t>SO</w:t>
      </w:r>
      <w:r w:rsidR="00524CB6" w:rsidRPr="00524CB6">
        <w:rPr>
          <w:vertAlign w:val="subscript"/>
        </w:rPr>
        <w:t>2</w:t>
      </w:r>
      <w:r w:rsidR="00F861CF" w:rsidRPr="00131AF7">
        <w:t xml:space="preserve"> Emission Rate:</w:t>
      </w:r>
    </w:p>
    <w:p w14:paraId="66F0F220" w14:textId="4EBBDAF5" w:rsidR="00F861CF" w:rsidRDefault="00F861CF" w:rsidP="00A13BB7">
      <w:pPr>
        <w:pStyle w:val="APDBodyText"/>
      </w:pPr>
      <w:r w:rsidRPr="00A13BB7">
        <w:t xml:space="preserve">Select one of the following options for the </w:t>
      </w:r>
      <w:r w:rsidR="004F6614">
        <w:t>SO</w:t>
      </w:r>
      <w:r w:rsidR="00CF6C26" w:rsidRPr="00CF6C26">
        <w:rPr>
          <w:vertAlign w:val="subscript"/>
        </w:rPr>
        <w:t>2</w:t>
      </w:r>
      <w:r w:rsidRPr="00A13BB7">
        <w:t xml:space="preserve"> emission rate. Enter the code on the form for each fuel firing option.</w:t>
      </w:r>
      <w:r w:rsidR="008B74BF" w:rsidRPr="00A13BB7">
        <w:t xml:space="preserve"> Do not select a heat input option if complying with lb/MWh limit in 60.43Da(a)(3) that is in lb/MWh heat output.  Select the energy input option if complying with lb/MWh limit in 60.43Da(a) that is in lb/MWh heat input.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4C382C" w14:paraId="377E8C51" w14:textId="77777777" w:rsidTr="00A4022B">
        <w:trPr>
          <w:cantSplit/>
          <w:tblHeader/>
        </w:trPr>
        <w:tc>
          <w:tcPr>
            <w:tcW w:w="1530" w:type="dxa"/>
          </w:tcPr>
          <w:p w14:paraId="58ECC870" w14:textId="247B7736" w:rsidR="004C382C" w:rsidRPr="004C382C" w:rsidRDefault="004C382C" w:rsidP="004C382C">
            <w:pPr>
              <w:rPr>
                <w:b/>
                <w:bCs/>
              </w:rPr>
            </w:pPr>
            <w:r w:rsidRPr="004C382C">
              <w:rPr>
                <w:b/>
                <w:bCs/>
              </w:rPr>
              <w:t>Code</w:t>
            </w:r>
          </w:p>
        </w:tc>
        <w:tc>
          <w:tcPr>
            <w:tcW w:w="8550" w:type="dxa"/>
          </w:tcPr>
          <w:p w14:paraId="0ED25E76" w14:textId="2F99226B" w:rsidR="004C382C" w:rsidRPr="004C382C" w:rsidRDefault="004C382C" w:rsidP="004C382C">
            <w:pPr>
              <w:rPr>
                <w:b/>
                <w:bCs/>
              </w:rPr>
            </w:pPr>
            <w:r w:rsidRPr="004C382C">
              <w:rPr>
                <w:b/>
                <w:bCs/>
              </w:rPr>
              <w:t>Description</w:t>
            </w:r>
          </w:p>
        </w:tc>
      </w:tr>
      <w:tr w:rsidR="004C382C" w14:paraId="757F4010" w14:textId="77777777" w:rsidTr="00A4022B">
        <w:trPr>
          <w:cantSplit/>
          <w:tblHeader/>
        </w:trPr>
        <w:tc>
          <w:tcPr>
            <w:tcW w:w="1530" w:type="dxa"/>
          </w:tcPr>
          <w:p w14:paraId="0CD9C2CA" w14:textId="20CA2782" w:rsidR="004C382C" w:rsidRDefault="004C382C" w:rsidP="004C382C">
            <w:r w:rsidRPr="00940F3B">
              <w:t>65-</w:t>
            </w:r>
          </w:p>
        </w:tc>
        <w:tc>
          <w:tcPr>
            <w:tcW w:w="8550" w:type="dxa"/>
          </w:tcPr>
          <w:p w14:paraId="19127E2D" w14:textId="065A6864" w:rsidR="004C382C" w:rsidRDefault="004C382C" w:rsidP="004C382C">
            <w:r w:rsidRPr="00940F3B">
              <w:t>SO2 emission rate is less than 0.15 lb/MMBtu (65 ng/J) heat input</w:t>
            </w:r>
          </w:p>
        </w:tc>
      </w:tr>
      <w:tr w:rsidR="004C382C" w14:paraId="56F9A106" w14:textId="77777777" w:rsidTr="00A4022B">
        <w:trPr>
          <w:cantSplit/>
          <w:tblHeader/>
        </w:trPr>
        <w:tc>
          <w:tcPr>
            <w:tcW w:w="1530" w:type="dxa"/>
          </w:tcPr>
          <w:p w14:paraId="2DC99D1A" w14:textId="556386B7" w:rsidR="004C382C" w:rsidRDefault="004C382C" w:rsidP="004C382C">
            <w:r w:rsidRPr="00940F3B">
              <w:t>65-86</w:t>
            </w:r>
          </w:p>
        </w:tc>
        <w:tc>
          <w:tcPr>
            <w:tcW w:w="8550" w:type="dxa"/>
          </w:tcPr>
          <w:p w14:paraId="2A9CA884" w14:textId="6633F1C5" w:rsidR="004C382C" w:rsidRDefault="004C382C" w:rsidP="004C382C">
            <w:r w:rsidRPr="00940F3B">
              <w:t>SO2 emission rate is greater than 0.15 lb/MMBtu, but less than 0.20 lb/MMBtu (86 ng/J) heat input</w:t>
            </w:r>
          </w:p>
        </w:tc>
      </w:tr>
      <w:tr w:rsidR="004C382C" w14:paraId="0A247CD8" w14:textId="77777777" w:rsidTr="00A4022B">
        <w:trPr>
          <w:cantSplit/>
          <w:tblHeader/>
        </w:trPr>
        <w:tc>
          <w:tcPr>
            <w:tcW w:w="1530" w:type="dxa"/>
          </w:tcPr>
          <w:p w14:paraId="41A3518D" w14:textId="71CF03DB" w:rsidR="004C382C" w:rsidRDefault="004C382C" w:rsidP="004C382C">
            <w:r w:rsidRPr="00940F3B">
              <w:t>86-260</w:t>
            </w:r>
          </w:p>
        </w:tc>
        <w:tc>
          <w:tcPr>
            <w:tcW w:w="8550" w:type="dxa"/>
          </w:tcPr>
          <w:p w14:paraId="317C570E" w14:textId="2DD3DAFA" w:rsidR="004C382C" w:rsidRDefault="004C382C" w:rsidP="004C382C">
            <w:r w:rsidRPr="00940F3B">
              <w:t>SO2 emission rate is greater than or equal to 0.20 lb/MMBtu (86 ng/J) heat input but less than or equal to 0.60 lb/MMBtu (260 ng/J) heat input</w:t>
            </w:r>
          </w:p>
        </w:tc>
      </w:tr>
      <w:tr w:rsidR="004C382C" w14:paraId="3E24BB00" w14:textId="77777777" w:rsidTr="00A4022B">
        <w:trPr>
          <w:cantSplit/>
          <w:tblHeader/>
        </w:trPr>
        <w:tc>
          <w:tcPr>
            <w:tcW w:w="1530" w:type="dxa"/>
          </w:tcPr>
          <w:p w14:paraId="34D62C42" w14:textId="33846A62" w:rsidR="004C382C" w:rsidRDefault="004C382C" w:rsidP="004C382C">
            <w:r w:rsidRPr="00940F3B">
              <w:t>260+</w:t>
            </w:r>
          </w:p>
        </w:tc>
        <w:tc>
          <w:tcPr>
            <w:tcW w:w="8550" w:type="dxa"/>
          </w:tcPr>
          <w:p w14:paraId="176CA5E3" w14:textId="79F208F7" w:rsidR="004C382C" w:rsidRDefault="004C382C" w:rsidP="004C382C">
            <w:r w:rsidRPr="00940F3B">
              <w:t>SO2 emission rate is greater than 0.60 lb/MMBtu (260 ng/J) heat input</w:t>
            </w:r>
          </w:p>
        </w:tc>
      </w:tr>
      <w:tr w:rsidR="004C382C" w14:paraId="565B512C" w14:textId="77777777" w:rsidTr="00A4022B">
        <w:trPr>
          <w:cantSplit/>
          <w:tblHeader/>
        </w:trPr>
        <w:tc>
          <w:tcPr>
            <w:tcW w:w="1530" w:type="dxa"/>
          </w:tcPr>
          <w:p w14:paraId="2226B80F" w14:textId="554EE3FD" w:rsidR="004C382C" w:rsidRDefault="004C382C" w:rsidP="004C382C">
            <w:r w:rsidRPr="00940F3B">
              <w:t>180-</w:t>
            </w:r>
          </w:p>
        </w:tc>
        <w:tc>
          <w:tcPr>
            <w:tcW w:w="8550" w:type="dxa"/>
          </w:tcPr>
          <w:p w14:paraId="426FCEBF" w14:textId="4E8D4F47" w:rsidR="004C382C" w:rsidRDefault="004C382C" w:rsidP="004C382C">
            <w:r w:rsidRPr="00940F3B">
              <w:t>SO2 emission rate is less than 1.4 lb/MWh (180 ng/J) gross energy output</w:t>
            </w:r>
          </w:p>
        </w:tc>
      </w:tr>
    </w:tbl>
    <w:p w14:paraId="0870AD6E" w14:textId="77777777" w:rsidR="004C382C" w:rsidRPr="004C382C" w:rsidRDefault="004C382C" w:rsidP="004C382C"/>
    <w:p w14:paraId="2DDCF39C" w14:textId="77777777" w:rsidR="00F861CF" w:rsidRPr="00131AF7" w:rsidRDefault="00F861CF" w:rsidP="00131AF7">
      <w:pPr>
        <w:pStyle w:val="APDStrong"/>
      </w:pPr>
      <w:r w:rsidRPr="00131AF7">
        <w:t>FGD:</w:t>
      </w:r>
    </w:p>
    <w:p w14:paraId="20789810" w14:textId="77777777" w:rsidR="00BB606A" w:rsidRDefault="00F861CF" w:rsidP="00A13BB7">
      <w:pPr>
        <w:pStyle w:val="APDBodyText"/>
        <w:sectPr w:rsidR="00BB606A" w:rsidSect="0031268E">
          <w:pgSz w:w="12240" w:h="15840" w:code="1"/>
          <w:pgMar w:top="720" w:right="720" w:bottom="720" w:left="720" w:header="720" w:footer="720" w:gutter="0"/>
          <w:cols w:space="720"/>
          <w:titlePg/>
          <w:docGrid w:linePitch="360"/>
        </w:sectPr>
      </w:pPr>
      <w:r w:rsidRPr="00A13BB7">
        <w:t>Enter “</w:t>
      </w:r>
      <w:r w:rsidR="00B42127">
        <w:t>YES</w:t>
      </w:r>
      <w:r w:rsidRPr="00A13BB7">
        <w:t>” if the affected facility has a flue gas desulfurization system. Otherwise, enter “</w:t>
      </w:r>
      <w:r w:rsidR="00B42127">
        <w:t>NO</w:t>
      </w:r>
      <w:r w:rsidRPr="00A13BB7">
        <w:t>.”</w:t>
      </w:r>
    </w:p>
    <w:p w14:paraId="7F440C38" w14:textId="77777777" w:rsidR="00F861CF" w:rsidRPr="00EF0801" w:rsidRDefault="00F861CF" w:rsidP="001F60FB">
      <w:pPr>
        <w:pBdr>
          <w:bottom w:val="double" w:sz="6" w:space="1" w:color="auto"/>
        </w:pBdr>
        <w:tabs>
          <w:tab w:val="left" w:pos="0"/>
        </w:tabs>
      </w:pPr>
    </w:p>
    <w:bookmarkStart w:id="24" w:name="Table_2c"/>
    <w:bookmarkStart w:id="25" w:name="_Hlk31275297"/>
    <w:p w14:paraId="3D3EFEA4" w14:textId="663550D3" w:rsidR="00F861CF" w:rsidRPr="009070CF" w:rsidRDefault="00550F41" w:rsidP="00256939">
      <w:pPr>
        <w:pStyle w:val="APDChapterTitles"/>
        <w:rPr>
          <w:rStyle w:val="APDTableChapterChar"/>
          <w:rFonts w:eastAsia="Calibri"/>
          <w:b/>
          <w:bCs w:val="0"/>
        </w:rPr>
      </w:pPr>
      <w:r w:rsidRPr="001A7644">
        <w:rPr>
          <w:rStyle w:val="Hyperlink"/>
          <w:rFonts w:eastAsia="Calibri"/>
          <w:b/>
        </w:rPr>
        <w:fldChar w:fldCharType="begin"/>
      </w:r>
      <w:r w:rsidR="0033738C" w:rsidRPr="001A7644">
        <w:rPr>
          <w:rStyle w:val="Hyperlink"/>
          <w:rFonts w:eastAsia="Calibri"/>
          <w:b/>
        </w:rPr>
        <w:instrText>HYPERLINK  \l "TBL_2c" \o "Table 2c"</w:instrText>
      </w:r>
      <w:r w:rsidRPr="001A7644">
        <w:rPr>
          <w:rStyle w:val="Hyperlink"/>
          <w:rFonts w:eastAsia="Calibri"/>
          <w:b/>
        </w:rPr>
      </w:r>
      <w:r w:rsidRPr="001A7644">
        <w:rPr>
          <w:rStyle w:val="Hyperlink"/>
          <w:rFonts w:eastAsia="Calibri"/>
          <w:b/>
        </w:rPr>
        <w:fldChar w:fldCharType="separate"/>
      </w:r>
      <w:bookmarkStart w:id="26" w:name="_Toc180398492"/>
      <w:bookmarkStart w:id="27" w:name="_Toc180398546"/>
      <w:r w:rsidR="00F861CF" w:rsidRPr="001A7644">
        <w:rPr>
          <w:rStyle w:val="Hyperlink"/>
          <w:rFonts w:eastAsia="Calibri"/>
          <w:b/>
        </w:rPr>
        <w:t>Table 2c</w:t>
      </w:r>
      <w:r w:rsidRPr="001A7644">
        <w:rPr>
          <w:rStyle w:val="Hyperlink"/>
          <w:rFonts w:eastAsia="Calibri"/>
          <w:b/>
        </w:rPr>
        <w:fldChar w:fldCharType="end"/>
      </w:r>
      <w:bookmarkEnd w:id="24"/>
      <w:r w:rsidR="00F861CF" w:rsidRPr="001A7644">
        <w:rPr>
          <w:rFonts w:eastAsia="Calibri"/>
          <w:b w:val="0"/>
          <w:szCs w:val="20"/>
        </w:rPr>
        <w:t>:</w:t>
      </w:r>
      <w:bookmarkEnd w:id="25"/>
      <w:r w:rsidR="00F861CF" w:rsidRPr="00EF0801">
        <w:rPr>
          <w:rFonts w:eastAsia="Calibri"/>
          <w:szCs w:val="20"/>
        </w:rPr>
        <w:tab/>
      </w:r>
      <w:r w:rsidR="00F861CF" w:rsidRPr="009070CF">
        <w:rPr>
          <w:rStyle w:val="APDTableChapterChar"/>
          <w:rFonts w:eastAsia="Calibri"/>
          <w:b/>
        </w:rPr>
        <w:t>Title 40 Code of Federal Regulations Part 60 (40 CFR Part 60)</w:t>
      </w:r>
      <w:r w:rsidR="00B66865" w:rsidRPr="009070CF">
        <w:rPr>
          <w:rStyle w:val="APDTableChapterChar"/>
          <w:rFonts w:eastAsia="Calibri"/>
          <w:b/>
        </w:rPr>
        <w:t xml:space="preserve">, </w:t>
      </w:r>
      <w:r w:rsidR="00F861CF" w:rsidRPr="009070CF">
        <w:rPr>
          <w:rStyle w:val="APDTableChapterChar"/>
          <w:rFonts w:eastAsia="Calibri"/>
          <w:b/>
        </w:rPr>
        <w:t>Subpart Da:  Standards of Performance for Electric Utility Steam Generating Units</w:t>
      </w:r>
      <w:bookmarkEnd w:id="26"/>
      <w:bookmarkEnd w:id="27"/>
    </w:p>
    <w:p w14:paraId="34BBA2EF" w14:textId="217F04D7" w:rsidR="00F861CF" w:rsidRPr="00131AF7" w:rsidRDefault="00F861CF" w:rsidP="00131AF7">
      <w:pPr>
        <w:pStyle w:val="APDStrong"/>
      </w:pPr>
      <w:r w:rsidRPr="00131AF7">
        <w:t xml:space="preserve">Unit ID </w:t>
      </w:r>
      <w:r w:rsidR="00B42127">
        <w:t>No</w:t>
      </w:r>
      <w:r w:rsidRPr="00131AF7">
        <w:t>.:</w:t>
      </w:r>
    </w:p>
    <w:p w14:paraId="050DEFF7" w14:textId="27592F11" w:rsidR="009C0F72" w:rsidRPr="00A13BB7" w:rsidRDefault="00F861CF" w:rsidP="00A13BB7">
      <w:pPr>
        <w:pStyle w:val="APDBodyText"/>
      </w:pPr>
      <w:r w:rsidRPr="00A13BB7">
        <w:t xml:space="preserve">Enter the identification number (ID </w:t>
      </w:r>
      <w:r w:rsidR="00B42127">
        <w:t>N</w:t>
      </w:r>
      <w:r w:rsidR="005667BA">
        <w:t>o</w:t>
      </w:r>
      <w:r w:rsidRPr="00A13BB7">
        <w:t>.) for the unit (maximum 10 characters) as li</w:t>
      </w:r>
      <w:r w:rsidR="006F1B13" w:rsidRPr="00A13BB7">
        <w:t xml:space="preserve">sted on Form OP-SUM (Individual </w:t>
      </w:r>
      <w:r w:rsidRPr="00A13BB7">
        <w:t>Unit Summary).</w:t>
      </w:r>
    </w:p>
    <w:p w14:paraId="7FFC6AF0" w14:textId="39150E7A" w:rsidR="00F861CF" w:rsidRPr="00131AF7" w:rsidRDefault="00F861CF" w:rsidP="00131AF7">
      <w:pPr>
        <w:pStyle w:val="APDStrong"/>
      </w:pPr>
      <w:r w:rsidRPr="00131AF7">
        <w:t xml:space="preserve">SOP Index </w:t>
      </w:r>
      <w:r w:rsidR="00B42127">
        <w:t>No</w:t>
      </w:r>
      <w:r w:rsidRPr="00131AF7">
        <w:t>.:</w:t>
      </w:r>
    </w:p>
    <w:p w14:paraId="4FFCCA3E" w14:textId="0F7C3474" w:rsidR="00584E6D" w:rsidRPr="00EF0801" w:rsidRDefault="00F861CF" w:rsidP="00A13BB7">
      <w:pPr>
        <w:pStyle w:val="APDBodyText"/>
      </w:pPr>
      <w:r w:rsidRPr="00A13BB7">
        <w:t xml:space="preserve">Site operating permit (SOP) applicants should indicate the SOP index number for the </w:t>
      </w:r>
      <w:r w:rsidR="006F1B13" w:rsidRPr="00A13BB7">
        <w:t>unit or group of units (maximum</w:t>
      </w:r>
      <w:r w:rsidR="00B6557C" w:rsidRPr="00A13BB7">
        <w:t> </w:t>
      </w:r>
      <w:r w:rsidR="006F1B13" w:rsidRPr="00A13BB7">
        <w:t>15</w:t>
      </w:r>
      <w:r w:rsidR="00B6557C" w:rsidRPr="00A13BB7">
        <w:t> </w:t>
      </w:r>
      <w:r w:rsidRPr="00A13BB7">
        <w:t xml:space="preserve">characters consisting of numeric, alphanumeric characters, and/or dashes prefixed by a code for the applicable regulation [i.e., 60KB-XXXX]). For additional information relating to SOP index numbers, </w:t>
      </w:r>
      <w:r w:rsidR="00584E6D" w:rsidRPr="00A13BB7">
        <w:t>please see the Completing FOP Applications – Additional Guidance on the TCEQ website at</w:t>
      </w:r>
      <w:r w:rsidR="00584E6D" w:rsidRPr="00EF0801">
        <w:t xml:space="preserve"> </w:t>
      </w:r>
      <w:hyperlink r:id="rId18" w:tooltip="TCEQ - Completing FOP Applications - Additional Guidance" w:history="1">
        <w:r w:rsidR="00584E6D" w:rsidRPr="00885E28">
          <w:rPr>
            <w:rStyle w:val="Hyperlink"/>
          </w:rPr>
          <w:t>www.tceq.texas.gov/permitting/air/guidance/titlev/tv_fop_guidance.html</w:t>
        </w:r>
      </w:hyperlink>
      <w:r w:rsidR="00584E6D" w:rsidRPr="00EF0801">
        <w:t>.</w:t>
      </w:r>
    </w:p>
    <w:p w14:paraId="1B058830" w14:textId="39E10EDD" w:rsidR="007E2463" w:rsidRPr="00A115D0" w:rsidRDefault="007E2463" w:rsidP="00390EE3">
      <w:pPr>
        <w:pStyle w:val="APDCompleteStar"/>
      </w:pPr>
      <w:r w:rsidRPr="00A115D0">
        <w:t>Complete “</w:t>
      </w:r>
      <w:r w:rsidR="004F6614">
        <w:t>SO</w:t>
      </w:r>
      <w:r w:rsidR="00CF6C26" w:rsidRPr="00CF6C26">
        <w:rPr>
          <w:vertAlign w:val="subscript"/>
        </w:rPr>
        <w:t>2</w:t>
      </w:r>
      <w:r w:rsidRPr="00A115D0">
        <w:t xml:space="preserve"> Standard Basis” only if “Construction/Modification Date” is “05-11C,” 05-11R,” 05-11M,” “11+C,” “11+R</w:t>
      </w:r>
      <w:r w:rsidR="00C90F04" w:rsidRPr="00A115D0">
        <w:t>,</w:t>
      </w:r>
      <w:r w:rsidRPr="00A115D0">
        <w:t>” or “11+M.”</w:t>
      </w:r>
    </w:p>
    <w:p w14:paraId="3E465A8D" w14:textId="0A040D14" w:rsidR="007E2463" w:rsidRPr="00131AF7" w:rsidRDefault="004F6614" w:rsidP="00131AF7">
      <w:pPr>
        <w:pStyle w:val="APDStrong"/>
      </w:pPr>
      <w:bookmarkStart w:id="28" w:name="_Hlk116633304"/>
      <w:r>
        <w:t>SO</w:t>
      </w:r>
      <w:r w:rsidR="00CF6C26" w:rsidRPr="00CF6C26">
        <w:rPr>
          <w:vertAlign w:val="subscript"/>
        </w:rPr>
        <w:t>2</w:t>
      </w:r>
      <w:r w:rsidR="007E2463" w:rsidRPr="00131AF7">
        <w:t xml:space="preserve"> Standard Basis</w:t>
      </w:r>
      <w:bookmarkEnd w:id="28"/>
      <w:r w:rsidR="007E2463" w:rsidRPr="00131AF7">
        <w:t>:</w:t>
      </w:r>
    </w:p>
    <w:p w14:paraId="2C0CA725" w14:textId="0412C598" w:rsidR="007E2463" w:rsidRDefault="007E2463" w:rsidP="00A13BB7">
      <w:pPr>
        <w:pStyle w:val="APDBodyText"/>
      </w:pPr>
      <w:r w:rsidRPr="00A13BB7">
        <w:t xml:space="preserve">Select one of the following </w:t>
      </w:r>
      <w:r w:rsidR="004F6614">
        <w:t>SO</w:t>
      </w:r>
      <w:r w:rsidR="00524CB6" w:rsidRPr="00524CB6">
        <w:rPr>
          <w:vertAlign w:val="subscript"/>
        </w:rPr>
        <w:t>2</w:t>
      </w:r>
      <w:r w:rsidRPr="00A13BB7">
        <w:t xml:space="preserve"> standards.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C1E32" w14:paraId="7C342877" w14:textId="77777777" w:rsidTr="00A4022B">
        <w:trPr>
          <w:cantSplit/>
          <w:tblHeader/>
        </w:trPr>
        <w:tc>
          <w:tcPr>
            <w:tcW w:w="1530" w:type="dxa"/>
          </w:tcPr>
          <w:p w14:paraId="7B1F5A8D" w14:textId="17E39F3E" w:rsidR="008C1E32" w:rsidRPr="008C1E32" w:rsidRDefault="008C1E32" w:rsidP="008C1E32">
            <w:pPr>
              <w:rPr>
                <w:b/>
                <w:bCs/>
              </w:rPr>
            </w:pPr>
            <w:r w:rsidRPr="008C1E32">
              <w:rPr>
                <w:b/>
                <w:bCs/>
              </w:rPr>
              <w:t>Code</w:t>
            </w:r>
          </w:p>
        </w:tc>
        <w:tc>
          <w:tcPr>
            <w:tcW w:w="8550" w:type="dxa"/>
          </w:tcPr>
          <w:p w14:paraId="7CE1C449" w14:textId="1260C8A5" w:rsidR="008C1E32" w:rsidRPr="008C1E32" w:rsidRDefault="008C1E32" w:rsidP="008C1E32">
            <w:pPr>
              <w:rPr>
                <w:b/>
                <w:bCs/>
              </w:rPr>
            </w:pPr>
            <w:r w:rsidRPr="008C1E32">
              <w:rPr>
                <w:b/>
                <w:bCs/>
              </w:rPr>
              <w:t>Description</w:t>
            </w:r>
          </w:p>
        </w:tc>
      </w:tr>
      <w:tr w:rsidR="008C1E32" w14:paraId="038E6F31" w14:textId="77777777" w:rsidTr="00A4022B">
        <w:trPr>
          <w:cantSplit/>
          <w:tblHeader/>
        </w:trPr>
        <w:tc>
          <w:tcPr>
            <w:tcW w:w="1530" w:type="dxa"/>
          </w:tcPr>
          <w:p w14:paraId="7801587C" w14:textId="25FE217C" w:rsidR="008C1E32" w:rsidRDefault="008C1E32" w:rsidP="008C1E32">
            <w:r w:rsidRPr="0021797A">
              <w:t>SO</w:t>
            </w:r>
            <w:r w:rsidRPr="0021797A">
              <w:rPr>
                <w:vertAlign w:val="subscript"/>
              </w:rPr>
              <w:t>2</w:t>
            </w:r>
            <w:r w:rsidRPr="0021797A">
              <w:t>GEO</w:t>
            </w:r>
          </w:p>
        </w:tc>
        <w:tc>
          <w:tcPr>
            <w:tcW w:w="8550" w:type="dxa"/>
          </w:tcPr>
          <w:p w14:paraId="66AC859B" w14:textId="215746B9" w:rsidR="008C1E32" w:rsidRDefault="008C1E32" w:rsidP="008C1E32">
            <w:r w:rsidRPr="0021797A">
              <w:t>The facility meets a standard that is gross energy output-based</w:t>
            </w:r>
          </w:p>
        </w:tc>
      </w:tr>
      <w:tr w:rsidR="008C1E32" w14:paraId="073EE084" w14:textId="77777777" w:rsidTr="00A4022B">
        <w:trPr>
          <w:cantSplit/>
          <w:tblHeader/>
        </w:trPr>
        <w:tc>
          <w:tcPr>
            <w:tcW w:w="1530" w:type="dxa"/>
          </w:tcPr>
          <w:p w14:paraId="0A4C6327" w14:textId="2C40F549" w:rsidR="008C1E32" w:rsidRDefault="008C1E32" w:rsidP="008C1E32">
            <w:r w:rsidRPr="0021797A">
              <w:t>SO</w:t>
            </w:r>
            <w:r w:rsidRPr="0021797A">
              <w:rPr>
                <w:vertAlign w:val="subscript"/>
              </w:rPr>
              <w:t>2</w:t>
            </w:r>
            <w:r w:rsidRPr="0021797A">
              <w:t>NEO</w:t>
            </w:r>
          </w:p>
        </w:tc>
        <w:tc>
          <w:tcPr>
            <w:tcW w:w="8550" w:type="dxa"/>
          </w:tcPr>
          <w:p w14:paraId="2F84730F" w14:textId="530EAF56" w:rsidR="008C1E32" w:rsidRDefault="008C1E32" w:rsidP="008C1E32">
            <w:r w:rsidRPr="0021797A">
              <w:t>The facility meets a standard that is net energy output-based</w:t>
            </w:r>
          </w:p>
        </w:tc>
      </w:tr>
      <w:tr w:rsidR="008C1E32" w14:paraId="78845DA7" w14:textId="77777777" w:rsidTr="00A4022B">
        <w:trPr>
          <w:cantSplit/>
          <w:tblHeader/>
        </w:trPr>
        <w:tc>
          <w:tcPr>
            <w:tcW w:w="1530" w:type="dxa"/>
          </w:tcPr>
          <w:p w14:paraId="1237E82B" w14:textId="75694A75" w:rsidR="008C1E32" w:rsidRDefault="008C1E32" w:rsidP="008C1E32">
            <w:r w:rsidRPr="0021797A">
              <w:t>SO</w:t>
            </w:r>
            <w:r w:rsidRPr="0021797A">
              <w:rPr>
                <w:vertAlign w:val="subscript"/>
              </w:rPr>
              <w:t>2</w:t>
            </w:r>
            <w:r w:rsidRPr="0021797A">
              <w:t>HIN</w:t>
            </w:r>
          </w:p>
        </w:tc>
        <w:tc>
          <w:tcPr>
            <w:tcW w:w="8550" w:type="dxa"/>
          </w:tcPr>
          <w:p w14:paraId="05D286A7" w14:textId="635A7100" w:rsidR="008C1E32" w:rsidRDefault="008C1E32" w:rsidP="008C1E32">
            <w:r w:rsidRPr="0021797A">
              <w:t>The facility meets a standard that is heat input-based</w:t>
            </w:r>
          </w:p>
        </w:tc>
      </w:tr>
      <w:tr w:rsidR="008C1E32" w14:paraId="66E90FAD" w14:textId="77777777" w:rsidTr="00A4022B">
        <w:trPr>
          <w:cantSplit/>
          <w:tblHeader/>
        </w:trPr>
        <w:tc>
          <w:tcPr>
            <w:tcW w:w="1530" w:type="dxa"/>
          </w:tcPr>
          <w:p w14:paraId="0909B739" w14:textId="1FADE8A4" w:rsidR="008C1E32" w:rsidRDefault="008C1E32" w:rsidP="008C1E32">
            <w:r w:rsidRPr="0021797A">
              <w:t>NEITHER</w:t>
            </w:r>
          </w:p>
        </w:tc>
        <w:tc>
          <w:tcPr>
            <w:tcW w:w="8550" w:type="dxa"/>
          </w:tcPr>
          <w:p w14:paraId="54C6BA61" w14:textId="6DC294AC" w:rsidR="008C1E32" w:rsidRDefault="008C1E32" w:rsidP="008C1E32">
            <w:r w:rsidRPr="0021797A">
              <w:t>The facility meets a standard other than output- or input-based (i.e. percent reduction)</w:t>
            </w:r>
          </w:p>
        </w:tc>
      </w:tr>
    </w:tbl>
    <w:p w14:paraId="4CC1C130" w14:textId="77777777" w:rsidR="007E2463" w:rsidRPr="00131AF7" w:rsidRDefault="007E2463" w:rsidP="00C9573C">
      <w:pPr>
        <w:pStyle w:val="APDStrong"/>
        <w:spacing w:before="120"/>
      </w:pPr>
      <w:bookmarkStart w:id="29" w:name="_Hlk128136696"/>
      <w:r w:rsidRPr="00131AF7">
        <w:t>NOx Commercial Demonstration Permit:</w:t>
      </w:r>
    </w:p>
    <w:bookmarkEnd w:id="29"/>
    <w:p w14:paraId="401D2D12" w14:textId="60A8CCF5" w:rsidR="007E2463" w:rsidRPr="00A13BB7" w:rsidRDefault="007E2463" w:rsidP="00A13BB7">
      <w:pPr>
        <w:pStyle w:val="APDBodyText"/>
      </w:pPr>
      <w:r w:rsidRPr="00A13BB7">
        <w:t>Enter “</w:t>
      </w:r>
      <w:r w:rsidR="00B42127">
        <w:t>YES</w:t>
      </w:r>
      <w:r w:rsidRPr="00A13BB7">
        <w:t>” if the facility is operating under a NOx commercial demonstration permit issued by the Administrator</w:t>
      </w:r>
      <w:r w:rsidR="00B42127">
        <w:t xml:space="preserve"> </w:t>
      </w:r>
      <w:r w:rsidRPr="00A13BB7">
        <w:t>according to the provisions of § 60.47Da. Otherwise, enter “</w:t>
      </w:r>
      <w:r w:rsidR="00B42127">
        <w:t>NO</w:t>
      </w:r>
      <w:r w:rsidRPr="00A13BB7">
        <w:t>.”</w:t>
      </w:r>
    </w:p>
    <w:p w14:paraId="36B6567B" w14:textId="77777777" w:rsidR="00F27974" w:rsidRDefault="007E2463" w:rsidP="001A77D6">
      <w:pPr>
        <w:pStyle w:val="APDContinueTriangle"/>
      </w:pPr>
      <w:r w:rsidRPr="00A115D0">
        <w:t>Do not continue if “NOx Commercial Demonstration Permit” is “</w:t>
      </w:r>
      <w:r w:rsidR="00B42127">
        <w:t>YES</w:t>
      </w:r>
      <w:r w:rsidRPr="00A115D0">
        <w:t>.”</w:t>
      </w:r>
    </w:p>
    <w:p w14:paraId="7D39C22C" w14:textId="3D27B0CC" w:rsidR="006B014D" w:rsidRPr="00F27974" w:rsidRDefault="009D2896" w:rsidP="00F27974">
      <w:pPr>
        <w:pStyle w:val="APDCompleteStar"/>
      </w:pPr>
      <w:r w:rsidRPr="00F27974">
        <w:t>Complete “Alternative Standard for Combined NOx and CO” only if “Construction/Modification Date” is</w:t>
      </w:r>
      <w:r w:rsidR="00555683" w:rsidRPr="00F27974">
        <w:t xml:space="preserve"> </w:t>
      </w:r>
      <w:r w:rsidRPr="00F27974">
        <w:t>“</w:t>
      </w:r>
      <w:r w:rsidR="007E2463" w:rsidRPr="00F27974">
        <w:t>11+C,” “11+R</w:t>
      </w:r>
      <w:r w:rsidR="00BF46AB" w:rsidRPr="00F27974">
        <w:t>,</w:t>
      </w:r>
      <w:r w:rsidR="007E2463" w:rsidRPr="00F27974">
        <w:t>” or “11+M</w:t>
      </w:r>
      <w:r w:rsidR="00347589" w:rsidRPr="00F27974">
        <w:t>.</w:t>
      </w:r>
      <w:r w:rsidR="007E2463" w:rsidRPr="00F27974">
        <w:t>”</w:t>
      </w:r>
    </w:p>
    <w:p w14:paraId="1DF75DB7" w14:textId="5190AB80" w:rsidR="009350A1" w:rsidRPr="00C046A9" w:rsidRDefault="007E2463" w:rsidP="00C046A9">
      <w:pPr>
        <w:pStyle w:val="APDStrong"/>
      </w:pPr>
      <w:r w:rsidRPr="00C046A9">
        <w:t>Alternative Standards for Combined NOx and CO:</w:t>
      </w:r>
    </w:p>
    <w:p w14:paraId="36101CB4" w14:textId="15AFF0A2" w:rsidR="007810EB" w:rsidRDefault="007810EB" w:rsidP="003A27C4">
      <w:pPr>
        <w:pStyle w:val="APDBodyText"/>
      </w:pPr>
      <w:r w:rsidRPr="003A27C4">
        <w:t>Select one of the following options for the alternative standards for combined NOx + CO.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82019" w14:paraId="430DAE85" w14:textId="77777777" w:rsidTr="00A4022B">
        <w:trPr>
          <w:cantSplit/>
          <w:tblHeader/>
        </w:trPr>
        <w:tc>
          <w:tcPr>
            <w:tcW w:w="1530" w:type="dxa"/>
          </w:tcPr>
          <w:p w14:paraId="18B83D6F" w14:textId="540EA78C" w:rsidR="00882019" w:rsidRPr="00882019" w:rsidRDefault="00882019" w:rsidP="00882019">
            <w:pPr>
              <w:rPr>
                <w:b/>
                <w:bCs/>
              </w:rPr>
            </w:pPr>
            <w:r w:rsidRPr="00882019">
              <w:rPr>
                <w:b/>
                <w:bCs/>
              </w:rPr>
              <w:t>Code</w:t>
            </w:r>
          </w:p>
        </w:tc>
        <w:tc>
          <w:tcPr>
            <w:tcW w:w="8550" w:type="dxa"/>
          </w:tcPr>
          <w:p w14:paraId="6F199247" w14:textId="513E7CDA" w:rsidR="00882019" w:rsidRPr="00882019" w:rsidRDefault="00882019" w:rsidP="00882019">
            <w:pPr>
              <w:rPr>
                <w:b/>
                <w:bCs/>
              </w:rPr>
            </w:pPr>
            <w:r w:rsidRPr="00882019">
              <w:rPr>
                <w:b/>
                <w:bCs/>
              </w:rPr>
              <w:t>Description</w:t>
            </w:r>
          </w:p>
        </w:tc>
      </w:tr>
      <w:tr w:rsidR="00882019" w14:paraId="2630DEEF" w14:textId="77777777" w:rsidTr="00A4022B">
        <w:trPr>
          <w:cantSplit/>
          <w:tblHeader/>
        </w:trPr>
        <w:tc>
          <w:tcPr>
            <w:tcW w:w="1530" w:type="dxa"/>
          </w:tcPr>
          <w:p w14:paraId="7EED008D" w14:textId="65488C9D" w:rsidR="00882019" w:rsidRDefault="00882019" w:rsidP="00882019">
            <w:r w:rsidRPr="00CB504E">
              <w:t>NOXGEO</w:t>
            </w:r>
          </w:p>
        </w:tc>
        <w:tc>
          <w:tcPr>
            <w:tcW w:w="8550" w:type="dxa"/>
          </w:tcPr>
          <w:p w14:paraId="653B1210" w14:textId="2B473F93" w:rsidR="00882019" w:rsidRDefault="00882019" w:rsidP="00882019">
            <w:r w:rsidRPr="00CB504E">
              <w:t>The facility is electing to meet the applicable standard for combined NOX and CO standard that is gross energy output-based</w:t>
            </w:r>
          </w:p>
        </w:tc>
      </w:tr>
      <w:tr w:rsidR="00882019" w14:paraId="63F99D72" w14:textId="77777777" w:rsidTr="00A4022B">
        <w:trPr>
          <w:cantSplit/>
          <w:tblHeader/>
        </w:trPr>
        <w:tc>
          <w:tcPr>
            <w:tcW w:w="1530" w:type="dxa"/>
          </w:tcPr>
          <w:p w14:paraId="3BE5389D" w14:textId="675EAA64" w:rsidR="00882019" w:rsidRDefault="00882019" w:rsidP="00882019">
            <w:r w:rsidRPr="00CB504E">
              <w:t>NOXNEO</w:t>
            </w:r>
          </w:p>
        </w:tc>
        <w:tc>
          <w:tcPr>
            <w:tcW w:w="8550" w:type="dxa"/>
          </w:tcPr>
          <w:p w14:paraId="63B9A4F1" w14:textId="35BB9CD0" w:rsidR="00882019" w:rsidRDefault="00882019" w:rsidP="00882019">
            <w:r w:rsidRPr="00CB504E">
              <w:t>The facility is electing to meet the applicable standard for combined NOX and CO standard that is net energy output-based</w:t>
            </w:r>
          </w:p>
        </w:tc>
      </w:tr>
      <w:tr w:rsidR="00882019" w14:paraId="6D369591" w14:textId="77777777" w:rsidTr="00A4022B">
        <w:trPr>
          <w:cantSplit/>
          <w:tblHeader/>
        </w:trPr>
        <w:tc>
          <w:tcPr>
            <w:tcW w:w="1530" w:type="dxa"/>
          </w:tcPr>
          <w:p w14:paraId="7A1A0DD4" w14:textId="797BB346" w:rsidR="00882019" w:rsidRDefault="00882019" w:rsidP="00882019">
            <w:r w:rsidRPr="00CB504E">
              <w:t>NONE</w:t>
            </w:r>
          </w:p>
        </w:tc>
        <w:tc>
          <w:tcPr>
            <w:tcW w:w="8550" w:type="dxa"/>
          </w:tcPr>
          <w:p w14:paraId="5491820A" w14:textId="19996ADC" w:rsidR="00882019" w:rsidRDefault="00882019" w:rsidP="00882019">
            <w:r w:rsidRPr="00CB504E">
              <w:t>The facility is not electing to meet the applicable standard for combined NOX and CO</w:t>
            </w:r>
          </w:p>
        </w:tc>
      </w:tr>
    </w:tbl>
    <w:p w14:paraId="6D1B4A52" w14:textId="251FA67E" w:rsidR="007E2463" w:rsidRPr="00555683" w:rsidRDefault="007E2463" w:rsidP="000646EC">
      <w:pPr>
        <w:pStyle w:val="APDCompleteStar"/>
      </w:pPr>
      <w:r w:rsidRPr="00555683">
        <w:t xml:space="preserve">Complete “NOx Standard Basis” only if “Construction/Modification Date” is </w:t>
      </w:r>
      <w:r w:rsidR="00A966E6" w:rsidRPr="00555683">
        <w:t>“</w:t>
      </w:r>
      <w:r w:rsidRPr="00555683">
        <w:t>05-11R,” 05-11M,” “11+C,” or “11+R” and “Combined Cycle Type” is not “IGCC.”</w:t>
      </w:r>
    </w:p>
    <w:p w14:paraId="1C205F5D" w14:textId="77777777" w:rsidR="00063A4B" w:rsidRDefault="00063A4B" w:rsidP="00C046A9">
      <w:pPr>
        <w:pStyle w:val="APDStrong"/>
        <w:sectPr w:rsidR="00063A4B" w:rsidSect="0031268E">
          <w:pgSz w:w="12240" w:h="15840" w:code="1"/>
          <w:pgMar w:top="720" w:right="720" w:bottom="720" w:left="720" w:header="720" w:footer="720" w:gutter="0"/>
          <w:cols w:space="720"/>
          <w:titlePg/>
          <w:docGrid w:linePitch="360"/>
        </w:sectPr>
      </w:pPr>
    </w:p>
    <w:p w14:paraId="4AFF20E7" w14:textId="77777777" w:rsidR="007E2463" w:rsidRPr="00C046A9" w:rsidRDefault="007E2463" w:rsidP="00C046A9">
      <w:pPr>
        <w:pStyle w:val="APDStrong"/>
      </w:pPr>
      <w:r w:rsidRPr="00C046A9">
        <w:lastRenderedPageBreak/>
        <w:t xml:space="preserve">NOx </w:t>
      </w:r>
      <w:bookmarkStart w:id="30" w:name="_Hlk116633438"/>
      <w:r w:rsidRPr="00C046A9">
        <w:t>Standard Basis</w:t>
      </w:r>
      <w:bookmarkEnd w:id="30"/>
      <w:r w:rsidRPr="00C046A9">
        <w:t>:</w:t>
      </w:r>
    </w:p>
    <w:p w14:paraId="45B4ABC6" w14:textId="46AD993A" w:rsidR="007E2463" w:rsidRPr="003A27C4" w:rsidRDefault="007E2463" w:rsidP="003A27C4">
      <w:pPr>
        <w:pStyle w:val="APDBodyText"/>
      </w:pPr>
      <w:r w:rsidRPr="003A27C4">
        <w:t>Select one of the following NOx standards. Enter the code on the form.</w:t>
      </w:r>
    </w:p>
    <w:p w14:paraId="6723C1B5" w14:textId="77777777" w:rsidR="007E2463" w:rsidRDefault="007E2463" w:rsidP="003A27C4">
      <w:pPr>
        <w:pStyle w:val="APDCodeIdentifiers"/>
      </w:pPr>
      <w:r>
        <w:t>For facilities</w:t>
      </w:r>
      <w:r w:rsidRPr="004B066B">
        <w:t xml:space="preserve"> </w:t>
      </w:r>
      <w:r>
        <w:t>c</w:t>
      </w:r>
      <w:r w:rsidRPr="005D212D">
        <w:t>onstructed</w:t>
      </w:r>
      <w:r>
        <w:t>, re</w:t>
      </w:r>
      <w:r w:rsidRPr="005D212D">
        <w:t>constructed</w:t>
      </w:r>
      <w:r>
        <w:t>, or m</w:t>
      </w:r>
      <w:r w:rsidRPr="005D212D">
        <w:t>odified on or after May 4, 2011</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D3220" w14:paraId="245623FE" w14:textId="77777777" w:rsidTr="00A4022B">
        <w:trPr>
          <w:cantSplit/>
          <w:tblHeader/>
        </w:trPr>
        <w:tc>
          <w:tcPr>
            <w:tcW w:w="1530" w:type="dxa"/>
          </w:tcPr>
          <w:p w14:paraId="1EAA7AEE" w14:textId="11D80730" w:rsidR="00AD3220" w:rsidRPr="00AD3220" w:rsidRDefault="00AD3220" w:rsidP="00AD3220">
            <w:pPr>
              <w:rPr>
                <w:b/>
                <w:bCs/>
              </w:rPr>
            </w:pPr>
            <w:r w:rsidRPr="00AD3220">
              <w:rPr>
                <w:b/>
                <w:bCs/>
              </w:rPr>
              <w:t>Code</w:t>
            </w:r>
          </w:p>
        </w:tc>
        <w:tc>
          <w:tcPr>
            <w:tcW w:w="8550" w:type="dxa"/>
          </w:tcPr>
          <w:p w14:paraId="0D3AD04F" w14:textId="279887D1" w:rsidR="00AD3220" w:rsidRPr="00AD3220" w:rsidRDefault="00AD3220" w:rsidP="00AD3220">
            <w:pPr>
              <w:rPr>
                <w:b/>
                <w:bCs/>
              </w:rPr>
            </w:pPr>
            <w:r w:rsidRPr="00AD3220">
              <w:rPr>
                <w:b/>
                <w:bCs/>
              </w:rPr>
              <w:t>Description</w:t>
            </w:r>
          </w:p>
        </w:tc>
      </w:tr>
      <w:tr w:rsidR="00AD3220" w14:paraId="2F72F10B" w14:textId="77777777" w:rsidTr="00A4022B">
        <w:trPr>
          <w:cantSplit/>
          <w:tblHeader/>
        </w:trPr>
        <w:tc>
          <w:tcPr>
            <w:tcW w:w="1530" w:type="dxa"/>
          </w:tcPr>
          <w:p w14:paraId="17AF9115" w14:textId="219F2C6D" w:rsidR="00AD3220" w:rsidRDefault="00AD3220" w:rsidP="00AD3220">
            <w:r w:rsidRPr="007C0431">
              <w:t>NOXGEO</w:t>
            </w:r>
          </w:p>
        </w:tc>
        <w:tc>
          <w:tcPr>
            <w:tcW w:w="8550" w:type="dxa"/>
          </w:tcPr>
          <w:p w14:paraId="455D82E2" w14:textId="727820B8" w:rsidR="00AD3220" w:rsidRDefault="00AD3220" w:rsidP="00AD3220">
            <w:r w:rsidRPr="007C0431">
              <w:t>The facility meets a standard that is gross energy output-based</w:t>
            </w:r>
          </w:p>
        </w:tc>
      </w:tr>
      <w:tr w:rsidR="00AD3220" w14:paraId="1E7F7AE0" w14:textId="77777777" w:rsidTr="00A4022B">
        <w:trPr>
          <w:cantSplit/>
          <w:tblHeader/>
        </w:trPr>
        <w:tc>
          <w:tcPr>
            <w:tcW w:w="1530" w:type="dxa"/>
          </w:tcPr>
          <w:p w14:paraId="6795FDC6" w14:textId="058C2BDB" w:rsidR="00AD3220" w:rsidRDefault="00AD3220" w:rsidP="00AD3220">
            <w:r w:rsidRPr="007C0431">
              <w:t>NOXNEO</w:t>
            </w:r>
          </w:p>
        </w:tc>
        <w:tc>
          <w:tcPr>
            <w:tcW w:w="8550" w:type="dxa"/>
          </w:tcPr>
          <w:p w14:paraId="0035796A" w14:textId="6D7B3185" w:rsidR="00AD3220" w:rsidRDefault="00AD3220" w:rsidP="00AD3220">
            <w:r w:rsidRPr="007C0431">
              <w:t>The facility meets a standard that is net energy output-based</w:t>
            </w:r>
          </w:p>
        </w:tc>
      </w:tr>
    </w:tbl>
    <w:p w14:paraId="0DAF4018" w14:textId="14C14D6E" w:rsidR="007E2463" w:rsidRDefault="007E2463" w:rsidP="001C41D5">
      <w:pPr>
        <w:pStyle w:val="APDCodeIdentifiers"/>
        <w:spacing w:before="120"/>
      </w:pPr>
      <w:r>
        <w:t>For facilities re</w:t>
      </w:r>
      <w:r w:rsidRPr="005D212D">
        <w:t>constructed</w:t>
      </w:r>
      <w:r>
        <w:t xml:space="preserve"> </w:t>
      </w:r>
      <w:r w:rsidRPr="00EF0801">
        <w:t xml:space="preserve">after February 28, </w:t>
      </w:r>
      <w:r w:rsidR="009C0F72" w:rsidRPr="008D06C4">
        <w:t>2005,</w:t>
      </w:r>
      <w:r w:rsidRPr="008D06C4">
        <w:t xml:space="preserve"> </w:t>
      </w:r>
      <w:r w:rsidRPr="00CE4676">
        <w:t>and on or before May 3, 2011</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E645CC" w14:paraId="13EDE737" w14:textId="77777777" w:rsidTr="00A4022B">
        <w:trPr>
          <w:cantSplit/>
          <w:tblHeader/>
        </w:trPr>
        <w:tc>
          <w:tcPr>
            <w:tcW w:w="1530" w:type="dxa"/>
          </w:tcPr>
          <w:p w14:paraId="474C1F6C" w14:textId="79E32FA4" w:rsidR="00E645CC" w:rsidRPr="00E645CC" w:rsidRDefault="00E645CC" w:rsidP="00E645CC">
            <w:pPr>
              <w:rPr>
                <w:b/>
                <w:bCs/>
              </w:rPr>
            </w:pPr>
            <w:r w:rsidRPr="00E645CC">
              <w:rPr>
                <w:b/>
                <w:bCs/>
              </w:rPr>
              <w:t>Code</w:t>
            </w:r>
          </w:p>
        </w:tc>
        <w:tc>
          <w:tcPr>
            <w:tcW w:w="8550" w:type="dxa"/>
          </w:tcPr>
          <w:p w14:paraId="4E5E54F4" w14:textId="1BA7B206" w:rsidR="00E645CC" w:rsidRPr="00E645CC" w:rsidRDefault="00E645CC" w:rsidP="00E645CC">
            <w:pPr>
              <w:rPr>
                <w:b/>
                <w:bCs/>
              </w:rPr>
            </w:pPr>
            <w:r w:rsidRPr="00E645CC">
              <w:rPr>
                <w:b/>
                <w:bCs/>
              </w:rPr>
              <w:t>Description</w:t>
            </w:r>
          </w:p>
        </w:tc>
      </w:tr>
      <w:tr w:rsidR="00E645CC" w14:paraId="2F999856" w14:textId="77777777" w:rsidTr="00A4022B">
        <w:trPr>
          <w:cantSplit/>
          <w:tblHeader/>
        </w:trPr>
        <w:tc>
          <w:tcPr>
            <w:tcW w:w="1530" w:type="dxa"/>
          </w:tcPr>
          <w:p w14:paraId="28CBE2E7" w14:textId="0B654502" w:rsidR="00E645CC" w:rsidRDefault="00E645CC" w:rsidP="00E645CC">
            <w:r w:rsidRPr="00C96DCB">
              <w:t>NOXGEO</w:t>
            </w:r>
          </w:p>
        </w:tc>
        <w:tc>
          <w:tcPr>
            <w:tcW w:w="8550" w:type="dxa"/>
          </w:tcPr>
          <w:p w14:paraId="30CC7B0E" w14:textId="47151360" w:rsidR="00E645CC" w:rsidRDefault="00E645CC" w:rsidP="00E645CC">
            <w:r w:rsidRPr="00C96DCB">
              <w:t>The facility meets a standard that is gross energy output-based</w:t>
            </w:r>
          </w:p>
        </w:tc>
      </w:tr>
      <w:tr w:rsidR="00E645CC" w14:paraId="36DD7347" w14:textId="77777777" w:rsidTr="00A4022B">
        <w:trPr>
          <w:cantSplit/>
          <w:tblHeader/>
        </w:trPr>
        <w:tc>
          <w:tcPr>
            <w:tcW w:w="1530" w:type="dxa"/>
          </w:tcPr>
          <w:p w14:paraId="3275E353" w14:textId="0E9525D1" w:rsidR="00E645CC" w:rsidRDefault="00E645CC" w:rsidP="00E645CC">
            <w:r w:rsidRPr="00C96DCB">
              <w:t>NOXHIN</w:t>
            </w:r>
          </w:p>
        </w:tc>
        <w:tc>
          <w:tcPr>
            <w:tcW w:w="8550" w:type="dxa"/>
          </w:tcPr>
          <w:p w14:paraId="6F9EB6F3" w14:textId="0AD87189" w:rsidR="00E645CC" w:rsidRDefault="00E645CC" w:rsidP="00E645CC">
            <w:r w:rsidRPr="00C96DCB">
              <w:t>The facility meets a standard that is heat input-based</w:t>
            </w:r>
          </w:p>
        </w:tc>
      </w:tr>
    </w:tbl>
    <w:p w14:paraId="1CCA049A" w14:textId="5F05AFF5" w:rsidR="00D44A48" w:rsidRPr="00555683" w:rsidRDefault="00D44A48" w:rsidP="00390EE3">
      <w:pPr>
        <w:pStyle w:val="APDCompleteStar"/>
      </w:pPr>
      <w:r w:rsidRPr="00555683">
        <w:t>Complete “Duct Burner” only if “Construction/Modification Date” is “78-97”</w:t>
      </w:r>
      <w:r w:rsidR="00F107A2" w:rsidRPr="00555683">
        <w:t xml:space="preserve"> and</w:t>
      </w:r>
      <w:r w:rsidRPr="00555683">
        <w:t xml:space="preserve"> </w:t>
      </w:r>
      <w:r w:rsidR="00F107A2" w:rsidRPr="00555683">
        <w:t>if only one “D-Series Fuel Type” was entered</w:t>
      </w:r>
      <w:r w:rsidR="00487273" w:rsidRPr="00555683">
        <w:t>;</w:t>
      </w:r>
      <w:r w:rsidR="00F107A2" w:rsidRPr="00555683">
        <w:t xml:space="preserve"> or if “Construction/Modification Date” is </w:t>
      </w:r>
      <w:r w:rsidRPr="00555683">
        <w:t>“97-05C</w:t>
      </w:r>
      <w:r w:rsidR="00487273" w:rsidRPr="00555683">
        <w:t>;</w:t>
      </w:r>
      <w:r w:rsidRPr="00555683">
        <w:t xml:space="preserve">” or </w:t>
      </w:r>
      <w:r w:rsidR="00F107A2" w:rsidRPr="00555683">
        <w:t xml:space="preserve">if </w:t>
      </w:r>
      <w:r w:rsidR="00487273" w:rsidRPr="00555683">
        <w:t>“Construction/Modification Date” is “05-11C” and “</w:t>
      </w:r>
      <w:r w:rsidR="00F107A2" w:rsidRPr="00555683">
        <w:t xml:space="preserve">Combined Cycle Type” is not </w:t>
      </w:r>
      <w:r w:rsidR="00487273" w:rsidRPr="00555683">
        <w:t>“</w:t>
      </w:r>
      <w:r w:rsidR="00F107A2" w:rsidRPr="00555683">
        <w:t>IGCC</w:t>
      </w:r>
      <w:r w:rsidR="00487273" w:rsidRPr="00555683">
        <w:t>.”</w:t>
      </w:r>
    </w:p>
    <w:p w14:paraId="0BDEC815" w14:textId="77777777" w:rsidR="00D44A48" w:rsidRPr="00C046A9" w:rsidRDefault="00D44A48" w:rsidP="00C046A9">
      <w:pPr>
        <w:pStyle w:val="APDStrong"/>
      </w:pPr>
      <w:r w:rsidRPr="00C046A9">
        <w:t>Duct Burner:</w:t>
      </w:r>
    </w:p>
    <w:p w14:paraId="6B24875E" w14:textId="0D37233C" w:rsidR="00D44A48" w:rsidRPr="003A27C4" w:rsidRDefault="00D44A48" w:rsidP="003A27C4">
      <w:pPr>
        <w:pStyle w:val="APDBodyText"/>
      </w:pPr>
      <w:r w:rsidRPr="003A27C4">
        <w:t>Enter “</w:t>
      </w:r>
      <w:r w:rsidR="00B42127">
        <w:t>YES</w:t>
      </w:r>
      <w:r w:rsidRPr="003A27C4">
        <w:t>” if the unit is a duct burner. Otherwise, enter “</w:t>
      </w:r>
      <w:r w:rsidR="00B42127">
        <w:t>NO</w:t>
      </w:r>
      <w:r w:rsidRPr="003A27C4">
        <w:t>.”</w:t>
      </w:r>
    </w:p>
    <w:p w14:paraId="7848BFD5" w14:textId="77777777" w:rsidR="004D5132" w:rsidRDefault="00F861CF" w:rsidP="00390EE3">
      <w:pPr>
        <w:pStyle w:val="APDCompleteStar"/>
      </w:pPr>
      <w:r w:rsidRPr="00555683">
        <w:t>Complete “PM Flow Monitoring System” only if “PM Standard” is</w:t>
      </w:r>
      <w:r w:rsidR="00A13B35" w:rsidRPr="00555683">
        <w:t xml:space="preserve"> “PMGEO” or “PMNEO.”</w:t>
      </w:r>
    </w:p>
    <w:p w14:paraId="22657C21" w14:textId="5CAC2000" w:rsidR="00F861CF" w:rsidRPr="00C046A9" w:rsidRDefault="00F861CF" w:rsidP="00C046A9">
      <w:pPr>
        <w:pStyle w:val="APDStrong"/>
      </w:pPr>
      <w:r w:rsidRPr="00C046A9">
        <w:t>PM Flow Monitoring System:</w:t>
      </w:r>
    </w:p>
    <w:p w14:paraId="2A57C399" w14:textId="643A2362" w:rsidR="00F861CF" w:rsidRDefault="00F861CF" w:rsidP="003A27C4">
      <w:pPr>
        <w:pStyle w:val="APDBodyText"/>
      </w:pPr>
      <w:r w:rsidRPr="003A27C4">
        <w:t>Select one of the following options to describe the flow monitoring system required for facility complying with an output</w:t>
      </w:r>
      <w:r w:rsidR="00E21D85" w:rsidRPr="003A27C4">
        <w:noBreakHyphen/>
      </w:r>
      <w:r w:rsidRPr="003A27C4">
        <w:t>based standard under § 60.42Da.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4E7362" w14:paraId="7400E851" w14:textId="77777777" w:rsidTr="00A4022B">
        <w:trPr>
          <w:cantSplit/>
          <w:tblHeader/>
        </w:trPr>
        <w:tc>
          <w:tcPr>
            <w:tcW w:w="1530" w:type="dxa"/>
          </w:tcPr>
          <w:p w14:paraId="411EDC19" w14:textId="50C57F6D" w:rsidR="004E7362" w:rsidRPr="004E7362" w:rsidRDefault="004E7362" w:rsidP="004E7362">
            <w:pPr>
              <w:rPr>
                <w:b/>
                <w:bCs/>
              </w:rPr>
            </w:pPr>
            <w:r w:rsidRPr="004E7362">
              <w:rPr>
                <w:b/>
                <w:bCs/>
              </w:rPr>
              <w:t>Code</w:t>
            </w:r>
          </w:p>
        </w:tc>
        <w:tc>
          <w:tcPr>
            <w:tcW w:w="8550" w:type="dxa"/>
          </w:tcPr>
          <w:p w14:paraId="57EE8213" w14:textId="43B66B17" w:rsidR="004E7362" w:rsidRPr="004E7362" w:rsidRDefault="004E7362" w:rsidP="004E7362">
            <w:pPr>
              <w:rPr>
                <w:b/>
                <w:bCs/>
              </w:rPr>
            </w:pPr>
            <w:r w:rsidRPr="004E7362">
              <w:rPr>
                <w:b/>
                <w:bCs/>
              </w:rPr>
              <w:t>Description</w:t>
            </w:r>
          </w:p>
        </w:tc>
      </w:tr>
      <w:tr w:rsidR="004E7362" w14:paraId="192CAF39" w14:textId="77777777" w:rsidTr="00A4022B">
        <w:trPr>
          <w:cantSplit/>
          <w:tblHeader/>
        </w:trPr>
        <w:tc>
          <w:tcPr>
            <w:tcW w:w="1530" w:type="dxa"/>
          </w:tcPr>
          <w:p w14:paraId="61DD6E53" w14:textId="483719D0" w:rsidR="004E7362" w:rsidRDefault="004E7362" w:rsidP="004E7362">
            <w:r w:rsidRPr="00BF0FA8">
              <w:t>DA</w:t>
            </w:r>
          </w:p>
        </w:tc>
        <w:tc>
          <w:tcPr>
            <w:tcW w:w="8550" w:type="dxa"/>
          </w:tcPr>
          <w:p w14:paraId="06DE4C95" w14:textId="04E60CD8" w:rsidR="004E7362" w:rsidRDefault="004E7362" w:rsidP="004E7362">
            <w:r w:rsidRPr="00BF0FA8">
              <w:t>Continuous flow monitoring system meeting the requirements of Performance Specification 6 of 40 CFR Part 60 Subpart Da: Appendix B and Procedure 1 of Appendix F [in accordance with 40 CFR § 60.49Da(l)]</w:t>
            </w:r>
          </w:p>
        </w:tc>
      </w:tr>
      <w:tr w:rsidR="004E7362" w14:paraId="4FD3150E" w14:textId="77777777" w:rsidTr="00A4022B">
        <w:trPr>
          <w:cantSplit/>
          <w:tblHeader/>
        </w:trPr>
        <w:tc>
          <w:tcPr>
            <w:tcW w:w="1530" w:type="dxa"/>
          </w:tcPr>
          <w:p w14:paraId="624ACEEF" w14:textId="08876A80" w:rsidR="004E7362" w:rsidRDefault="004E7362" w:rsidP="004E7362">
            <w:r w:rsidRPr="00BF0FA8">
              <w:t>CFMS75</w:t>
            </w:r>
          </w:p>
        </w:tc>
        <w:tc>
          <w:tcPr>
            <w:tcW w:w="8550" w:type="dxa"/>
          </w:tcPr>
          <w:p w14:paraId="6AF18DA0" w14:textId="4E0D7489" w:rsidR="004E7362" w:rsidRDefault="004E7362" w:rsidP="004E7362">
            <w:r w:rsidRPr="00BF0FA8">
              <w:t>Continuous flow monitoring system certified according to the requirements of 40 CFR § 75.20, meeting the applicable quality control and quality assurance requirements of 40 CFR § 75.21, and validated according to 40 CFR § 75.23 [in accordance with 40 CFR § 60.49Da(m)]</w:t>
            </w:r>
          </w:p>
        </w:tc>
      </w:tr>
      <w:tr w:rsidR="004E7362" w14:paraId="5D7AB45D" w14:textId="77777777" w:rsidTr="00A4022B">
        <w:trPr>
          <w:cantSplit/>
          <w:tblHeader/>
        </w:trPr>
        <w:tc>
          <w:tcPr>
            <w:tcW w:w="1530" w:type="dxa"/>
          </w:tcPr>
          <w:p w14:paraId="6FDBA382" w14:textId="753C82E9" w:rsidR="004E7362" w:rsidRDefault="004E7362" w:rsidP="004E7362">
            <w:r w:rsidRPr="00BF0FA8">
              <w:t>75D</w:t>
            </w:r>
          </w:p>
        </w:tc>
        <w:tc>
          <w:tcPr>
            <w:tcW w:w="8550" w:type="dxa"/>
          </w:tcPr>
          <w:p w14:paraId="581CA1DE" w14:textId="2D770800" w:rsidR="004E7362" w:rsidRDefault="004E7362" w:rsidP="004E7362">
            <w:r w:rsidRPr="00BF0FA8">
              <w:t>Fuel flow monitoring system certified and operated according to the requirements of 40 CFR Part 75, Appendix D (gas-fired or oil-fired units only) [in accordance with 40 CFR § 60.49Da(n)]</w:t>
            </w:r>
          </w:p>
        </w:tc>
      </w:tr>
    </w:tbl>
    <w:p w14:paraId="3D6BE388" w14:textId="4528D087" w:rsidR="006B014D" w:rsidRPr="00763B6A" w:rsidRDefault="00F861CF" w:rsidP="000B536E">
      <w:pPr>
        <w:pStyle w:val="APDCompleteStar"/>
      </w:pPr>
      <w:r w:rsidRPr="00763B6A">
        <w:t>Complete “</w:t>
      </w:r>
      <w:r w:rsidR="004F6614">
        <w:t>SO</w:t>
      </w:r>
      <w:r w:rsidR="005B78C2" w:rsidRPr="005B78C2">
        <w:rPr>
          <w:vertAlign w:val="subscript"/>
        </w:rPr>
        <w:t>2</w:t>
      </w:r>
      <w:r w:rsidRPr="00763B6A">
        <w:t xml:space="preserve"> Flow Monitoring” only if “</w:t>
      </w:r>
      <w:r w:rsidR="004F6614">
        <w:t>SO</w:t>
      </w:r>
      <w:r w:rsidR="005B78C2" w:rsidRPr="005B78C2">
        <w:rPr>
          <w:vertAlign w:val="subscript"/>
        </w:rPr>
        <w:t>2</w:t>
      </w:r>
      <w:r w:rsidRPr="00763B6A">
        <w:t xml:space="preserve"> Standard Basis” is</w:t>
      </w:r>
      <w:r w:rsidR="00A13B35" w:rsidRPr="00763B6A">
        <w:t xml:space="preserve"> “SO2GEO” or “SO2NEO.”</w:t>
      </w:r>
    </w:p>
    <w:p w14:paraId="0ED78DA1" w14:textId="77777777" w:rsidR="00FF22D2" w:rsidRDefault="00FF22D2" w:rsidP="00763B6A">
      <w:pPr>
        <w:pStyle w:val="APDStrong"/>
        <w:sectPr w:rsidR="00FF22D2" w:rsidSect="0031268E">
          <w:pgSz w:w="12240" w:h="15840" w:code="1"/>
          <w:pgMar w:top="720" w:right="720" w:bottom="720" w:left="720" w:header="720" w:footer="720" w:gutter="0"/>
          <w:cols w:space="720"/>
          <w:titlePg/>
          <w:docGrid w:linePitch="360"/>
        </w:sectPr>
      </w:pPr>
    </w:p>
    <w:p w14:paraId="6F04B23E" w14:textId="748AB71F" w:rsidR="00F861CF" w:rsidRPr="00763B6A" w:rsidRDefault="004F6614" w:rsidP="00763B6A">
      <w:pPr>
        <w:pStyle w:val="APDStrong"/>
      </w:pPr>
      <w:r>
        <w:lastRenderedPageBreak/>
        <w:t>SO</w:t>
      </w:r>
      <w:r w:rsidR="005B78C2" w:rsidRPr="005B78C2">
        <w:rPr>
          <w:vertAlign w:val="subscript"/>
        </w:rPr>
        <w:t>2</w:t>
      </w:r>
      <w:r w:rsidR="00F861CF" w:rsidRPr="00763B6A">
        <w:t xml:space="preserve"> Flow Monitoring System:</w:t>
      </w:r>
    </w:p>
    <w:p w14:paraId="2236EC90" w14:textId="77777777" w:rsidR="00F861CF" w:rsidRDefault="00F861CF" w:rsidP="00763B6A">
      <w:pPr>
        <w:pStyle w:val="APDBodyText"/>
      </w:pPr>
      <w:r w:rsidRPr="00763B6A">
        <w:t>Select one of the following options to describe the flow monitoring system required for facility complying with an output</w:t>
      </w:r>
      <w:r w:rsidRPr="00763B6A">
        <w:noBreakHyphen/>
        <w:t>based standard under § 60.43Da.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501A65" w14:paraId="3E1AE6EC" w14:textId="77777777" w:rsidTr="00A4022B">
        <w:trPr>
          <w:cantSplit/>
          <w:tblHeader/>
        </w:trPr>
        <w:tc>
          <w:tcPr>
            <w:tcW w:w="1530" w:type="dxa"/>
          </w:tcPr>
          <w:p w14:paraId="6DDFFFF5" w14:textId="5F97C0E6" w:rsidR="00501A65" w:rsidRPr="00501A65" w:rsidRDefault="00501A65" w:rsidP="00501A65">
            <w:pPr>
              <w:rPr>
                <w:b/>
                <w:bCs/>
              </w:rPr>
            </w:pPr>
            <w:r w:rsidRPr="00501A65">
              <w:rPr>
                <w:b/>
                <w:bCs/>
              </w:rPr>
              <w:t>Code</w:t>
            </w:r>
          </w:p>
        </w:tc>
        <w:tc>
          <w:tcPr>
            <w:tcW w:w="8550" w:type="dxa"/>
          </w:tcPr>
          <w:p w14:paraId="456B3D49" w14:textId="5BD02420" w:rsidR="00501A65" w:rsidRPr="00501A65" w:rsidRDefault="00501A65" w:rsidP="00501A65">
            <w:pPr>
              <w:rPr>
                <w:b/>
                <w:bCs/>
              </w:rPr>
            </w:pPr>
            <w:r w:rsidRPr="00501A65">
              <w:rPr>
                <w:b/>
                <w:bCs/>
              </w:rPr>
              <w:t>Description</w:t>
            </w:r>
          </w:p>
        </w:tc>
      </w:tr>
      <w:tr w:rsidR="00501A65" w14:paraId="5C2BDABD" w14:textId="77777777" w:rsidTr="00A4022B">
        <w:trPr>
          <w:cantSplit/>
          <w:tblHeader/>
        </w:trPr>
        <w:tc>
          <w:tcPr>
            <w:tcW w:w="1530" w:type="dxa"/>
          </w:tcPr>
          <w:p w14:paraId="2919B790" w14:textId="5B06C108" w:rsidR="00501A65" w:rsidRDefault="00501A65" w:rsidP="00501A65">
            <w:r w:rsidRPr="00E23AB1">
              <w:t>DA</w:t>
            </w:r>
          </w:p>
        </w:tc>
        <w:tc>
          <w:tcPr>
            <w:tcW w:w="8550" w:type="dxa"/>
          </w:tcPr>
          <w:p w14:paraId="5AA3E242" w14:textId="2D282ED8" w:rsidR="00501A65" w:rsidRDefault="00501A65" w:rsidP="00501A65">
            <w:r w:rsidRPr="00E23AB1">
              <w:t>Continuous flow monitoring system meeting the requirements of Performance Specification 6 of 40 CFR Part 60 Subpart Da: Appendix B and Procedure 1 of Appendix F [in accordance with 40 CFR § 60.49Da(l)]</w:t>
            </w:r>
          </w:p>
        </w:tc>
      </w:tr>
      <w:tr w:rsidR="00501A65" w14:paraId="1186F298" w14:textId="77777777" w:rsidTr="00A4022B">
        <w:trPr>
          <w:cantSplit/>
          <w:tblHeader/>
        </w:trPr>
        <w:tc>
          <w:tcPr>
            <w:tcW w:w="1530" w:type="dxa"/>
          </w:tcPr>
          <w:p w14:paraId="1973598E" w14:textId="7999CD43" w:rsidR="00501A65" w:rsidRDefault="00501A65" w:rsidP="00501A65">
            <w:r w:rsidRPr="00E23AB1">
              <w:t>CFMS75</w:t>
            </w:r>
          </w:p>
        </w:tc>
        <w:tc>
          <w:tcPr>
            <w:tcW w:w="8550" w:type="dxa"/>
          </w:tcPr>
          <w:p w14:paraId="793F6EB4" w14:textId="1C647768" w:rsidR="00501A65" w:rsidRDefault="00501A65" w:rsidP="00501A65">
            <w:r w:rsidRPr="00E23AB1">
              <w:t>Continuous flow monitoring system certified according to the requirements of 40 CFR § 75.20, meeting the applicable quality control and quality assurance requirements of 40 CFR § 75.21, and validated according to 40 CFR § 75.23 [in accordance with 40 CFR § 60.49Da(m)]</w:t>
            </w:r>
          </w:p>
        </w:tc>
      </w:tr>
      <w:tr w:rsidR="00501A65" w14:paraId="25799B93" w14:textId="77777777" w:rsidTr="00A4022B">
        <w:trPr>
          <w:cantSplit/>
          <w:tblHeader/>
        </w:trPr>
        <w:tc>
          <w:tcPr>
            <w:tcW w:w="1530" w:type="dxa"/>
          </w:tcPr>
          <w:p w14:paraId="011566CC" w14:textId="55459231" w:rsidR="00501A65" w:rsidRDefault="00501A65" w:rsidP="00501A65">
            <w:r w:rsidRPr="00E23AB1">
              <w:t>75D</w:t>
            </w:r>
          </w:p>
        </w:tc>
        <w:tc>
          <w:tcPr>
            <w:tcW w:w="8550" w:type="dxa"/>
          </w:tcPr>
          <w:p w14:paraId="2D154EB7" w14:textId="69065197" w:rsidR="00501A65" w:rsidRDefault="00501A65" w:rsidP="00501A65">
            <w:r w:rsidRPr="00E23AB1">
              <w:t>Fuel flow monitoring system certified and operated according to the requirements of 40 CFR Part 75, Appendix D (gas-fired or oil-fired units only) [in accordance with 40 CFR § 60.49Da(n)]</w:t>
            </w:r>
          </w:p>
        </w:tc>
      </w:tr>
    </w:tbl>
    <w:p w14:paraId="7F5D5897" w14:textId="77777777" w:rsidR="00272484" w:rsidRDefault="00F861CF" w:rsidP="00390EE3">
      <w:pPr>
        <w:pStyle w:val="APDCompleteStar"/>
      </w:pPr>
      <w:r w:rsidRPr="00763B6A">
        <w:t>Complete “NO</w:t>
      </w:r>
      <w:r w:rsidR="00C367E5" w:rsidRPr="00C367E5">
        <w:rPr>
          <w:vertAlign w:val="subscript"/>
        </w:rPr>
        <w:t>X</w:t>
      </w:r>
      <w:r w:rsidRPr="00763B6A">
        <w:t xml:space="preserve"> Flow Monitoring” only if “Construction/Modification Date” is “97-05C</w:t>
      </w:r>
      <w:r w:rsidR="00BF46AB" w:rsidRPr="00763B6A">
        <w:t>,</w:t>
      </w:r>
      <w:r w:rsidRPr="00763B6A">
        <w:t>”</w:t>
      </w:r>
      <w:r w:rsidR="00A13B35" w:rsidRPr="00763B6A">
        <w:t xml:space="preserve"> “97-05R</w:t>
      </w:r>
      <w:r w:rsidR="00BF46AB" w:rsidRPr="00763B6A">
        <w:t>,</w:t>
      </w:r>
      <w:r w:rsidR="00A13B35" w:rsidRPr="00763B6A">
        <w:t xml:space="preserve">” </w:t>
      </w:r>
      <w:r w:rsidRPr="00763B6A">
        <w:t xml:space="preserve"> or “05+</w:t>
      </w:r>
      <w:r w:rsidR="00456FB5" w:rsidRPr="00763B6A">
        <w:t>11</w:t>
      </w:r>
      <w:r w:rsidRPr="00763B6A">
        <w:t>C</w:t>
      </w:r>
      <w:r w:rsidR="00AE6A4A" w:rsidRPr="00763B6A">
        <w:t>;</w:t>
      </w:r>
      <w:r w:rsidRPr="00763B6A">
        <w:t>” or if “Combined Cycle Type” is “IGCC</w:t>
      </w:r>
      <w:r w:rsidR="00AE6A4A" w:rsidRPr="00763B6A">
        <w:t>;</w:t>
      </w:r>
      <w:r w:rsidRPr="00763B6A">
        <w:t>” or if “NOx Standard Basis” is</w:t>
      </w:r>
      <w:r w:rsidR="00A13B35" w:rsidRPr="00763B6A">
        <w:t xml:space="preserve"> “NOXGEO” or “NOXNEO.”</w:t>
      </w:r>
    </w:p>
    <w:p w14:paraId="4574865B" w14:textId="77777777" w:rsidR="00F861CF" w:rsidRPr="00F0667C" w:rsidRDefault="00F861CF" w:rsidP="00F0667C">
      <w:pPr>
        <w:pStyle w:val="APDStrong"/>
      </w:pPr>
      <w:r w:rsidRPr="00F0667C">
        <w:t>NOx Flow Monitoring System:</w:t>
      </w:r>
    </w:p>
    <w:p w14:paraId="22531F49" w14:textId="77777777" w:rsidR="00F861CF" w:rsidRDefault="00F861CF" w:rsidP="00763B6A">
      <w:pPr>
        <w:pStyle w:val="APDBodyText"/>
      </w:pPr>
      <w:r w:rsidRPr="00763B6A">
        <w:t>Select one of the following options to describe the flow monitoring system required for facility complying with an output-based standard under § 60.44Da.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272484" w14:paraId="633768CF" w14:textId="77777777" w:rsidTr="00A4022B">
        <w:trPr>
          <w:cantSplit/>
          <w:tblHeader/>
        </w:trPr>
        <w:tc>
          <w:tcPr>
            <w:tcW w:w="1530" w:type="dxa"/>
          </w:tcPr>
          <w:p w14:paraId="76EA0D34" w14:textId="4EBDAA91" w:rsidR="00272484" w:rsidRPr="00272484" w:rsidRDefault="00272484" w:rsidP="00272484">
            <w:pPr>
              <w:rPr>
                <w:b/>
                <w:bCs/>
              </w:rPr>
            </w:pPr>
            <w:r w:rsidRPr="00272484">
              <w:rPr>
                <w:b/>
                <w:bCs/>
              </w:rPr>
              <w:t>Code</w:t>
            </w:r>
          </w:p>
        </w:tc>
        <w:tc>
          <w:tcPr>
            <w:tcW w:w="8550" w:type="dxa"/>
          </w:tcPr>
          <w:p w14:paraId="0C097E1A" w14:textId="5D454C9F" w:rsidR="00272484" w:rsidRPr="00272484" w:rsidRDefault="00272484" w:rsidP="00272484">
            <w:pPr>
              <w:rPr>
                <w:b/>
                <w:bCs/>
              </w:rPr>
            </w:pPr>
            <w:r w:rsidRPr="00272484">
              <w:rPr>
                <w:b/>
                <w:bCs/>
              </w:rPr>
              <w:t>Description</w:t>
            </w:r>
          </w:p>
        </w:tc>
      </w:tr>
      <w:tr w:rsidR="00272484" w14:paraId="0847D0FA" w14:textId="77777777" w:rsidTr="00A4022B">
        <w:trPr>
          <w:cantSplit/>
          <w:tblHeader/>
        </w:trPr>
        <w:tc>
          <w:tcPr>
            <w:tcW w:w="1530" w:type="dxa"/>
          </w:tcPr>
          <w:p w14:paraId="5FBCC455" w14:textId="469968B2" w:rsidR="00272484" w:rsidRDefault="00272484" w:rsidP="00272484">
            <w:r w:rsidRPr="00AE567E">
              <w:t>DA</w:t>
            </w:r>
          </w:p>
        </w:tc>
        <w:tc>
          <w:tcPr>
            <w:tcW w:w="8550" w:type="dxa"/>
          </w:tcPr>
          <w:p w14:paraId="67C4E9BC" w14:textId="065254F3" w:rsidR="00272484" w:rsidRDefault="00272484" w:rsidP="00272484">
            <w:r w:rsidRPr="00AE567E">
              <w:t>Continuous flow monitoring system meeting the requirements of Performance Specification 6 of 40 CFR Part 60 Subpart Da, Appendix B and Procedure 1 of Appendix F [in accordance with 40 CFR § 60.49Da(l)]</w:t>
            </w:r>
          </w:p>
        </w:tc>
      </w:tr>
      <w:tr w:rsidR="00272484" w14:paraId="30AA21AF" w14:textId="77777777" w:rsidTr="00A4022B">
        <w:trPr>
          <w:cantSplit/>
          <w:tblHeader/>
        </w:trPr>
        <w:tc>
          <w:tcPr>
            <w:tcW w:w="1530" w:type="dxa"/>
          </w:tcPr>
          <w:p w14:paraId="4628CE14" w14:textId="1F91B16A" w:rsidR="00272484" w:rsidRDefault="00272484" w:rsidP="00272484">
            <w:r w:rsidRPr="00AE567E">
              <w:t>CFMS75</w:t>
            </w:r>
          </w:p>
        </w:tc>
        <w:tc>
          <w:tcPr>
            <w:tcW w:w="8550" w:type="dxa"/>
          </w:tcPr>
          <w:p w14:paraId="2676A524" w14:textId="334FFFC2" w:rsidR="00272484" w:rsidRDefault="00272484" w:rsidP="00272484">
            <w:r w:rsidRPr="00AE567E">
              <w:t>Continuous flow monitoring system certified according to the requirements of 40 CFR § 75.20, meeting the applicable quality control and quality assurance requirements of 40 CFR § 75.21, and validated according to 40 CFR § 75.23 [in accordance with 40 CFR § 60.49Da(m)]</w:t>
            </w:r>
          </w:p>
        </w:tc>
      </w:tr>
      <w:tr w:rsidR="00272484" w14:paraId="4EFD3CAA" w14:textId="77777777" w:rsidTr="00A4022B">
        <w:trPr>
          <w:cantSplit/>
          <w:tblHeader/>
        </w:trPr>
        <w:tc>
          <w:tcPr>
            <w:tcW w:w="1530" w:type="dxa"/>
          </w:tcPr>
          <w:p w14:paraId="09DAF49E" w14:textId="1F137D8F" w:rsidR="00272484" w:rsidRDefault="00272484" w:rsidP="00272484">
            <w:r w:rsidRPr="00AE567E">
              <w:t>75D</w:t>
            </w:r>
          </w:p>
        </w:tc>
        <w:tc>
          <w:tcPr>
            <w:tcW w:w="8550" w:type="dxa"/>
          </w:tcPr>
          <w:p w14:paraId="2FE71429" w14:textId="49C4A6BF" w:rsidR="00272484" w:rsidRDefault="00272484" w:rsidP="00272484">
            <w:r w:rsidRPr="00AE567E">
              <w:t>Fuel flow monitoring system certified and operated according to the requirements of 40 CFR Part 75, Appendix D (gas-fired or oil-fired units only) [in accordance with 40 CFR § 60.49Da(n)]</w:t>
            </w:r>
          </w:p>
        </w:tc>
      </w:tr>
    </w:tbl>
    <w:p w14:paraId="30C5D585" w14:textId="77777777" w:rsidR="00F861CF" w:rsidRPr="00EF0801" w:rsidRDefault="00F861CF" w:rsidP="00F861CF">
      <w:pPr>
        <w:pBdr>
          <w:bottom w:val="double" w:sz="6" w:space="1" w:color="auto"/>
        </w:pBdr>
      </w:pPr>
    </w:p>
    <w:bookmarkStart w:id="31" w:name="Table_3a"/>
    <w:p w14:paraId="2ECE4979" w14:textId="2B99ADB0" w:rsidR="00F861CF" w:rsidRPr="008B236B" w:rsidRDefault="00550F41" w:rsidP="00256939">
      <w:pPr>
        <w:pStyle w:val="APDChapterTitles"/>
        <w:rPr>
          <w:rStyle w:val="APDTableChapterChar"/>
          <w:rFonts w:eastAsia="Calibri"/>
          <w:b/>
          <w:bCs w:val="0"/>
        </w:rPr>
      </w:pPr>
      <w:r w:rsidRPr="001A7644">
        <w:rPr>
          <w:rStyle w:val="Hyperlink"/>
          <w:rFonts w:eastAsia="Calibri"/>
          <w:b/>
          <w:bCs w:val="0"/>
        </w:rPr>
        <w:fldChar w:fldCharType="begin"/>
      </w:r>
      <w:r w:rsidR="008B236B" w:rsidRPr="001A7644">
        <w:rPr>
          <w:rStyle w:val="Hyperlink"/>
          <w:rFonts w:eastAsia="Calibri"/>
          <w:b/>
          <w:bCs w:val="0"/>
        </w:rPr>
        <w:instrText>HYPERLINK  \l "TBL_3a" \o "Table 3a"</w:instrText>
      </w:r>
      <w:r w:rsidRPr="001A7644">
        <w:rPr>
          <w:rStyle w:val="Hyperlink"/>
          <w:rFonts w:eastAsia="Calibri"/>
          <w:b/>
          <w:bCs w:val="0"/>
        </w:rPr>
      </w:r>
      <w:r w:rsidRPr="001A7644">
        <w:rPr>
          <w:rStyle w:val="Hyperlink"/>
          <w:rFonts w:eastAsia="Calibri"/>
          <w:b/>
          <w:bCs w:val="0"/>
        </w:rPr>
        <w:fldChar w:fldCharType="separate"/>
      </w:r>
      <w:bookmarkStart w:id="32" w:name="_Toc180398493"/>
      <w:bookmarkStart w:id="33" w:name="_Toc180398547"/>
      <w:r w:rsidR="00F861CF" w:rsidRPr="001A7644">
        <w:rPr>
          <w:rStyle w:val="Hyperlink"/>
          <w:rFonts w:eastAsia="Calibri"/>
          <w:b/>
          <w:bCs w:val="0"/>
        </w:rPr>
        <w:t>Table 3a</w:t>
      </w:r>
      <w:r w:rsidRPr="001A7644">
        <w:rPr>
          <w:rStyle w:val="Hyperlink"/>
          <w:rFonts w:eastAsia="Calibri"/>
          <w:b/>
          <w:bCs w:val="0"/>
        </w:rPr>
        <w:fldChar w:fldCharType="end"/>
      </w:r>
      <w:bookmarkEnd w:id="31"/>
      <w:r w:rsidR="00F861CF" w:rsidRPr="001A7644">
        <w:rPr>
          <w:rStyle w:val="Hyperlink"/>
          <w:rFonts w:eastAsia="Calibri"/>
          <w:b/>
          <w:bCs w:val="0"/>
        </w:rPr>
        <w:t>:</w:t>
      </w:r>
      <w:r w:rsidR="00F861CF" w:rsidRPr="00EF0801">
        <w:rPr>
          <w:rFonts w:eastAsia="Calibri"/>
          <w:szCs w:val="20"/>
        </w:rPr>
        <w:tab/>
      </w:r>
      <w:r w:rsidR="00F861CF" w:rsidRPr="008B236B">
        <w:rPr>
          <w:rStyle w:val="APDTableChapterChar"/>
          <w:rFonts w:eastAsia="Calibri"/>
          <w:b/>
        </w:rPr>
        <w:t>Title 40 Code of Federal Regulations Part 60 (40 CFR Part 60)</w:t>
      </w:r>
      <w:r w:rsidR="00771349" w:rsidRPr="008B236B">
        <w:rPr>
          <w:rStyle w:val="APDTableChapterChar"/>
          <w:rFonts w:eastAsia="Calibri"/>
          <w:b/>
        </w:rPr>
        <w:t xml:space="preserve">, </w:t>
      </w:r>
      <w:r w:rsidR="00F861CF" w:rsidRPr="008B236B">
        <w:rPr>
          <w:rStyle w:val="APDTableChapterChar"/>
          <w:rFonts w:eastAsia="Calibri"/>
          <w:b/>
        </w:rPr>
        <w:t>Subpart Db:  Standards of Performance for Industrial-Commercial-Institutional Steam Generating</w:t>
      </w:r>
      <w:r w:rsidR="007B296C" w:rsidRPr="008B236B">
        <w:rPr>
          <w:rStyle w:val="APDTableChapterChar"/>
          <w:rFonts w:eastAsia="Calibri"/>
          <w:b/>
        </w:rPr>
        <w:t xml:space="preserve"> Units</w:t>
      </w:r>
      <w:bookmarkEnd w:id="32"/>
      <w:bookmarkEnd w:id="33"/>
    </w:p>
    <w:p w14:paraId="3AE563A6" w14:textId="7484A529" w:rsidR="00F861CF" w:rsidRPr="00F0667C" w:rsidRDefault="00F861CF" w:rsidP="00390EE3">
      <w:pPr>
        <w:pStyle w:val="APDCompleteStar"/>
      </w:pPr>
      <w:r w:rsidRPr="00F0667C">
        <w:t>For units in GOP applications that were constructed, modified,</w:t>
      </w:r>
      <w:r w:rsidR="00654913" w:rsidRPr="00F0667C">
        <w:t xml:space="preserve"> or reconstructed after June</w:t>
      </w:r>
      <w:r w:rsidR="008F599C">
        <w:t xml:space="preserve"> </w:t>
      </w:r>
      <w:r w:rsidR="00654913" w:rsidRPr="00F0667C">
        <w:t>9,</w:t>
      </w:r>
      <w:r w:rsidR="008F599C">
        <w:t xml:space="preserve"> </w:t>
      </w:r>
      <w:r w:rsidRPr="00F0667C">
        <w:t>1989, do not complete Table 3</w:t>
      </w:r>
      <w:r w:rsidR="008F599C">
        <w:t>. C</w:t>
      </w:r>
      <w:r w:rsidRPr="00F0667C">
        <w:t>omplete Table 4 as directed.</w:t>
      </w:r>
    </w:p>
    <w:p w14:paraId="0D2CB618" w14:textId="7C262B53" w:rsidR="00F861CF" w:rsidRPr="00F0667C" w:rsidRDefault="00F861CF" w:rsidP="00F0667C">
      <w:pPr>
        <w:pStyle w:val="APDStrong"/>
      </w:pPr>
      <w:r w:rsidRPr="00F0667C">
        <w:t xml:space="preserve">Unit ID </w:t>
      </w:r>
      <w:r w:rsidR="00B42127">
        <w:t>N</w:t>
      </w:r>
      <w:r w:rsidR="0036206D">
        <w:t>o</w:t>
      </w:r>
      <w:r w:rsidRPr="00F0667C">
        <w:t>.:</w:t>
      </w:r>
    </w:p>
    <w:p w14:paraId="07526195" w14:textId="02778EB0" w:rsidR="00F861CF" w:rsidRPr="00763B6A" w:rsidRDefault="00F861CF" w:rsidP="00763B6A">
      <w:pPr>
        <w:pStyle w:val="APDBodyText"/>
      </w:pPr>
      <w:r w:rsidRPr="00763B6A">
        <w:t xml:space="preserve">Enter the identification number (ID </w:t>
      </w:r>
      <w:r w:rsidR="00B42127">
        <w:t>N</w:t>
      </w:r>
      <w:r w:rsidR="005667BA">
        <w:t>o</w:t>
      </w:r>
      <w:r w:rsidRPr="00763B6A">
        <w:t>.) for the unit (maximum 10 characters) as li</w:t>
      </w:r>
      <w:r w:rsidR="00654913" w:rsidRPr="00763B6A">
        <w:t>sted on Form OP-</w:t>
      </w:r>
      <w:r w:rsidR="00E73C95" w:rsidRPr="00763B6A">
        <w:t xml:space="preserve">SUM (Individual </w:t>
      </w:r>
      <w:r w:rsidRPr="00763B6A">
        <w:t>Unit Summary).</w:t>
      </w:r>
    </w:p>
    <w:p w14:paraId="7E7640B4" w14:textId="77C5BB2F" w:rsidR="00F861CF" w:rsidRPr="00F0667C" w:rsidRDefault="00F861CF" w:rsidP="00F0667C">
      <w:pPr>
        <w:pStyle w:val="APDStrong"/>
      </w:pPr>
      <w:r w:rsidRPr="00F0667C">
        <w:t xml:space="preserve">SOP/GOP Index </w:t>
      </w:r>
      <w:r w:rsidR="00B42127">
        <w:t>N</w:t>
      </w:r>
      <w:r w:rsidR="0036206D">
        <w:t>o</w:t>
      </w:r>
      <w:r w:rsidRPr="00F0667C">
        <w:t>.:</w:t>
      </w:r>
    </w:p>
    <w:p w14:paraId="31CC58F4" w14:textId="550AF1BA" w:rsidR="006B014D" w:rsidRDefault="00F861CF" w:rsidP="00763B6A">
      <w:pPr>
        <w:pStyle w:val="APDBodyText"/>
      </w:pPr>
      <w:r w:rsidRPr="00763B6A">
        <w:t xml:space="preserve">Site operating permit (SOP) applicants should indicate the SOP index number for the </w:t>
      </w:r>
      <w:r w:rsidR="00E73C95" w:rsidRPr="00763B6A">
        <w:t>unit or group of units (maximum</w:t>
      </w:r>
      <w:r w:rsidR="00B6557C" w:rsidRPr="00763B6A">
        <w:t> </w:t>
      </w:r>
      <w:r w:rsidR="00E73C95" w:rsidRPr="00763B6A">
        <w:t>15</w:t>
      </w:r>
      <w:r w:rsidR="00B6557C" w:rsidRPr="00763B6A">
        <w:t> </w:t>
      </w:r>
      <w:r w:rsidRPr="00763B6A">
        <w:t xml:space="preserve">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For additional information relating to </w:t>
      </w:r>
      <w:r w:rsidRPr="00763B6A">
        <w:lastRenderedPageBreak/>
        <w:t>SOP and GOP index numbers</w:t>
      </w:r>
      <w:r w:rsidR="00584E6D" w:rsidRPr="00763B6A">
        <w:t>, please see the Completing FOP Applications – Additional Guidance on the TCEQ website at</w:t>
      </w:r>
      <w:r w:rsidR="00584E6D" w:rsidRPr="00EF0801">
        <w:t xml:space="preserve"> </w:t>
      </w:r>
      <w:hyperlink r:id="rId19" w:tooltip="TCEQ - Completing FOP Applications - Additional Guidance" w:history="1">
        <w:r w:rsidR="00584E6D" w:rsidRPr="00885E28">
          <w:rPr>
            <w:rStyle w:val="Hyperlink"/>
          </w:rPr>
          <w:t>www.tceq.texas.gov/permitting/air/guidance/titlev/tv_fop_guidance.html</w:t>
        </w:r>
      </w:hyperlink>
      <w:r w:rsidR="00584E6D" w:rsidRPr="00EF0801">
        <w:t>.</w:t>
      </w:r>
    </w:p>
    <w:p w14:paraId="41AE5769" w14:textId="77777777" w:rsidR="00F861CF" w:rsidRPr="005C6AFC" w:rsidRDefault="00F861CF" w:rsidP="005C6AFC">
      <w:pPr>
        <w:pStyle w:val="APDStrong"/>
      </w:pPr>
      <w:r w:rsidRPr="005C6AFC">
        <w:t>Construction/Modification Date:</w:t>
      </w:r>
    </w:p>
    <w:p w14:paraId="585C1FD3" w14:textId="77777777" w:rsidR="00F861CF" w:rsidRPr="005C6AFC" w:rsidRDefault="00F861CF" w:rsidP="005C6AFC">
      <w:pPr>
        <w:pStyle w:val="APDBodyText"/>
      </w:pPr>
      <w:r w:rsidRPr="005C6AFC">
        <w:t>Select one of the following options that describe the date of commencement of the most recent construction, modification, or reconstruction. Enter the code on the form.</w:t>
      </w:r>
    </w:p>
    <w:p w14:paraId="613DC2D5" w14:textId="77777777" w:rsidR="00F861CF" w:rsidRDefault="00F861CF" w:rsidP="005C6AFC">
      <w:pPr>
        <w:pStyle w:val="APDCodeIdentifiers"/>
      </w:pPr>
      <w:r w:rsidRPr="005C6AFC">
        <w:t>For units in GOP applications: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OPUA6 - Codes and Descriptions"/>
      </w:tblPr>
      <w:tblGrid>
        <w:gridCol w:w="1530"/>
        <w:gridCol w:w="8550"/>
      </w:tblGrid>
      <w:tr w:rsidR="00A4022B" w14:paraId="0393A20F" w14:textId="77777777" w:rsidTr="009C21F5">
        <w:trPr>
          <w:cantSplit/>
          <w:tblHeader/>
        </w:trPr>
        <w:tc>
          <w:tcPr>
            <w:tcW w:w="1530" w:type="dxa"/>
          </w:tcPr>
          <w:p w14:paraId="3144D02D" w14:textId="606FCA5F" w:rsidR="00A4022B" w:rsidRPr="00A4022B" w:rsidRDefault="00A4022B" w:rsidP="00A4022B">
            <w:pPr>
              <w:rPr>
                <w:b/>
                <w:bCs/>
              </w:rPr>
            </w:pPr>
            <w:r w:rsidRPr="00A4022B">
              <w:rPr>
                <w:b/>
                <w:bCs/>
              </w:rPr>
              <w:t>Code</w:t>
            </w:r>
          </w:p>
        </w:tc>
        <w:tc>
          <w:tcPr>
            <w:tcW w:w="8550" w:type="dxa"/>
          </w:tcPr>
          <w:p w14:paraId="37F315AF" w14:textId="3BB37E7F" w:rsidR="00A4022B" w:rsidRPr="00A4022B" w:rsidRDefault="00A4022B" w:rsidP="00A4022B">
            <w:pPr>
              <w:rPr>
                <w:b/>
                <w:bCs/>
              </w:rPr>
            </w:pPr>
            <w:r w:rsidRPr="00A4022B">
              <w:rPr>
                <w:b/>
                <w:bCs/>
              </w:rPr>
              <w:t>Description</w:t>
            </w:r>
          </w:p>
        </w:tc>
      </w:tr>
      <w:tr w:rsidR="00A4022B" w14:paraId="5057CFFE" w14:textId="77777777" w:rsidTr="009C21F5">
        <w:trPr>
          <w:cantSplit/>
          <w:tblHeader/>
        </w:trPr>
        <w:tc>
          <w:tcPr>
            <w:tcW w:w="1530" w:type="dxa"/>
          </w:tcPr>
          <w:p w14:paraId="51BCD7DD" w14:textId="70089BC3" w:rsidR="00A4022B" w:rsidRDefault="00A4022B" w:rsidP="00A4022B">
            <w:r w:rsidRPr="00240BCE">
              <w:t>G89-</w:t>
            </w:r>
          </w:p>
        </w:tc>
        <w:tc>
          <w:tcPr>
            <w:tcW w:w="8550" w:type="dxa"/>
          </w:tcPr>
          <w:p w14:paraId="54B21EE3" w14:textId="154C6893" w:rsidR="00A4022B" w:rsidRDefault="00A4022B" w:rsidP="00A4022B">
            <w:r w:rsidRPr="00240BCE">
              <w:t>On or before June 9, 1989</w:t>
            </w:r>
          </w:p>
        </w:tc>
      </w:tr>
    </w:tbl>
    <w:p w14:paraId="2AED08EF" w14:textId="77777777" w:rsidR="00F861CF" w:rsidRDefault="00F861CF" w:rsidP="00BD4406">
      <w:pPr>
        <w:pStyle w:val="APDCodeIdentifiers"/>
        <w:spacing w:before="120"/>
      </w:pPr>
      <w:r w:rsidRPr="005C6AFC">
        <w:t>For units in SOP applications: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14559" w14:paraId="49423170" w14:textId="77777777" w:rsidTr="00B14559">
        <w:trPr>
          <w:cantSplit/>
          <w:tblHeader/>
        </w:trPr>
        <w:tc>
          <w:tcPr>
            <w:tcW w:w="1530" w:type="dxa"/>
          </w:tcPr>
          <w:p w14:paraId="6FA80F9C" w14:textId="72BCFB43" w:rsidR="00B14559" w:rsidRPr="00B14559" w:rsidRDefault="00B14559" w:rsidP="00B14559">
            <w:pPr>
              <w:rPr>
                <w:b/>
                <w:bCs/>
              </w:rPr>
            </w:pPr>
            <w:r w:rsidRPr="00B14559">
              <w:rPr>
                <w:b/>
                <w:bCs/>
              </w:rPr>
              <w:t>Code</w:t>
            </w:r>
          </w:p>
        </w:tc>
        <w:tc>
          <w:tcPr>
            <w:tcW w:w="8550" w:type="dxa"/>
          </w:tcPr>
          <w:p w14:paraId="1D6BBD19" w14:textId="57001E7E" w:rsidR="00B14559" w:rsidRPr="00B14559" w:rsidRDefault="00B14559" w:rsidP="00B14559">
            <w:pPr>
              <w:rPr>
                <w:b/>
                <w:bCs/>
              </w:rPr>
            </w:pPr>
            <w:r w:rsidRPr="00B14559">
              <w:rPr>
                <w:b/>
                <w:bCs/>
              </w:rPr>
              <w:t>Description</w:t>
            </w:r>
          </w:p>
        </w:tc>
      </w:tr>
      <w:tr w:rsidR="00B14559" w14:paraId="17E7F89B" w14:textId="77777777" w:rsidTr="00B14559">
        <w:trPr>
          <w:cantSplit/>
          <w:tblHeader/>
        </w:trPr>
        <w:tc>
          <w:tcPr>
            <w:tcW w:w="1530" w:type="dxa"/>
          </w:tcPr>
          <w:p w14:paraId="0B6F68DD" w14:textId="3A9EAA01" w:rsidR="00B14559" w:rsidRDefault="00B14559" w:rsidP="00B14559">
            <w:r w:rsidRPr="00230DDE">
              <w:t>84-</w:t>
            </w:r>
          </w:p>
        </w:tc>
        <w:tc>
          <w:tcPr>
            <w:tcW w:w="8550" w:type="dxa"/>
          </w:tcPr>
          <w:p w14:paraId="4C168B39" w14:textId="73ECC738" w:rsidR="00B14559" w:rsidRDefault="00B14559" w:rsidP="00B14559">
            <w:r w:rsidRPr="00230DDE">
              <w:t>Constructed on or before June 19, 1984</w:t>
            </w:r>
          </w:p>
        </w:tc>
      </w:tr>
      <w:tr w:rsidR="00B14559" w14:paraId="32A21650" w14:textId="77777777" w:rsidTr="00B14559">
        <w:trPr>
          <w:cantSplit/>
          <w:tblHeader/>
        </w:trPr>
        <w:tc>
          <w:tcPr>
            <w:tcW w:w="1530" w:type="dxa"/>
          </w:tcPr>
          <w:p w14:paraId="3938FF31" w14:textId="5DA3ADE5" w:rsidR="00B14559" w:rsidRDefault="00B14559" w:rsidP="00B14559">
            <w:r w:rsidRPr="00230DDE">
              <w:t>84-86</w:t>
            </w:r>
          </w:p>
        </w:tc>
        <w:tc>
          <w:tcPr>
            <w:tcW w:w="8550" w:type="dxa"/>
          </w:tcPr>
          <w:p w14:paraId="5AA2CD12" w14:textId="6B532273" w:rsidR="00B14559" w:rsidRDefault="00B14559" w:rsidP="00B14559">
            <w:r w:rsidRPr="00230DDE">
              <w:t>Constructed after June 19, 1984, and on or before June 19, 1986</w:t>
            </w:r>
          </w:p>
        </w:tc>
      </w:tr>
      <w:tr w:rsidR="00B14559" w14:paraId="4BDCEC52" w14:textId="77777777" w:rsidTr="00B14559">
        <w:trPr>
          <w:cantSplit/>
          <w:tblHeader/>
        </w:trPr>
        <w:tc>
          <w:tcPr>
            <w:tcW w:w="1530" w:type="dxa"/>
          </w:tcPr>
          <w:p w14:paraId="0F3ECEB0" w14:textId="6F5D8412" w:rsidR="00B14559" w:rsidRDefault="00B14559" w:rsidP="00B14559">
            <w:r w:rsidRPr="00230DDE">
              <w:t>86-86</w:t>
            </w:r>
          </w:p>
        </w:tc>
        <w:tc>
          <w:tcPr>
            <w:tcW w:w="8550" w:type="dxa"/>
          </w:tcPr>
          <w:p w14:paraId="778BDE52" w14:textId="71A08EC3" w:rsidR="00B14559" w:rsidRDefault="00B14559" w:rsidP="00B14559">
            <w:r w:rsidRPr="00230DDE">
              <w:t>Constructed after June 19, 1986, and before November 25, 1986</w:t>
            </w:r>
          </w:p>
        </w:tc>
      </w:tr>
      <w:tr w:rsidR="00B14559" w14:paraId="5E47D58E" w14:textId="77777777" w:rsidTr="00B14559">
        <w:trPr>
          <w:cantSplit/>
          <w:tblHeader/>
        </w:trPr>
        <w:tc>
          <w:tcPr>
            <w:tcW w:w="1530" w:type="dxa"/>
          </w:tcPr>
          <w:p w14:paraId="7562DB6E" w14:textId="3791C228" w:rsidR="00B14559" w:rsidRDefault="00B14559" w:rsidP="00B14559">
            <w:r w:rsidRPr="00230DDE">
              <w:t>86-97</w:t>
            </w:r>
          </w:p>
        </w:tc>
        <w:tc>
          <w:tcPr>
            <w:tcW w:w="8550" w:type="dxa"/>
          </w:tcPr>
          <w:p w14:paraId="6C88FC66" w14:textId="6DD240FC" w:rsidR="00B14559" w:rsidRDefault="00B14559" w:rsidP="00B14559">
            <w:r w:rsidRPr="00230DDE">
              <w:t>Constructed on or after November 25, 1986, and on or before July 9, 1997</w:t>
            </w:r>
          </w:p>
        </w:tc>
      </w:tr>
      <w:tr w:rsidR="00B14559" w14:paraId="250DA098" w14:textId="77777777" w:rsidTr="00B14559">
        <w:trPr>
          <w:cantSplit/>
          <w:tblHeader/>
        </w:trPr>
        <w:tc>
          <w:tcPr>
            <w:tcW w:w="1530" w:type="dxa"/>
          </w:tcPr>
          <w:p w14:paraId="04D89636" w14:textId="3613F630" w:rsidR="00B14559" w:rsidRDefault="00B14559" w:rsidP="00B14559">
            <w:r w:rsidRPr="00230DDE">
              <w:t>97-05C</w:t>
            </w:r>
          </w:p>
        </w:tc>
        <w:tc>
          <w:tcPr>
            <w:tcW w:w="8550" w:type="dxa"/>
          </w:tcPr>
          <w:p w14:paraId="04073F22" w14:textId="36D865FB" w:rsidR="00B14559" w:rsidRDefault="00B14559" w:rsidP="00B14559">
            <w:r w:rsidRPr="00230DDE">
              <w:t>Constructed after July 9, 1997, and on or before February 28, 2005</w:t>
            </w:r>
          </w:p>
        </w:tc>
      </w:tr>
      <w:tr w:rsidR="00B14559" w14:paraId="561FBF37" w14:textId="77777777" w:rsidTr="00B14559">
        <w:trPr>
          <w:cantSplit/>
          <w:tblHeader/>
        </w:trPr>
        <w:tc>
          <w:tcPr>
            <w:tcW w:w="1530" w:type="dxa"/>
          </w:tcPr>
          <w:p w14:paraId="16D6A543" w14:textId="26CD2028" w:rsidR="00B14559" w:rsidRDefault="00B14559" w:rsidP="00B14559">
            <w:r w:rsidRPr="00230DDE">
              <w:t>05+CR</w:t>
            </w:r>
          </w:p>
        </w:tc>
        <w:tc>
          <w:tcPr>
            <w:tcW w:w="8550" w:type="dxa"/>
          </w:tcPr>
          <w:p w14:paraId="438EBE1A" w14:textId="26576D6F" w:rsidR="00B14559" w:rsidRDefault="00B14559" w:rsidP="00B14559">
            <w:r w:rsidRPr="00230DDE">
              <w:t>Constructed or reconstructed after February 28, 2005</w:t>
            </w:r>
          </w:p>
        </w:tc>
      </w:tr>
      <w:tr w:rsidR="00B14559" w14:paraId="52F2BD9A" w14:textId="77777777" w:rsidTr="00B14559">
        <w:trPr>
          <w:cantSplit/>
          <w:tblHeader/>
        </w:trPr>
        <w:tc>
          <w:tcPr>
            <w:tcW w:w="1530" w:type="dxa"/>
          </w:tcPr>
          <w:p w14:paraId="1AF77DAB" w14:textId="030DF912" w:rsidR="00B14559" w:rsidRDefault="00B14559" w:rsidP="00B14559">
            <w:r w:rsidRPr="00230DDE">
              <w:t>05+M</w:t>
            </w:r>
          </w:p>
        </w:tc>
        <w:tc>
          <w:tcPr>
            <w:tcW w:w="8550" w:type="dxa"/>
          </w:tcPr>
          <w:p w14:paraId="239CD70C" w14:textId="4A18CE6D" w:rsidR="00B14559" w:rsidRDefault="00B14559" w:rsidP="00B14559">
            <w:r w:rsidRPr="00230DDE">
              <w:t>Modified after February 28, 2005</w:t>
            </w:r>
          </w:p>
        </w:tc>
      </w:tr>
    </w:tbl>
    <w:p w14:paraId="55225142" w14:textId="0034DAD7" w:rsidR="00F861CF" w:rsidRPr="006728A5" w:rsidRDefault="00F861CF" w:rsidP="00FD7888">
      <w:pPr>
        <w:pStyle w:val="APDContinueTriangle"/>
      </w:pPr>
      <w:r w:rsidRPr="006728A5">
        <w:t>Continue only if “Construction/Modification Date” is “84-86,” “86-86,” “86-97,” “97-05C,” “05+CR,” “05+M,” or “G89-.”</w:t>
      </w:r>
    </w:p>
    <w:p w14:paraId="2094256C" w14:textId="6C95F949" w:rsidR="00F861CF" w:rsidRPr="005C6AFC" w:rsidRDefault="00F861CF" w:rsidP="005C6AFC">
      <w:pPr>
        <w:pStyle w:val="APDStrong"/>
      </w:pPr>
      <w:r w:rsidRPr="005C6AFC">
        <w:t>Heat Input Capacity:</w:t>
      </w:r>
    </w:p>
    <w:p w14:paraId="6E6C6EE8" w14:textId="77777777" w:rsidR="00F861CF" w:rsidRPr="005C6AFC" w:rsidRDefault="00F861CF" w:rsidP="005C6AFC">
      <w:pPr>
        <w:pStyle w:val="APDBodyText"/>
      </w:pPr>
      <w:r w:rsidRPr="005C6AFC">
        <w:t>Select one of the following options for the heat input capacity or the maximum design heat input capacity. Enter the code on the form.</w:t>
      </w:r>
    </w:p>
    <w:p w14:paraId="50E7AFD8" w14:textId="77777777" w:rsidR="00F861CF" w:rsidRDefault="00F861CF" w:rsidP="005C6AFC">
      <w:pPr>
        <w:pStyle w:val="APDCodeIdentifiers"/>
      </w:pPr>
      <w:r w:rsidRPr="005C6AFC">
        <w:t>For units in GOP applications: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36"/>
        <w:gridCol w:w="8644"/>
      </w:tblGrid>
      <w:tr w:rsidR="00E211AC" w14:paraId="2A0A8C3D" w14:textId="77777777" w:rsidTr="00E211AC">
        <w:tc>
          <w:tcPr>
            <w:tcW w:w="1530" w:type="dxa"/>
          </w:tcPr>
          <w:p w14:paraId="25FD6651" w14:textId="51367FEF" w:rsidR="00E211AC" w:rsidRPr="00E211AC" w:rsidRDefault="00E211AC" w:rsidP="00E211AC">
            <w:pPr>
              <w:rPr>
                <w:b/>
                <w:bCs/>
              </w:rPr>
            </w:pPr>
            <w:r w:rsidRPr="00E211AC">
              <w:rPr>
                <w:b/>
                <w:bCs/>
              </w:rPr>
              <w:t>Code</w:t>
            </w:r>
          </w:p>
        </w:tc>
        <w:tc>
          <w:tcPr>
            <w:tcW w:w="9260" w:type="dxa"/>
          </w:tcPr>
          <w:p w14:paraId="054B04FA" w14:textId="32D6C952" w:rsidR="00E211AC" w:rsidRPr="00E211AC" w:rsidRDefault="00E211AC" w:rsidP="00E211AC">
            <w:pPr>
              <w:rPr>
                <w:b/>
                <w:bCs/>
              </w:rPr>
            </w:pPr>
            <w:r w:rsidRPr="00E211AC">
              <w:rPr>
                <w:b/>
                <w:bCs/>
              </w:rPr>
              <w:t xml:space="preserve">Description </w:t>
            </w:r>
          </w:p>
        </w:tc>
      </w:tr>
      <w:tr w:rsidR="00E211AC" w14:paraId="61DA3237" w14:textId="77777777" w:rsidTr="00E211AC">
        <w:tc>
          <w:tcPr>
            <w:tcW w:w="1530" w:type="dxa"/>
          </w:tcPr>
          <w:p w14:paraId="71B2DA72" w14:textId="74F60BED" w:rsidR="00E211AC" w:rsidRDefault="00E211AC" w:rsidP="00E211AC">
            <w:r w:rsidRPr="00F243C5">
              <w:t>NA</w:t>
            </w:r>
          </w:p>
        </w:tc>
        <w:tc>
          <w:tcPr>
            <w:tcW w:w="9260" w:type="dxa"/>
          </w:tcPr>
          <w:p w14:paraId="757342E5" w14:textId="1E348BB2" w:rsidR="00E211AC" w:rsidRDefault="00E211AC" w:rsidP="00E211AC">
            <w:r w:rsidRPr="00F243C5">
              <w:t>Not applicable</w:t>
            </w:r>
          </w:p>
        </w:tc>
      </w:tr>
    </w:tbl>
    <w:p w14:paraId="128AAD1F" w14:textId="138F67E0" w:rsidR="00F861CF" w:rsidRDefault="00F861CF" w:rsidP="006C408A">
      <w:pPr>
        <w:pStyle w:val="APDCodeIdentifiers"/>
        <w:spacing w:before="120"/>
      </w:pPr>
      <w:r w:rsidRPr="005C6AFC">
        <w:t>For units in SOP applications: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DF205E" w14:paraId="783CEE70" w14:textId="77777777" w:rsidTr="00DF205E">
        <w:trPr>
          <w:cantSplit/>
          <w:tblHeader/>
        </w:trPr>
        <w:tc>
          <w:tcPr>
            <w:tcW w:w="1530" w:type="dxa"/>
          </w:tcPr>
          <w:p w14:paraId="1C2CC40B" w14:textId="7A383935" w:rsidR="00DF205E" w:rsidRPr="00DF205E" w:rsidRDefault="00DF205E" w:rsidP="00DF205E">
            <w:pPr>
              <w:rPr>
                <w:b/>
                <w:bCs/>
              </w:rPr>
            </w:pPr>
            <w:r w:rsidRPr="00DF205E">
              <w:rPr>
                <w:b/>
                <w:bCs/>
              </w:rPr>
              <w:t>Code</w:t>
            </w:r>
          </w:p>
        </w:tc>
        <w:tc>
          <w:tcPr>
            <w:tcW w:w="8550" w:type="dxa"/>
          </w:tcPr>
          <w:p w14:paraId="7C698C6B" w14:textId="59F7985E" w:rsidR="00DF205E" w:rsidRPr="00DF205E" w:rsidRDefault="00DF205E" w:rsidP="00DF205E">
            <w:pPr>
              <w:rPr>
                <w:b/>
                <w:bCs/>
              </w:rPr>
            </w:pPr>
            <w:r w:rsidRPr="00DF205E">
              <w:rPr>
                <w:b/>
                <w:bCs/>
              </w:rPr>
              <w:t>Description</w:t>
            </w:r>
          </w:p>
        </w:tc>
      </w:tr>
      <w:tr w:rsidR="00DF205E" w14:paraId="11439631" w14:textId="77777777" w:rsidTr="00DF205E">
        <w:trPr>
          <w:cantSplit/>
          <w:tblHeader/>
        </w:trPr>
        <w:tc>
          <w:tcPr>
            <w:tcW w:w="1530" w:type="dxa"/>
          </w:tcPr>
          <w:p w14:paraId="54942B68" w14:textId="0A9D4091" w:rsidR="00DF205E" w:rsidRDefault="00DF205E" w:rsidP="00DF205E">
            <w:r w:rsidRPr="00696616">
              <w:t>100-</w:t>
            </w:r>
          </w:p>
        </w:tc>
        <w:tc>
          <w:tcPr>
            <w:tcW w:w="8550" w:type="dxa"/>
          </w:tcPr>
          <w:p w14:paraId="53522433" w14:textId="4DC2BC2A" w:rsidR="00DF205E" w:rsidRDefault="00DF205E" w:rsidP="00DF205E">
            <w:r w:rsidRPr="00696616">
              <w:t>Heat input capacity is less than or equal to 100 MMBtu/hr (29 MW)</w:t>
            </w:r>
          </w:p>
        </w:tc>
      </w:tr>
      <w:tr w:rsidR="00DF205E" w14:paraId="2A8681C7" w14:textId="77777777" w:rsidTr="00DF205E">
        <w:trPr>
          <w:cantSplit/>
          <w:tblHeader/>
        </w:trPr>
        <w:tc>
          <w:tcPr>
            <w:tcW w:w="1530" w:type="dxa"/>
          </w:tcPr>
          <w:p w14:paraId="68E58B39" w14:textId="42B967A8" w:rsidR="00DF205E" w:rsidRDefault="00DF205E" w:rsidP="00DF205E">
            <w:r w:rsidRPr="00696616">
              <w:t>100-250</w:t>
            </w:r>
          </w:p>
        </w:tc>
        <w:tc>
          <w:tcPr>
            <w:tcW w:w="8550" w:type="dxa"/>
          </w:tcPr>
          <w:p w14:paraId="491AF71A" w14:textId="5DCA6E0C" w:rsidR="00DF205E" w:rsidRDefault="00DF205E" w:rsidP="00DF205E">
            <w:r w:rsidRPr="00696616">
              <w:t>Heat input capacity is greater than 100 MMBtu/hr (29 MW) but less than or equal to 250 MMBtu/hr (73 MW)</w:t>
            </w:r>
          </w:p>
        </w:tc>
      </w:tr>
      <w:tr w:rsidR="00DF205E" w14:paraId="3A50FB4E" w14:textId="77777777" w:rsidTr="00DF205E">
        <w:trPr>
          <w:cantSplit/>
          <w:tblHeader/>
        </w:trPr>
        <w:tc>
          <w:tcPr>
            <w:tcW w:w="1530" w:type="dxa"/>
          </w:tcPr>
          <w:p w14:paraId="052D8743" w14:textId="39ECB048" w:rsidR="00DF205E" w:rsidRDefault="00DF205E" w:rsidP="00DF205E">
            <w:r w:rsidRPr="00696616">
              <w:t>250+</w:t>
            </w:r>
          </w:p>
        </w:tc>
        <w:tc>
          <w:tcPr>
            <w:tcW w:w="8550" w:type="dxa"/>
          </w:tcPr>
          <w:p w14:paraId="3EAAD242" w14:textId="48337F8A" w:rsidR="00DF205E" w:rsidRDefault="00DF205E" w:rsidP="00DF205E">
            <w:r w:rsidRPr="00696616">
              <w:t>Heat input capacity is greater than 250 MMBtu/hr (73 MW)</w:t>
            </w:r>
          </w:p>
        </w:tc>
      </w:tr>
    </w:tbl>
    <w:p w14:paraId="640A4BEE" w14:textId="77777777" w:rsidR="00F861CF" w:rsidRPr="006728A5" w:rsidRDefault="00F861CF" w:rsidP="00FD7888">
      <w:pPr>
        <w:pStyle w:val="APDContinueTriangle"/>
      </w:pPr>
      <w:r w:rsidRPr="006728A5">
        <w:t>Continue only if “Heat Input Capacity” is “100-250,” or “250+.”</w:t>
      </w:r>
    </w:p>
    <w:p w14:paraId="7A0FCDC9" w14:textId="60E519A6" w:rsidR="00F861CF" w:rsidRPr="00EF0801" w:rsidRDefault="00F861CF" w:rsidP="00390EE3">
      <w:pPr>
        <w:pStyle w:val="APDCompleteStar"/>
      </w:pPr>
      <w:r w:rsidRPr="00EF0801">
        <w:t>If “Heat Input Capacity” is “100-,” complete Table 4 as directed. If application type is GOP, go to Table 3b and complete “D-Series Fuel Type.” Do not complete the rest of Table</w:t>
      </w:r>
      <w:r w:rsidR="006728A5">
        <w:t xml:space="preserve"> </w:t>
      </w:r>
      <w:r w:rsidRPr="00EF0801">
        <w:t>3.</w:t>
      </w:r>
    </w:p>
    <w:p w14:paraId="4B56A08A" w14:textId="77777777" w:rsidR="00F861CF" w:rsidRPr="005C6AFC" w:rsidRDefault="00F861CF" w:rsidP="005C6AFC">
      <w:pPr>
        <w:pStyle w:val="APDStrong"/>
      </w:pPr>
      <w:r w:rsidRPr="005C6AFC">
        <w:t>Subpart Da:</w:t>
      </w:r>
    </w:p>
    <w:p w14:paraId="5559A62C" w14:textId="0BFC5180" w:rsidR="00F861CF" w:rsidRPr="005C6AFC" w:rsidRDefault="00F861CF" w:rsidP="005C6AFC">
      <w:pPr>
        <w:pStyle w:val="APDBodyText"/>
      </w:pPr>
      <w:r w:rsidRPr="005C6AFC">
        <w:t>Enter “</w:t>
      </w:r>
      <w:r w:rsidR="00B42127">
        <w:t>YES</w:t>
      </w:r>
      <w:r w:rsidRPr="005C6AFC">
        <w:t>” if the affected facility meets applicability requirements of 40 CFR Part 60, Subpart Da. Otherwise, enter</w:t>
      </w:r>
      <w:r w:rsidR="00621488" w:rsidRPr="005C6AFC">
        <w:t> </w:t>
      </w:r>
      <w:r w:rsidRPr="005C6AFC">
        <w:t>“</w:t>
      </w:r>
      <w:r w:rsidR="00B42127">
        <w:t>NO</w:t>
      </w:r>
      <w:r w:rsidRPr="005C6AFC">
        <w:t>.”</w:t>
      </w:r>
    </w:p>
    <w:p w14:paraId="1D8A38A7" w14:textId="77777777" w:rsidR="000C6B96" w:rsidRDefault="00F861CF" w:rsidP="00FD7888">
      <w:pPr>
        <w:pStyle w:val="APDContinueTriangle"/>
        <w:sectPr w:rsidR="000C6B96" w:rsidSect="0031268E">
          <w:pgSz w:w="12240" w:h="15840" w:code="1"/>
          <w:pgMar w:top="720" w:right="720" w:bottom="720" w:left="720" w:header="720" w:footer="720" w:gutter="0"/>
          <w:cols w:space="720"/>
          <w:titlePg/>
          <w:docGrid w:linePitch="360"/>
        </w:sectPr>
      </w:pPr>
      <w:r w:rsidRPr="006728A5">
        <w:t>Continue only if “Subpart Da” is “</w:t>
      </w:r>
      <w:r w:rsidR="00B42127">
        <w:t>NO</w:t>
      </w:r>
      <w:r w:rsidRPr="006728A5">
        <w:t>.”</w:t>
      </w:r>
    </w:p>
    <w:p w14:paraId="63695700" w14:textId="77777777" w:rsidR="00F861CF" w:rsidRPr="00EF0801" w:rsidRDefault="00F861CF" w:rsidP="00C367E5">
      <w:pPr>
        <w:pStyle w:val="APDStrong"/>
      </w:pPr>
      <w:r w:rsidRPr="00EF0801">
        <w:lastRenderedPageBreak/>
        <w:t>Changes to Existing Affected Facility</w:t>
      </w:r>
      <w:r w:rsidRPr="00287A45">
        <w:rPr>
          <w:bCs/>
        </w:rPr>
        <w:t>:</w:t>
      </w:r>
    </w:p>
    <w:p w14:paraId="5B3B86AC" w14:textId="67B88239" w:rsidR="00F861CF" w:rsidRPr="005C6AFC" w:rsidRDefault="00F861CF" w:rsidP="005C6AFC">
      <w:pPr>
        <w:pStyle w:val="APDBodyText"/>
      </w:pPr>
      <w:r w:rsidRPr="005C6AFC">
        <w:t>Enter “</w:t>
      </w:r>
      <w:r w:rsidR="00B42127">
        <w:t>YES</w:t>
      </w:r>
      <w:r w:rsidRPr="005C6AFC">
        <w:t>” if a change has been made to the existing steam generating unit, which was not previously subject to 40 CFR Part 60, Subpart Db, for the sole purpose of combusting gases containing totally reduced sulfur as defined under 40 CFR § 60.281. Otherwise, enter “</w:t>
      </w:r>
      <w:r w:rsidR="00B42127">
        <w:t>NO</w:t>
      </w:r>
      <w:r w:rsidRPr="005C6AFC">
        <w:t>.”</w:t>
      </w:r>
    </w:p>
    <w:p w14:paraId="15AA4F00" w14:textId="47D02D6A" w:rsidR="00F861CF" w:rsidRPr="006728A5" w:rsidRDefault="00F861CF" w:rsidP="00FD7888">
      <w:pPr>
        <w:pStyle w:val="APDContinueTriangle"/>
      </w:pPr>
      <w:r w:rsidRPr="006728A5">
        <w:t>Continue only if “Changes to Existing Affected Facility” is “</w:t>
      </w:r>
      <w:r w:rsidR="00B42127">
        <w:t>NO</w:t>
      </w:r>
      <w:r w:rsidRPr="006728A5">
        <w:t>.”</w:t>
      </w:r>
    </w:p>
    <w:p w14:paraId="41A576A9" w14:textId="06BC1B7D" w:rsidR="00F861CF" w:rsidRPr="00EC63F2" w:rsidRDefault="00F861CF" w:rsidP="00EC63F2">
      <w:pPr>
        <w:pStyle w:val="APDStrong"/>
      </w:pPr>
      <w:r w:rsidRPr="00EC63F2">
        <w:t>Subpart Ea, Eb</w:t>
      </w:r>
      <w:r w:rsidR="00695243" w:rsidRPr="00EC63F2">
        <w:t>,</w:t>
      </w:r>
      <w:r w:rsidRPr="00EC63F2">
        <w:t xml:space="preserve"> AAAA</w:t>
      </w:r>
      <w:r w:rsidR="00695243" w:rsidRPr="00EC63F2">
        <w:t>, or CCCC</w:t>
      </w:r>
      <w:r w:rsidRPr="00EC63F2">
        <w:t>:</w:t>
      </w:r>
    </w:p>
    <w:p w14:paraId="03C60C10" w14:textId="60079E87" w:rsidR="00F861CF" w:rsidRPr="00EC63F2" w:rsidRDefault="00F861CF" w:rsidP="00EC63F2">
      <w:pPr>
        <w:pStyle w:val="APDBodyText"/>
      </w:pPr>
      <w:r w:rsidRPr="00EC63F2">
        <w:t>Enter “</w:t>
      </w:r>
      <w:r w:rsidR="00B42127">
        <w:t>YES</w:t>
      </w:r>
      <w:r w:rsidRPr="00EC63F2">
        <w:t>” if the affected facility meets applicability requirements of and is subject to 40 CFR Part 60, Subpart Ea, Eb</w:t>
      </w:r>
      <w:r w:rsidR="00695243" w:rsidRPr="00EC63F2">
        <w:t>,</w:t>
      </w:r>
      <w:r w:rsidRPr="00EC63F2">
        <w:t xml:space="preserve"> AAAA</w:t>
      </w:r>
      <w:r w:rsidR="00695243" w:rsidRPr="00EC63F2">
        <w:t>, or CCCC</w:t>
      </w:r>
      <w:r w:rsidRPr="00EC63F2">
        <w:t>. Otherwise, enter “</w:t>
      </w:r>
      <w:r w:rsidR="00B42127">
        <w:t>NO</w:t>
      </w:r>
      <w:r w:rsidRPr="00EC63F2">
        <w:t>.”</w:t>
      </w:r>
    </w:p>
    <w:p w14:paraId="5FC96D0B" w14:textId="48728EC3" w:rsidR="00F861CF" w:rsidRPr="00834D5D" w:rsidRDefault="00F861CF" w:rsidP="00FD7888">
      <w:pPr>
        <w:pStyle w:val="APDContinueTriangle"/>
      </w:pPr>
      <w:r w:rsidRPr="00834D5D">
        <w:t>Continue only if “Subpart Ea, Eb</w:t>
      </w:r>
      <w:r w:rsidR="00695243" w:rsidRPr="00834D5D">
        <w:t>,</w:t>
      </w:r>
      <w:r w:rsidRPr="00834D5D">
        <w:t xml:space="preserve"> AAAA</w:t>
      </w:r>
      <w:r w:rsidR="00695243" w:rsidRPr="00834D5D">
        <w:t>, or CCCC</w:t>
      </w:r>
      <w:r w:rsidRPr="00834D5D">
        <w:t>” is “</w:t>
      </w:r>
      <w:r w:rsidR="00B42127">
        <w:t>NO</w:t>
      </w:r>
      <w:r w:rsidRPr="00834D5D">
        <w:t>.”</w:t>
      </w:r>
    </w:p>
    <w:p w14:paraId="4D6937C8" w14:textId="77777777" w:rsidR="00F861CF" w:rsidRPr="00EC63F2" w:rsidRDefault="00F861CF" w:rsidP="00EC63F2">
      <w:pPr>
        <w:pStyle w:val="APDStrong"/>
      </w:pPr>
      <w:r w:rsidRPr="00EC63F2">
        <w:t>Subpart KKKK:</w:t>
      </w:r>
    </w:p>
    <w:p w14:paraId="588DC600" w14:textId="20053FD3" w:rsidR="00F861CF" w:rsidRPr="00EC63F2" w:rsidRDefault="00F861CF" w:rsidP="00EC63F2">
      <w:pPr>
        <w:pStyle w:val="APDBodyText"/>
      </w:pPr>
      <w:r w:rsidRPr="00EC63F2">
        <w:t>Enter “</w:t>
      </w:r>
      <w:r w:rsidR="00B42127">
        <w:t>YES</w:t>
      </w:r>
      <w:r w:rsidRPr="00EC63F2">
        <w:t>” if the affected facility is a heat recovery steam generator associated with combined cycle gas turbines and that meets applicability requirements of and is subject to 40 CFR Part 60, Subpart KKKK. Otherwise, enter “</w:t>
      </w:r>
      <w:r w:rsidR="00B42127">
        <w:t>NO</w:t>
      </w:r>
      <w:r w:rsidRPr="00EC63F2">
        <w:t>.”</w:t>
      </w:r>
    </w:p>
    <w:p w14:paraId="51F1DFBE" w14:textId="13C7FB5A" w:rsidR="00F861CF" w:rsidRPr="00834D5D" w:rsidRDefault="00F861CF" w:rsidP="00FD7888">
      <w:pPr>
        <w:pStyle w:val="APDContinueTriangle"/>
      </w:pPr>
      <w:r w:rsidRPr="00834D5D">
        <w:t>Continue only if “Subpart KKKK” is “</w:t>
      </w:r>
      <w:r w:rsidR="00B42127">
        <w:t>NO</w:t>
      </w:r>
      <w:r w:rsidRPr="00834D5D">
        <w:t>.”</w:t>
      </w:r>
    </w:p>
    <w:p w14:paraId="47214B86" w14:textId="77777777" w:rsidR="00F861CF" w:rsidRPr="00EC63F2" w:rsidRDefault="00F861CF" w:rsidP="00EC63F2">
      <w:pPr>
        <w:pStyle w:val="APDStrong"/>
      </w:pPr>
      <w:r w:rsidRPr="00EC63F2">
        <w:t>Subpart Cb or BBBB:</w:t>
      </w:r>
    </w:p>
    <w:p w14:paraId="635B22CD" w14:textId="497F9BD8" w:rsidR="00F861CF" w:rsidRPr="00EC63F2" w:rsidRDefault="00F861CF" w:rsidP="00EC63F2">
      <w:pPr>
        <w:pStyle w:val="APDBodyText"/>
      </w:pPr>
      <w:r w:rsidRPr="00EC63F2">
        <w:t>Enter “</w:t>
      </w:r>
      <w:r w:rsidR="00B42127">
        <w:t>YES</w:t>
      </w:r>
      <w:r w:rsidRPr="00EC63F2">
        <w:t>” if the affected facility is covered by an EPA approved State or Federal section 111(d)/129 plan implementing 40 CFR Part 60, Subpart Cb or BBBB emission guidelines. Otherwise, enter “</w:t>
      </w:r>
      <w:r w:rsidR="00B42127">
        <w:t>NO</w:t>
      </w:r>
      <w:r w:rsidRPr="00EC63F2">
        <w:t>.”</w:t>
      </w:r>
    </w:p>
    <w:p w14:paraId="1DFA4523" w14:textId="409831D2" w:rsidR="00695243" w:rsidRPr="00834D5D" w:rsidRDefault="00F861CF" w:rsidP="00FD7888">
      <w:pPr>
        <w:pStyle w:val="APDContinueTriangle"/>
      </w:pPr>
      <w:r w:rsidRPr="00834D5D">
        <w:t>Continue only if “Subpart Cb or BBBB” is “</w:t>
      </w:r>
      <w:r w:rsidR="00B42127">
        <w:t>NO</w:t>
      </w:r>
      <w:r w:rsidRPr="00834D5D">
        <w:t>.”</w:t>
      </w:r>
    </w:p>
    <w:p w14:paraId="253B066A" w14:textId="77777777" w:rsidR="00695243" w:rsidRPr="00EC63F2" w:rsidRDefault="00695243" w:rsidP="00EC63F2">
      <w:pPr>
        <w:pStyle w:val="APDStrong"/>
      </w:pPr>
      <w:r w:rsidRPr="00EC63F2">
        <w:t>Temporary Boiler:</w:t>
      </w:r>
    </w:p>
    <w:p w14:paraId="6471DAE9" w14:textId="2F485A94" w:rsidR="00695243" w:rsidRPr="00EC63F2" w:rsidRDefault="00695243" w:rsidP="00EC63F2">
      <w:pPr>
        <w:pStyle w:val="APDBodyText"/>
      </w:pPr>
      <w:r w:rsidRPr="00EC63F2">
        <w:t>Enter “</w:t>
      </w:r>
      <w:r w:rsidR="00B42127">
        <w:t>YES</w:t>
      </w:r>
      <w:r w:rsidRPr="00EC63F2">
        <w:t>” if the steam-generating unit is a temporary boiler. Otherwise, enter “</w:t>
      </w:r>
      <w:r w:rsidR="00B42127">
        <w:t>NO</w:t>
      </w:r>
      <w:r w:rsidRPr="00EC63F2">
        <w:t>.”</w:t>
      </w:r>
    </w:p>
    <w:p w14:paraId="04F0E29D" w14:textId="57766004" w:rsidR="00695243" w:rsidRPr="00834D5D" w:rsidRDefault="00695243" w:rsidP="00FD7888">
      <w:pPr>
        <w:pStyle w:val="APDContinueTriangle"/>
      </w:pPr>
      <w:r w:rsidRPr="00834D5D">
        <w:t>Continue only if “Temporary Boiler” is “</w:t>
      </w:r>
      <w:r w:rsidR="00B42127">
        <w:t>NO</w:t>
      </w:r>
      <w:r w:rsidRPr="00834D5D">
        <w:t>.”</w:t>
      </w:r>
    </w:p>
    <w:p w14:paraId="6B833A33" w14:textId="77777777" w:rsidR="00F861CF" w:rsidRPr="00EF0801" w:rsidRDefault="00F861CF" w:rsidP="00F861CF">
      <w:pPr>
        <w:pBdr>
          <w:bottom w:val="double" w:sz="6" w:space="1" w:color="auto"/>
        </w:pBdr>
      </w:pPr>
    </w:p>
    <w:p w14:paraId="12796584" w14:textId="2562BE2B" w:rsidR="00F861CF" w:rsidRPr="00EF0801" w:rsidRDefault="00F861CF" w:rsidP="00256939">
      <w:pPr>
        <w:pStyle w:val="APDChapterTitles"/>
        <w:rPr>
          <w:rFonts w:eastAsia="Calibri"/>
          <w:szCs w:val="20"/>
        </w:rPr>
      </w:pPr>
      <w:hyperlink w:anchor="TBL_3b" w:tooltip="Table 3b" w:history="1">
        <w:bookmarkStart w:id="34" w:name="_Toc180398494"/>
        <w:bookmarkStart w:id="35" w:name="_Toc180398548"/>
        <w:r w:rsidRPr="001A7644">
          <w:rPr>
            <w:rStyle w:val="Hyperlink"/>
            <w:rFonts w:eastAsia="Calibri"/>
            <w:b/>
            <w:bCs w:val="0"/>
          </w:rPr>
          <w:t>Table 3b</w:t>
        </w:r>
      </w:hyperlink>
      <w:r w:rsidRPr="001A7644">
        <w:rPr>
          <w:rStyle w:val="Hyperlink"/>
          <w:rFonts w:eastAsia="Calibri"/>
          <w:b/>
          <w:bCs w:val="0"/>
        </w:rPr>
        <w:t>:</w:t>
      </w:r>
      <w:r w:rsidRPr="00EF0801">
        <w:rPr>
          <w:rFonts w:eastAsia="Calibri"/>
          <w:szCs w:val="20"/>
        </w:rPr>
        <w:tab/>
      </w:r>
      <w:r w:rsidRPr="00B15C9E">
        <w:rPr>
          <w:rStyle w:val="APDTableChapterChar"/>
          <w:rFonts w:eastAsia="Calibri"/>
          <w:b/>
        </w:rPr>
        <w:t>Title 40 Code of Federal Regulations Part 60 (40 CFR Part 60)</w:t>
      </w:r>
      <w:r w:rsidR="00771349" w:rsidRPr="00B15C9E">
        <w:rPr>
          <w:rStyle w:val="APDTableChapterChar"/>
          <w:rFonts w:eastAsia="Calibri"/>
          <w:b/>
        </w:rPr>
        <w:t xml:space="preserve">, </w:t>
      </w:r>
      <w:r w:rsidRPr="00B15C9E">
        <w:rPr>
          <w:rStyle w:val="APDTableChapterChar"/>
          <w:rFonts w:eastAsia="Calibri"/>
          <w:b/>
        </w:rPr>
        <w:t xml:space="preserve">Subpart Db:  Standards of Performance for Industrial-Commercial-Institutional Steam Generating </w:t>
      </w:r>
      <w:r w:rsidR="007B296C" w:rsidRPr="00B15C9E">
        <w:rPr>
          <w:rStyle w:val="APDTableChapterChar"/>
          <w:rFonts w:eastAsia="Calibri"/>
          <w:b/>
        </w:rPr>
        <w:t>Units</w:t>
      </w:r>
      <w:bookmarkEnd w:id="34"/>
      <w:bookmarkEnd w:id="35"/>
    </w:p>
    <w:p w14:paraId="56383425" w14:textId="77777777" w:rsidR="00F861CF" w:rsidRPr="008C39E5" w:rsidRDefault="00F861CF" w:rsidP="00390EE3">
      <w:pPr>
        <w:pStyle w:val="APDCompleteStar"/>
      </w:pPr>
      <w:r w:rsidRPr="008C39E5">
        <w:t>Complete only if “Heat Input Capacity” is “100-250,” “250+,” or “NA.”</w:t>
      </w:r>
    </w:p>
    <w:p w14:paraId="45355C50" w14:textId="72D50431" w:rsidR="00F861CF" w:rsidRPr="00EC63F2" w:rsidRDefault="00F861CF" w:rsidP="00EC63F2">
      <w:pPr>
        <w:pStyle w:val="APDStrong"/>
      </w:pPr>
      <w:r w:rsidRPr="00EC63F2">
        <w:t xml:space="preserve">Unit ID </w:t>
      </w:r>
      <w:r w:rsidR="00B42127">
        <w:t>N</w:t>
      </w:r>
      <w:r w:rsidR="0036206D">
        <w:t>o</w:t>
      </w:r>
      <w:r w:rsidRPr="00EC63F2">
        <w:t>.:</w:t>
      </w:r>
    </w:p>
    <w:p w14:paraId="3F985363" w14:textId="68E0EFAF" w:rsidR="009C0F72" w:rsidRPr="00EC63F2" w:rsidRDefault="00F861CF" w:rsidP="00EC63F2">
      <w:pPr>
        <w:pStyle w:val="APDBodyText"/>
      </w:pPr>
      <w:r w:rsidRPr="00EC63F2">
        <w:t xml:space="preserve">Enter the identification number (ID </w:t>
      </w:r>
      <w:r w:rsidR="00B42127">
        <w:t>N</w:t>
      </w:r>
      <w:r w:rsidR="005667BA">
        <w:t>o</w:t>
      </w:r>
      <w:r w:rsidRPr="00EC63F2">
        <w:t>.) for the unit (maximum 10 characters) as listed on Form OP-SUM</w:t>
      </w:r>
      <w:r w:rsidR="00E73C95" w:rsidRPr="00EC63F2">
        <w:t xml:space="preserve"> (Individual</w:t>
      </w:r>
      <w:r w:rsidR="0089742A" w:rsidRPr="00EC63F2">
        <w:t> </w:t>
      </w:r>
      <w:r w:rsidRPr="00EC63F2">
        <w:t>Unit Summary).</w:t>
      </w:r>
    </w:p>
    <w:p w14:paraId="025A4EA3" w14:textId="603F0DE7" w:rsidR="00F861CF" w:rsidRPr="00EC63F2" w:rsidRDefault="00F861CF" w:rsidP="00EC63F2">
      <w:pPr>
        <w:pStyle w:val="APDStrong"/>
      </w:pPr>
      <w:r w:rsidRPr="00EC63F2">
        <w:t xml:space="preserve">SOP/GOP Index </w:t>
      </w:r>
      <w:r w:rsidR="00B42127">
        <w:t>N</w:t>
      </w:r>
      <w:r w:rsidR="0036206D">
        <w:t>o</w:t>
      </w:r>
      <w:r w:rsidRPr="00EC63F2">
        <w:t>.:</w:t>
      </w:r>
    </w:p>
    <w:p w14:paraId="268065A5" w14:textId="7A9F2988" w:rsidR="006B014D" w:rsidRDefault="00F861CF" w:rsidP="00EC63F2">
      <w:pPr>
        <w:pStyle w:val="APDBodyText"/>
      </w:pPr>
      <w:r w:rsidRPr="00EC63F2">
        <w:t xml:space="preserve">Site operating permit (SOP) applicants should indicate the SOP index number for the </w:t>
      </w:r>
      <w:r w:rsidR="00E73C95" w:rsidRPr="00EC63F2">
        <w:t>unit or group of units (maximum</w:t>
      </w:r>
      <w:r w:rsidR="0089742A" w:rsidRPr="00EC63F2">
        <w:t> </w:t>
      </w:r>
      <w:r w:rsidR="00E73C95" w:rsidRPr="00EC63F2">
        <w:t>15</w:t>
      </w:r>
      <w:r w:rsidR="0089742A" w:rsidRPr="00EC63F2">
        <w:t> </w:t>
      </w:r>
      <w:r w:rsidRPr="00EC63F2">
        <w:t>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For additional information relating to SOP and GOP index numbers</w:t>
      </w:r>
      <w:r w:rsidR="00584E6D" w:rsidRPr="00EC63F2">
        <w:t>, please see the Completing FOP Applications – Additional Guidance on the TCEQ website at</w:t>
      </w:r>
      <w:r w:rsidR="00584E6D" w:rsidRPr="00EF0801">
        <w:t xml:space="preserve"> </w:t>
      </w:r>
      <w:hyperlink r:id="rId20" w:tooltip="TCEQ - Completing FOP Applications - Additional Guidance" w:history="1">
        <w:r w:rsidR="00584E6D" w:rsidRPr="00885E28">
          <w:rPr>
            <w:rStyle w:val="Hyperlink"/>
          </w:rPr>
          <w:t>www.tceq.texas.gov/permitting/air/guidance/titlev/tv_fop_guidance.html</w:t>
        </w:r>
      </w:hyperlink>
      <w:r w:rsidR="00584E6D" w:rsidRPr="00EF0801">
        <w:t>.</w:t>
      </w:r>
    </w:p>
    <w:p w14:paraId="06A75163" w14:textId="0CC90F58" w:rsidR="00584E6D" w:rsidRPr="00EF0801" w:rsidRDefault="006B014D" w:rsidP="00D2170D">
      <w:r>
        <w:br w:type="page"/>
      </w:r>
    </w:p>
    <w:p w14:paraId="31E6CA35" w14:textId="30BECC83" w:rsidR="00F861CF" w:rsidRPr="00D56BFF" w:rsidRDefault="00F861CF" w:rsidP="00D56BFF">
      <w:pPr>
        <w:pStyle w:val="APDStrong"/>
      </w:pPr>
      <w:r w:rsidRPr="00D56BFF">
        <w:lastRenderedPageBreak/>
        <w:t>D-Series Fuel Type:</w:t>
      </w:r>
    </w:p>
    <w:p w14:paraId="7DE825E5" w14:textId="77777777" w:rsidR="00F861CF" w:rsidRPr="00D56BFF" w:rsidRDefault="00F861CF" w:rsidP="00D56BFF">
      <w:pPr>
        <w:pStyle w:val="APDBodyText"/>
      </w:pPr>
      <w:r w:rsidRPr="00D56BFF">
        <w:t>Select one or more of the following options for fuel type(s) used to fire the boiler, steam generator, or steam generating unit. Enter the code(s) on the form. In some cases, several fuel type code options could appropriately describe a single fuel being combusted (e.g., distillate oil). In these instances, select one fuel type code which represents the fuel being combusted. Enter the code on the form.</w:t>
      </w:r>
    </w:p>
    <w:p w14:paraId="4E02CFCE" w14:textId="77777777" w:rsidR="00F861CF" w:rsidRDefault="00F861CF" w:rsidP="00B504DE">
      <w:pPr>
        <w:pStyle w:val="APDCodeIdentifiers"/>
      </w:pPr>
      <w:r w:rsidRPr="00B504DE">
        <w:t>Gas Series (Fossil)</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F443EC" w14:paraId="65D3C80D" w14:textId="77777777" w:rsidTr="00F443EC">
        <w:trPr>
          <w:cantSplit/>
          <w:tblHeader/>
        </w:trPr>
        <w:tc>
          <w:tcPr>
            <w:tcW w:w="1530" w:type="dxa"/>
          </w:tcPr>
          <w:p w14:paraId="236C2D24" w14:textId="4D95D010" w:rsidR="00F443EC" w:rsidRPr="00F443EC" w:rsidRDefault="00F443EC" w:rsidP="00F443EC">
            <w:pPr>
              <w:rPr>
                <w:b/>
                <w:bCs/>
              </w:rPr>
            </w:pPr>
            <w:r w:rsidRPr="00F443EC">
              <w:rPr>
                <w:b/>
                <w:bCs/>
              </w:rPr>
              <w:t>Code</w:t>
            </w:r>
          </w:p>
        </w:tc>
        <w:tc>
          <w:tcPr>
            <w:tcW w:w="8550" w:type="dxa"/>
          </w:tcPr>
          <w:p w14:paraId="080C9599" w14:textId="075BCB29" w:rsidR="00F443EC" w:rsidRPr="00F443EC" w:rsidRDefault="00F443EC" w:rsidP="00F443EC">
            <w:pPr>
              <w:rPr>
                <w:b/>
                <w:bCs/>
              </w:rPr>
            </w:pPr>
            <w:r w:rsidRPr="00F443EC">
              <w:rPr>
                <w:b/>
                <w:bCs/>
              </w:rPr>
              <w:t>Description</w:t>
            </w:r>
          </w:p>
        </w:tc>
      </w:tr>
      <w:tr w:rsidR="00F443EC" w14:paraId="7121CE1D" w14:textId="77777777" w:rsidTr="00F443EC">
        <w:trPr>
          <w:cantSplit/>
          <w:tblHeader/>
        </w:trPr>
        <w:tc>
          <w:tcPr>
            <w:tcW w:w="1530" w:type="dxa"/>
          </w:tcPr>
          <w:p w14:paraId="08AE80C7" w14:textId="678D9319" w:rsidR="00F443EC" w:rsidRDefault="00F443EC" w:rsidP="00F443EC">
            <w:r w:rsidRPr="004E7FC5">
              <w:t>NG</w:t>
            </w:r>
          </w:p>
        </w:tc>
        <w:tc>
          <w:tcPr>
            <w:tcW w:w="8550" w:type="dxa"/>
          </w:tcPr>
          <w:p w14:paraId="298F14E8" w14:textId="3D51108E" w:rsidR="00F443EC" w:rsidRDefault="00F443EC" w:rsidP="00F443EC">
            <w:r w:rsidRPr="004E7FC5">
              <w:t>Natural gas (GOP applicants may only fire natural gas)</w:t>
            </w:r>
          </w:p>
        </w:tc>
      </w:tr>
      <w:tr w:rsidR="00F443EC" w14:paraId="677717F0" w14:textId="77777777" w:rsidTr="00F443EC">
        <w:trPr>
          <w:cantSplit/>
          <w:tblHeader/>
        </w:trPr>
        <w:tc>
          <w:tcPr>
            <w:tcW w:w="1530" w:type="dxa"/>
          </w:tcPr>
          <w:p w14:paraId="38ED1377" w14:textId="69F4F5B2" w:rsidR="00F443EC" w:rsidRDefault="00F443EC" w:rsidP="00F443EC">
            <w:r w:rsidRPr="004E7FC5">
              <w:t>CDSFNG</w:t>
            </w:r>
          </w:p>
        </w:tc>
        <w:tc>
          <w:tcPr>
            <w:tcW w:w="8550" w:type="dxa"/>
          </w:tcPr>
          <w:p w14:paraId="7A10897A" w14:textId="75828CE5" w:rsidR="00F443EC" w:rsidRDefault="00F443EC" w:rsidP="00F443EC">
            <w:r w:rsidRPr="004E7FC5">
              <w:t>Coal-derived synthetic fuel meeting the definition of natural gas</w:t>
            </w:r>
          </w:p>
        </w:tc>
      </w:tr>
      <w:tr w:rsidR="00F443EC" w14:paraId="727F8F2E" w14:textId="77777777" w:rsidTr="00F443EC">
        <w:trPr>
          <w:cantSplit/>
          <w:tblHeader/>
        </w:trPr>
        <w:tc>
          <w:tcPr>
            <w:tcW w:w="1530" w:type="dxa"/>
          </w:tcPr>
          <w:p w14:paraId="5EDE2D86" w14:textId="2C64283A" w:rsidR="00F443EC" w:rsidRDefault="00F443EC" w:rsidP="00F443EC">
            <w:r w:rsidRPr="004E7FC5">
              <w:t>GFF</w:t>
            </w:r>
          </w:p>
        </w:tc>
        <w:tc>
          <w:tcPr>
            <w:tcW w:w="8550" w:type="dxa"/>
          </w:tcPr>
          <w:p w14:paraId="0C8557A2" w14:textId="1967F670" w:rsidR="00F443EC" w:rsidRDefault="00F443EC" w:rsidP="00F443EC">
            <w:r w:rsidRPr="004E7FC5">
              <w:t>Other gaseous fossil fuel</w:t>
            </w:r>
          </w:p>
        </w:tc>
      </w:tr>
    </w:tbl>
    <w:p w14:paraId="0F148F81" w14:textId="77777777" w:rsidR="00F861CF" w:rsidRDefault="00F861CF" w:rsidP="00564360">
      <w:pPr>
        <w:pStyle w:val="APDCodeIdentifiers"/>
        <w:spacing w:before="120"/>
      </w:pPr>
      <w:r w:rsidRPr="00B504DE">
        <w:t>Oil Series (Fossil)</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324D23" w14:paraId="3E2E5080" w14:textId="77777777" w:rsidTr="00524CB6">
        <w:trPr>
          <w:cantSplit/>
          <w:tblHeader/>
        </w:trPr>
        <w:tc>
          <w:tcPr>
            <w:tcW w:w="1530" w:type="dxa"/>
          </w:tcPr>
          <w:p w14:paraId="2ED96592" w14:textId="4C3B2303" w:rsidR="00324D23" w:rsidRPr="00324D23" w:rsidRDefault="00324D23" w:rsidP="00324D23">
            <w:pPr>
              <w:rPr>
                <w:b/>
                <w:bCs/>
              </w:rPr>
            </w:pPr>
            <w:r w:rsidRPr="00324D23">
              <w:rPr>
                <w:b/>
                <w:bCs/>
              </w:rPr>
              <w:t>Code</w:t>
            </w:r>
          </w:p>
        </w:tc>
        <w:tc>
          <w:tcPr>
            <w:tcW w:w="8550" w:type="dxa"/>
          </w:tcPr>
          <w:p w14:paraId="651A54A6" w14:textId="13BB16BD" w:rsidR="00324D23" w:rsidRPr="00324D23" w:rsidRDefault="00324D23" w:rsidP="00324D23">
            <w:pPr>
              <w:rPr>
                <w:b/>
                <w:bCs/>
              </w:rPr>
            </w:pPr>
            <w:r w:rsidRPr="00324D23">
              <w:rPr>
                <w:b/>
                <w:bCs/>
              </w:rPr>
              <w:t>Description</w:t>
            </w:r>
          </w:p>
        </w:tc>
      </w:tr>
      <w:tr w:rsidR="00324D23" w14:paraId="4A291C00" w14:textId="77777777" w:rsidTr="00524CB6">
        <w:trPr>
          <w:cantSplit/>
          <w:tblHeader/>
        </w:trPr>
        <w:tc>
          <w:tcPr>
            <w:tcW w:w="1530" w:type="dxa"/>
          </w:tcPr>
          <w:p w14:paraId="11D3236E" w14:textId="0B6412AD" w:rsidR="00324D23" w:rsidRDefault="00324D23" w:rsidP="00324D23">
            <w:r w:rsidRPr="0030481E">
              <w:t>PET</w:t>
            </w:r>
          </w:p>
        </w:tc>
        <w:tc>
          <w:tcPr>
            <w:tcW w:w="8550" w:type="dxa"/>
          </w:tcPr>
          <w:p w14:paraId="6C030022" w14:textId="192D2B4D" w:rsidR="00324D23" w:rsidRDefault="00324D23" w:rsidP="00324D23">
            <w:r w:rsidRPr="0030481E">
              <w:t xml:space="preserve">Petroleum, crude oil, or liquid fuel derived from crude oil or petroleum other than distillate or residual oil (and not a very low sulfur oil) </w:t>
            </w:r>
          </w:p>
        </w:tc>
      </w:tr>
      <w:tr w:rsidR="00324D23" w14:paraId="4F307997" w14:textId="77777777" w:rsidTr="00524CB6">
        <w:trPr>
          <w:cantSplit/>
          <w:tblHeader/>
        </w:trPr>
        <w:tc>
          <w:tcPr>
            <w:tcW w:w="1530" w:type="dxa"/>
          </w:tcPr>
          <w:p w14:paraId="26240B63" w14:textId="74E2E224" w:rsidR="00324D23" w:rsidRDefault="00324D23" w:rsidP="00324D23">
            <w:r w:rsidRPr="0030481E">
              <w:t>PETLSO3</w:t>
            </w:r>
          </w:p>
        </w:tc>
        <w:tc>
          <w:tcPr>
            <w:tcW w:w="8550" w:type="dxa"/>
          </w:tcPr>
          <w:p w14:paraId="4FD59135" w14:textId="3F0A6F9F" w:rsidR="00324D23" w:rsidRDefault="00324D23" w:rsidP="00324D23">
            <w:r w:rsidRPr="0030481E">
              <w:t>Petroleum, crude oil, or liquid fuel derived from crude oil or petroleum other than distillate or residual oil and that contains no more than 0.3 weight percent sulfur or has a SO</w:t>
            </w:r>
            <w:r w:rsidRPr="0030481E">
              <w:rPr>
                <w:vertAlign w:val="subscript"/>
              </w:rPr>
              <w:t>2</w:t>
            </w:r>
            <w:r w:rsidRPr="0030481E">
              <w:t xml:space="preserve"> emission rate less than 140 ng/J (0.32 lb/MMBtu) heat input (VLS oil post 02/28/05 units) </w:t>
            </w:r>
          </w:p>
        </w:tc>
      </w:tr>
      <w:tr w:rsidR="00324D23" w14:paraId="1DB09820" w14:textId="77777777" w:rsidTr="00524CB6">
        <w:trPr>
          <w:cantSplit/>
          <w:tblHeader/>
        </w:trPr>
        <w:tc>
          <w:tcPr>
            <w:tcW w:w="1530" w:type="dxa"/>
          </w:tcPr>
          <w:p w14:paraId="11B57FCF" w14:textId="0E68FA03" w:rsidR="00324D23" w:rsidRDefault="00324D23" w:rsidP="00324D23">
            <w:r w:rsidRPr="0030481E">
              <w:t>PETLSO5</w:t>
            </w:r>
          </w:p>
        </w:tc>
        <w:tc>
          <w:tcPr>
            <w:tcW w:w="8550" w:type="dxa"/>
          </w:tcPr>
          <w:p w14:paraId="7AF4D587" w14:textId="6C4BF0FF" w:rsidR="00324D23" w:rsidRDefault="00324D23" w:rsidP="00324D23">
            <w:r w:rsidRPr="0030481E">
              <w:t>Petroleum, crude oil, or liquid fuel derived from crude oil or petroleum other than distillate or residual oil and that contains no more than 0.5 weight percent sulfur or has a SO</w:t>
            </w:r>
            <w:r w:rsidRPr="0030481E">
              <w:rPr>
                <w:vertAlign w:val="subscript"/>
              </w:rPr>
              <w:t>2</w:t>
            </w:r>
            <w:r w:rsidRPr="0030481E">
              <w:t xml:space="preserve"> emission rate less than 215 ng/J (0.5 lb/MMBtu) heat input (VLS oil 02/28/05 or earlier units)</w:t>
            </w:r>
          </w:p>
        </w:tc>
      </w:tr>
      <w:tr w:rsidR="00324D23" w14:paraId="6B3945AD" w14:textId="77777777" w:rsidTr="00524CB6">
        <w:trPr>
          <w:cantSplit/>
          <w:tblHeader/>
        </w:trPr>
        <w:tc>
          <w:tcPr>
            <w:tcW w:w="1530" w:type="dxa"/>
          </w:tcPr>
          <w:p w14:paraId="1AC8D5AD" w14:textId="38695169" w:rsidR="00324D23" w:rsidRDefault="00324D23" w:rsidP="00324D23">
            <w:r w:rsidRPr="0030481E">
              <w:t>DOIL</w:t>
            </w:r>
          </w:p>
        </w:tc>
        <w:tc>
          <w:tcPr>
            <w:tcW w:w="8550" w:type="dxa"/>
          </w:tcPr>
          <w:p w14:paraId="25B9FD5B" w14:textId="3B64FCD7" w:rsidR="00324D23" w:rsidRDefault="00324D23" w:rsidP="00324D23">
            <w:r w:rsidRPr="0030481E">
              <w:t xml:space="preserve">Distillate oil (not a very low sulfur oil) </w:t>
            </w:r>
          </w:p>
        </w:tc>
      </w:tr>
      <w:tr w:rsidR="00324D23" w14:paraId="004B31E8" w14:textId="77777777" w:rsidTr="00524CB6">
        <w:trPr>
          <w:cantSplit/>
          <w:tblHeader/>
        </w:trPr>
        <w:tc>
          <w:tcPr>
            <w:tcW w:w="1530" w:type="dxa"/>
          </w:tcPr>
          <w:p w14:paraId="0F32F1D7" w14:textId="2C4499D3" w:rsidR="00324D23" w:rsidRDefault="00324D23" w:rsidP="00324D23">
            <w:r w:rsidRPr="0030481E">
              <w:t>DOILLSO3</w:t>
            </w:r>
          </w:p>
        </w:tc>
        <w:tc>
          <w:tcPr>
            <w:tcW w:w="8550" w:type="dxa"/>
          </w:tcPr>
          <w:p w14:paraId="30747F7A" w14:textId="5ECE05B3" w:rsidR="00324D23" w:rsidRDefault="00324D23" w:rsidP="00324D23">
            <w:r w:rsidRPr="0030481E">
              <w:t>Distillate oil that contains no more than 0.3 weight percent sulfur or has a SO</w:t>
            </w:r>
            <w:r w:rsidRPr="0030481E">
              <w:rPr>
                <w:vertAlign w:val="subscript"/>
              </w:rPr>
              <w:t>2</w:t>
            </w:r>
            <w:r w:rsidRPr="0030481E">
              <w:t xml:space="preserve"> emission rate less than 140 ng/J (0.32 lb/MMBtu) heat input (VLS oil post 02/28/05 units)</w:t>
            </w:r>
          </w:p>
        </w:tc>
      </w:tr>
      <w:tr w:rsidR="00324D23" w14:paraId="42DC27AD" w14:textId="77777777" w:rsidTr="00524CB6">
        <w:trPr>
          <w:cantSplit/>
          <w:tblHeader/>
        </w:trPr>
        <w:tc>
          <w:tcPr>
            <w:tcW w:w="1530" w:type="dxa"/>
          </w:tcPr>
          <w:p w14:paraId="5FC648CD" w14:textId="20BD79E6" w:rsidR="00324D23" w:rsidRDefault="00324D23" w:rsidP="00324D23">
            <w:r w:rsidRPr="0030481E">
              <w:t>DOILLSO5</w:t>
            </w:r>
          </w:p>
        </w:tc>
        <w:tc>
          <w:tcPr>
            <w:tcW w:w="8550" w:type="dxa"/>
          </w:tcPr>
          <w:p w14:paraId="54E3D12A" w14:textId="1FFA262D" w:rsidR="00324D23" w:rsidRDefault="00324D23" w:rsidP="00324D23">
            <w:r w:rsidRPr="0030481E">
              <w:t>Distillate oil that contains no more than 0.5 weight percent sulfur or has a SO</w:t>
            </w:r>
            <w:r w:rsidRPr="0030481E">
              <w:rPr>
                <w:vertAlign w:val="subscript"/>
              </w:rPr>
              <w:t>2</w:t>
            </w:r>
            <w:r w:rsidRPr="0030481E">
              <w:t xml:space="preserve"> emission rate less than 215 ng/J (0.5 lb/MMBtu) heat input (VLS oil 02/28/05 or earlier units)</w:t>
            </w:r>
          </w:p>
        </w:tc>
      </w:tr>
      <w:tr w:rsidR="00324D23" w14:paraId="5F12587C" w14:textId="77777777" w:rsidTr="00524CB6">
        <w:trPr>
          <w:cantSplit/>
          <w:tblHeader/>
        </w:trPr>
        <w:tc>
          <w:tcPr>
            <w:tcW w:w="1530" w:type="dxa"/>
          </w:tcPr>
          <w:p w14:paraId="12EAF583" w14:textId="5A9759F9" w:rsidR="00324D23" w:rsidRDefault="00324D23" w:rsidP="00324D23">
            <w:r w:rsidRPr="0030481E">
              <w:t>ROIL</w:t>
            </w:r>
          </w:p>
        </w:tc>
        <w:tc>
          <w:tcPr>
            <w:tcW w:w="8550" w:type="dxa"/>
          </w:tcPr>
          <w:p w14:paraId="5AD95803" w14:textId="7B638630" w:rsidR="00324D23" w:rsidRDefault="00324D23" w:rsidP="00324D23">
            <w:r w:rsidRPr="0030481E">
              <w:t xml:space="preserve">Residual oil with a nitrogen content less than or equal to 0.30% by weight (and not a very low sulfur oil) </w:t>
            </w:r>
          </w:p>
        </w:tc>
      </w:tr>
      <w:tr w:rsidR="00324D23" w14:paraId="4C5A492C" w14:textId="77777777" w:rsidTr="00524CB6">
        <w:trPr>
          <w:cantSplit/>
          <w:tblHeader/>
        </w:trPr>
        <w:tc>
          <w:tcPr>
            <w:tcW w:w="1530" w:type="dxa"/>
          </w:tcPr>
          <w:p w14:paraId="5DD96E61" w14:textId="341FCC62" w:rsidR="00324D23" w:rsidRDefault="00324D23" w:rsidP="00324D23">
            <w:r w:rsidRPr="0030481E">
              <w:t>ROILLSO3</w:t>
            </w:r>
          </w:p>
        </w:tc>
        <w:tc>
          <w:tcPr>
            <w:tcW w:w="8550" w:type="dxa"/>
          </w:tcPr>
          <w:p w14:paraId="796C5733" w14:textId="501B071E" w:rsidR="00324D23" w:rsidRDefault="00324D23" w:rsidP="00324D23">
            <w:r w:rsidRPr="0030481E">
              <w:t>Residual oil with a nitrogen content less than or equal to 0.30% by weight and that contains no more than 0.3 weight percent sulfur or has a SO</w:t>
            </w:r>
            <w:r w:rsidRPr="0030481E">
              <w:rPr>
                <w:vertAlign w:val="subscript"/>
              </w:rPr>
              <w:t>2</w:t>
            </w:r>
            <w:r w:rsidRPr="0030481E">
              <w:t xml:space="preserve"> emission rate less than 140 ng/J</w:t>
            </w:r>
            <w:r w:rsidR="00524CB6">
              <w:t xml:space="preserve"> </w:t>
            </w:r>
            <w:r w:rsidR="00524CB6" w:rsidRPr="00524CB6">
              <w:t xml:space="preserve">(0.32 lb/MMBtu) heat input (VLS oil post 02/28/05 units) </w:t>
            </w:r>
            <w:r w:rsidR="00524CB6">
              <w:t xml:space="preserve"> </w:t>
            </w:r>
          </w:p>
        </w:tc>
      </w:tr>
      <w:tr w:rsidR="00324D23" w14:paraId="712F07DF" w14:textId="77777777" w:rsidTr="00524CB6">
        <w:trPr>
          <w:cantSplit/>
          <w:tblHeader/>
        </w:trPr>
        <w:tc>
          <w:tcPr>
            <w:tcW w:w="1530" w:type="dxa"/>
          </w:tcPr>
          <w:p w14:paraId="68FCE40F" w14:textId="52A10979" w:rsidR="00324D23" w:rsidRDefault="00324D23" w:rsidP="00324D23">
            <w:r w:rsidRPr="0030481E">
              <w:t>ROILLSO5</w:t>
            </w:r>
          </w:p>
        </w:tc>
        <w:tc>
          <w:tcPr>
            <w:tcW w:w="8550" w:type="dxa"/>
          </w:tcPr>
          <w:p w14:paraId="48C60EB5" w14:textId="06F54A2A" w:rsidR="00324D23" w:rsidRDefault="00324D23" w:rsidP="00324D23">
            <w:r w:rsidRPr="0030481E">
              <w:t>Residual oil with a nitrogen content less than or equal to 0.30% by weight and that contains no more than 0.5 weight percent sulfur or has a SO</w:t>
            </w:r>
            <w:r w:rsidRPr="0030481E">
              <w:rPr>
                <w:vertAlign w:val="subscript"/>
              </w:rPr>
              <w:t>2</w:t>
            </w:r>
            <w:r w:rsidRPr="0030481E">
              <w:t xml:space="preserve"> emission rate less than 215 ng/J (0.5 lb/MMBtu) heat input (VLS oil 02/28/05 or earlier units)</w:t>
            </w:r>
          </w:p>
        </w:tc>
      </w:tr>
      <w:tr w:rsidR="00324D23" w14:paraId="76DDE48D" w14:textId="77777777" w:rsidTr="00524CB6">
        <w:trPr>
          <w:cantSplit/>
          <w:tblHeader/>
        </w:trPr>
        <w:tc>
          <w:tcPr>
            <w:tcW w:w="1530" w:type="dxa"/>
          </w:tcPr>
          <w:p w14:paraId="344DF936" w14:textId="0B2AF39E" w:rsidR="00324D23" w:rsidRDefault="00324D23" w:rsidP="00324D23">
            <w:r w:rsidRPr="0030481E">
              <w:t>RO30+</w:t>
            </w:r>
          </w:p>
        </w:tc>
        <w:tc>
          <w:tcPr>
            <w:tcW w:w="8550" w:type="dxa"/>
          </w:tcPr>
          <w:p w14:paraId="2E5E688E" w14:textId="7FA39F5C" w:rsidR="00524CB6" w:rsidRDefault="00324D23" w:rsidP="00324D23">
            <w:r w:rsidRPr="0030481E">
              <w:t>Residual oil with a nitrogen content greater than 0.30% by weight (and not a very low sulfur oil)</w:t>
            </w:r>
          </w:p>
        </w:tc>
      </w:tr>
      <w:tr w:rsidR="00524CB6" w14:paraId="2CF139CA" w14:textId="77777777" w:rsidTr="00524CB6">
        <w:trPr>
          <w:cantSplit/>
          <w:tblHeader/>
        </w:trPr>
        <w:tc>
          <w:tcPr>
            <w:tcW w:w="1530" w:type="dxa"/>
          </w:tcPr>
          <w:p w14:paraId="47E45F6B" w14:textId="699F34D2" w:rsidR="00524CB6" w:rsidRDefault="00524CB6" w:rsidP="00324528">
            <w:r w:rsidRPr="00EF0801">
              <w:t>RO30+LSO3</w:t>
            </w:r>
          </w:p>
        </w:tc>
        <w:tc>
          <w:tcPr>
            <w:tcW w:w="8550" w:type="dxa"/>
          </w:tcPr>
          <w:p w14:paraId="1F2D6E67" w14:textId="2ABABB98" w:rsidR="00524CB6" w:rsidRDefault="00524CB6" w:rsidP="00324528">
            <w:r w:rsidRPr="00EF0801">
              <w:t>Residual oil with a nitrogen content greater than 0.30% by weight and that contains no more than 0.3 weight percent sulfur or has a SO</w:t>
            </w:r>
            <w:r w:rsidRPr="00EF0801">
              <w:rPr>
                <w:vertAlign w:val="subscript"/>
              </w:rPr>
              <w:t>2</w:t>
            </w:r>
            <w:r w:rsidRPr="00EF0801">
              <w:t xml:space="preserve"> emission rate less than 140 ng/J (0.32 lb/MMBtu) heat input (VLS oil post 02/28/05 units)</w:t>
            </w:r>
          </w:p>
        </w:tc>
      </w:tr>
      <w:tr w:rsidR="00524CB6" w14:paraId="710D4487" w14:textId="77777777" w:rsidTr="00524CB6">
        <w:trPr>
          <w:cantSplit/>
          <w:tblHeader/>
        </w:trPr>
        <w:tc>
          <w:tcPr>
            <w:tcW w:w="1530" w:type="dxa"/>
          </w:tcPr>
          <w:p w14:paraId="33BC887E" w14:textId="54FD9FDE" w:rsidR="00524CB6" w:rsidRDefault="00524CB6" w:rsidP="00324528">
            <w:r w:rsidRPr="00EF0801">
              <w:t>RO30+LSO5</w:t>
            </w:r>
          </w:p>
        </w:tc>
        <w:tc>
          <w:tcPr>
            <w:tcW w:w="8550" w:type="dxa"/>
          </w:tcPr>
          <w:p w14:paraId="46F2691E" w14:textId="77777777" w:rsidR="00524CB6" w:rsidRDefault="00524CB6" w:rsidP="00524CB6">
            <w:pPr>
              <w:tabs>
                <w:tab w:val="left" w:pos="720"/>
                <w:tab w:val="left" w:pos="2160"/>
              </w:tabs>
              <w:spacing w:after="120"/>
            </w:pPr>
            <w:r w:rsidRPr="00EF0801">
              <w:t>Residual oil with a nitrogen content greater than 0.30% by weight and that contains no more than 0.5 weight percent sulfur or has a SO</w:t>
            </w:r>
            <w:r w:rsidRPr="00EF0801">
              <w:rPr>
                <w:vertAlign w:val="subscript"/>
              </w:rPr>
              <w:t>2</w:t>
            </w:r>
            <w:r w:rsidRPr="00EF0801">
              <w:t xml:space="preserve"> emission rate less than 215 ng/J (0.5 lb/MMBtu) heat input (VLS oil 02/28/05 or earlier units)</w:t>
            </w:r>
          </w:p>
          <w:p w14:paraId="62CD178C" w14:textId="623C8620" w:rsidR="00524CB6" w:rsidRDefault="00524CB6" w:rsidP="00324528"/>
        </w:tc>
      </w:tr>
    </w:tbl>
    <w:p w14:paraId="4ED7C905" w14:textId="77777777" w:rsidR="0081268E" w:rsidRDefault="0081268E" w:rsidP="00B504DE">
      <w:pPr>
        <w:pStyle w:val="APDCodeIdentifiers"/>
        <w:sectPr w:rsidR="0081268E" w:rsidSect="0031268E">
          <w:pgSz w:w="12240" w:h="15840" w:code="1"/>
          <w:pgMar w:top="720" w:right="720" w:bottom="720" w:left="720" w:header="720" w:footer="720" w:gutter="0"/>
          <w:cols w:space="720"/>
          <w:titlePg/>
          <w:docGrid w:linePitch="360"/>
        </w:sectPr>
      </w:pPr>
    </w:p>
    <w:p w14:paraId="3A76DC43" w14:textId="27FE08EF" w:rsidR="00F861CF" w:rsidRDefault="00F861CF" w:rsidP="00B504DE">
      <w:pPr>
        <w:pStyle w:val="APDCodeIdentifiers"/>
      </w:pPr>
      <w:r w:rsidRPr="00B504DE">
        <w:lastRenderedPageBreak/>
        <w:t>Coal Series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7A7686" w14:paraId="61C7587C" w14:textId="77777777" w:rsidTr="00A429E1">
        <w:tc>
          <w:tcPr>
            <w:tcW w:w="1530" w:type="dxa"/>
          </w:tcPr>
          <w:p w14:paraId="0C941CC6" w14:textId="57539329" w:rsidR="007A7686" w:rsidRPr="007A7686" w:rsidRDefault="007A7686" w:rsidP="007A7686">
            <w:pPr>
              <w:rPr>
                <w:b/>
                <w:bCs/>
              </w:rPr>
            </w:pPr>
            <w:r w:rsidRPr="007A7686">
              <w:rPr>
                <w:b/>
                <w:bCs/>
              </w:rPr>
              <w:t>Code</w:t>
            </w:r>
          </w:p>
        </w:tc>
        <w:tc>
          <w:tcPr>
            <w:tcW w:w="8550" w:type="dxa"/>
          </w:tcPr>
          <w:p w14:paraId="29209380" w14:textId="3C4161B0" w:rsidR="007A7686" w:rsidRPr="007A7686" w:rsidRDefault="007A7686" w:rsidP="007A7686">
            <w:pPr>
              <w:rPr>
                <w:b/>
                <w:bCs/>
              </w:rPr>
            </w:pPr>
            <w:r w:rsidRPr="007A7686">
              <w:rPr>
                <w:b/>
                <w:bCs/>
              </w:rPr>
              <w:t>Description</w:t>
            </w:r>
          </w:p>
        </w:tc>
      </w:tr>
      <w:tr w:rsidR="007A7686" w14:paraId="78D7D274" w14:textId="77777777" w:rsidTr="00A429E1">
        <w:tc>
          <w:tcPr>
            <w:tcW w:w="1530" w:type="dxa"/>
          </w:tcPr>
          <w:p w14:paraId="379A75B9" w14:textId="334D75F4" w:rsidR="007A7686" w:rsidRDefault="007A7686" w:rsidP="007A7686">
            <w:r w:rsidRPr="00F36417">
              <w:t>COAL</w:t>
            </w:r>
          </w:p>
        </w:tc>
        <w:tc>
          <w:tcPr>
            <w:tcW w:w="8550" w:type="dxa"/>
          </w:tcPr>
          <w:p w14:paraId="3BA30A88" w14:textId="3DB2E363" w:rsidR="007A7686" w:rsidRDefault="007A7686" w:rsidP="007A7686">
            <w:r w:rsidRPr="00F36417">
              <w:t>Coal</w:t>
            </w:r>
          </w:p>
        </w:tc>
      </w:tr>
      <w:tr w:rsidR="007A7686" w14:paraId="4B436860" w14:textId="77777777" w:rsidTr="00A429E1">
        <w:tc>
          <w:tcPr>
            <w:tcW w:w="1530" w:type="dxa"/>
          </w:tcPr>
          <w:p w14:paraId="0AB19E2F" w14:textId="12CA2D53" w:rsidR="007A7686" w:rsidRDefault="007A7686" w:rsidP="007A7686">
            <w:r w:rsidRPr="00F36417">
              <w:t>LG</w:t>
            </w:r>
          </w:p>
        </w:tc>
        <w:tc>
          <w:tcPr>
            <w:tcW w:w="8550" w:type="dxa"/>
          </w:tcPr>
          <w:p w14:paraId="5B0E363B" w14:textId="71399341" w:rsidR="007A7686" w:rsidRDefault="007A7686" w:rsidP="007A7686">
            <w:r w:rsidRPr="00F36417">
              <w:t>Lignite mined in North Dakota, South Dakota, or Montana</w:t>
            </w:r>
          </w:p>
        </w:tc>
      </w:tr>
      <w:tr w:rsidR="007A7686" w14:paraId="53FB6BE5" w14:textId="77777777" w:rsidTr="00A429E1">
        <w:tc>
          <w:tcPr>
            <w:tcW w:w="1530" w:type="dxa"/>
          </w:tcPr>
          <w:p w14:paraId="7407F6C6" w14:textId="48D3171A" w:rsidR="007A7686" w:rsidRDefault="007A7686" w:rsidP="007A7686">
            <w:r w:rsidRPr="00F36417">
              <w:t>OLG</w:t>
            </w:r>
          </w:p>
        </w:tc>
        <w:tc>
          <w:tcPr>
            <w:tcW w:w="8550" w:type="dxa"/>
          </w:tcPr>
          <w:p w14:paraId="70930A34" w14:textId="652A2F43" w:rsidR="007A7686" w:rsidRDefault="007A7686" w:rsidP="007A7686">
            <w:r w:rsidRPr="00F36417">
              <w:t>Lignite mined in states other than North Dakota, South Dakota, or Montana</w:t>
            </w:r>
          </w:p>
        </w:tc>
      </w:tr>
      <w:tr w:rsidR="007A7686" w14:paraId="2B9A83DE" w14:textId="77777777" w:rsidTr="00A429E1">
        <w:tc>
          <w:tcPr>
            <w:tcW w:w="1530" w:type="dxa"/>
          </w:tcPr>
          <w:p w14:paraId="6F670588" w14:textId="1E640FFC" w:rsidR="007A7686" w:rsidRDefault="007A7686" w:rsidP="007A7686">
            <w:r w:rsidRPr="00F36417">
              <w:t>CLR</w:t>
            </w:r>
          </w:p>
        </w:tc>
        <w:tc>
          <w:tcPr>
            <w:tcW w:w="8550" w:type="dxa"/>
          </w:tcPr>
          <w:p w14:paraId="5E4C2E56" w14:textId="7FC5E693" w:rsidR="007A7686" w:rsidRDefault="007A7686" w:rsidP="007A7686">
            <w:r w:rsidRPr="00F36417">
              <w:t>Coal refuses</w:t>
            </w:r>
          </w:p>
        </w:tc>
      </w:tr>
      <w:tr w:rsidR="007A7686" w14:paraId="132F106F" w14:textId="77777777" w:rsidTr="00A429E1">
        <w:tc>
          <w:tcPr>
            <w:tcW w:w="1530" w:type="dxa"/>
          </w:tcPr>
          <w:p w14:paraId="61C1A154" w14:textId="662B7FCC" w:rsidR="007A7686" w:rsidRDefault="007A7686" w:rsidP="007A7686">
            <w:r w:rsidRPr="00F36417">
              <w:t>CDSF</w:t>
            </w:r>
          </w:p>
        </w:tc>
        <w:tc>
          <w:tcPr>
            <w:tcW w:w="8550" w:type="dxa"/>
          </w:tcPr>
          <w:p w14:paraId="5C5710DF" w14:textId="2DD2B29E" w:rsidR="007A7686" w:rsidRDefault="007A7686" w:rsidP="007A7686">
            <w:r w:rsidRPr="00F36417">
              <w:t>Coal-derived synthetic fuel not meeting the definition of natural gas</w:t>
            </w:r>
          </w:p>
        </w:tc>
      </w:tr>
      <w:tr w:rsidR="007A7686" w14:paraId="237A77E6" w14:textId="77777777" w:rsidTr="00A429E1">
        <w:tc>
          <w:tcPr>
            <w:tcW w:w="1530" w:type="dxa"/>
          </w:tcPr>
          <w:p w14:paraId="0F962880" w14:textId="071B1465" w:rsidR="007A7686" w:rsidRDefault="007A7686" w:rsidP="007A7686">
            <w:r w:rsidRPr="00F36417">
              <w:t>PULV</w:t>
            </w:r>
          </w:p>
        </w:tc>
        <w:tc>
          <w:tcPr>
            <w:tcW w:w="8550" w:type="dxa"/>
          </w:tcPr>
          <w:p w14:paraId="0E9C767E" w14:textId="34EA14A0" w:rsidR="007A7686" w:rsidRDefault="007A7686" w:rsidP="007A7686">
            <w:r w:rsidRPr="00F36417">
              <w:t>Pulverized coal</w:t>
            </w:r>
          </w:p>
        </w:tc>
      </w:tr>
      <w:tr w:rsidR="007A7686" w14:paraId="7BD6E86B" w14:textId="77777777" w:rsidTr="00A429E1">
        <w:tc>
          <w:tcPr>
            <w:tcW w:w="1530" w:type="dxa"/>
          </w:tcPr>
          <w:p w14:paraId="2C5667E8" w14:textId="1325FEDE" w:rsidR="007A7686" w:rsidRDefault="007A7686" w:rsidP="007A7686">
            <w:r w:rsidRPr="00F36417">
              <w:t>COG</w:t>
            </w:r>
          </w:p>
        </w:tc>
        <w:tc>
          <w:tcPr>
            <w:tcW w:w="8550" w:type="dxa"/>
          </w:tcPr>
          <w:p w14:paraId="09DCEF59" w14:textId="33AF3BBA" w:rsidR="007A7686" w:rsidRDefault="007A7686" w:rsidP="007A7686">
            <w:r w:rsidRPr="00F36417">
              <w:t>Coke oven gas</w:t>
            </w:r>
          </w:p>
        </w:tc>
      </w:tr>
    </w:tbl>
    <w:p w14:paraId="0DC70C97" w14:textId="246247E2" w:rsidR="00F861CF" w:rsidRDefault="00F861CF" w:rsidP="0062784F">
      <w:pPr>
        <w:pStyle w:val="APDCodeIdentifiers"/>
        <w:spacing w:before="120"/>
      </w:pPr>
      <w:r w:rsidRPr="002234AF">
        <w:t>Other Fuels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960E49" w14:paraId="083F6D34" w14:textId="77777777" w:rsidTr="00AD2018">
        <w:trPr>
          <w:cantSplit/>
          <w:tblHeader/>
        </w:trPr>
        <w:tc>
          <w:tcPr>
            <w:tcW w:w="1530" w:type="dxa"/>
          </w:tcPr>
          <w:p w14:paraId="482FF594" w14:textId="39184C82" w:rsidR="00960E49" w:rsidRPr="00960E49" w:rsidRDefault="00960E49" w:rsidP="00960E49">
            <w:pPr>
              <w:rPr>
                <w:b/>
                <w:bCs/>
              </w:rPr>
            </w:pPr>
            <w:r w:rsidRPr="00960E49">
              <w:rPr>
                <w:b/>
                <w:bCs/>
              </w:rPr>
              <w:t>Code</w:t>
            </w:r>
          </w:p>
        </w:tc>
        <w:tc>
          <w:tcPr>
            <w:tcW w:w="8550" w:type="dxa"/>
          </w:tcPr>
          <w:p w14:paraId="72ECF9FE" w14:textId="743BD9C3" w:rsidR="00960E49" w:rsidRPr="00960E49" w:rsidRDefault="00960E49" w:rsidP="00960E49">
            <w:pPr>
              <w:rPr>
                <w:b/>
                <w:bCs/>
              </w:rPr>
            </w:pPr>
            <w:r w:rsidRPr="00960E49">
              <w:rPr>
                <w:b/>
                <w:bCs/>
              </w:rPr>
              <w:t>Description</w:t>
            </w:r>
          </w:p>
        </w:tc>
      </w:tr>
      <w:tr w:rsidR="00960E49" w14:paraId="1CF10F2E" w14:textId="77777777" w:rsidTr="00AD2018">
        <w:trPr>
          <w:cantSplit/>
          <w:tblHeader/>
        </w:trPr>
        <w:tc>
          <w:tcPr>
            <w:tcW w:w="1530" w:type="dxa"/>
          </w:tcPr>
          <w:p w14:paraId="044D14F9" w14:textId="371DF312" w:rsidR="00960E49" w:rsidRDefault="00960E49" w:rsidP="00960E49">
            <w:r w:rsidRPr="00720AD6">
              <w:t>MSW</w:t>
            </w:r>
          </w:p>
        </w:tc>
        <w:tc>
          <w:tcPr>
            <w:tcW w:w="8550" w:type="dxa"/>
          </w:tcPr>
          <w:p w14:paraId="1C2A46F6" w14:textId="1302BC4E" w:rsidR="00960E49" w:rsidRDefault="00960E49" w:rsidP="00960E49">
            <w:r w:rsidRPr="00720AD6">
              <w:t>Municipal-type solid waste</w:t>
            </w:r>
          </w:p>
        </w:tc>
      </w:tr>
      <w:tr w:rsidR="00960E49" w14:paraId="28FF4206" w14:textId="77777777" w:rsidTr="00AD2018">
        <w:trPr>
          <w:cantSplit/>
          <w:tblHeader/>
        </w:trPr>
        <w:tc>
          <w:tcPr>
            <w:tcW w:w="1530" w:type="dxa"/>
          </w:tcPr>
          <w:p w14:paraId="66E019F2" w14:textId="6AFEA9BD" w:rsidR="00960E49" w:rsidRDefault="00960E49" w:rsidP="00960E49">
            <w:r w:rsidRPr="00720AD6">
              <w:t>WD</w:t>
            </w:r>
          </w:p>
        </w:tc>
        <w:tc>
          <w:tcPr>
            <w:tcW w:w="8550" w:type="dxa"/>
          </w:tcPr>
          <w:p w14:paraId="3E5048A2" w14:textId="46C2BAB6" w:rsidR="00960E49" w:rsidRDefault="00960E49" w:rsidP="00960E49">
            <w:r w:rsidRPr="00720AD6">
              <w:t>Wood</w:t>
            </w:r>
          </w:p>
        </w:tc>
      </w:tr>
      <w:tr w:rsidR="00960E49" w14:paraId="244F0D03" w14:textId="77777777" w:rsidTr="00AD2018">
        <w:trPr>
          <w:cantSplit/>
          <w:tblHeader/>
        </w:trPr>
        <w:tc>
          <w:tcPr>
            <w:tcW w:w="1530" w:type="dxa"/>
          </w:tcPr>
          <w:p w14:paraId="6394AB7B" w14:textId="3781A61E" w:rsidR="00960E49" w:rsidRDefault="00960E49" w:rsidP="00960E49">
            <w:r w:rsidRPr="00720AD6">
              <w:t>BPW</w:t>
            </w:r>
          </w:p>
        </w:tc>
        <w:tc>
          <w:tcPr>
            <w:tcW w:w="8550" w:type="dxa"/>
          </w:tcPr>
          <w:p w14:paraId="59837C94" w14:textId="03CEAA1D" w:rsidR="00960E49" w:rsidRDefault="00960E49" w:rsidP="00960E49">
            <w:r w:rsidRPr="00720AD6">
              <w:t>Byproduct/waste</w:t>
            </w:r>
          </w:p>
        </w:tc>
      </w:tr>
      <w:tr w:rsidR="00960E49" w14:paraId="1D8F23C9" w14:textId="77777777" w:rsidTr="00AD2018">
        <w:trPr>
          <w:cantSplit/>
          <w:tblHeader/>
        </w:trPr>
        <w:tc>
          <w:tcPr>
            <w:tcW w:w="1530" w:type="dxa"/>
          </w:tcPr>
          <w:p w14:paraId="07B2FE5D" w14:textId="2A60CC84" w:rsidR="00960E49" w:rsidRDefault="00960E49" w:rsidP="00960E49">
            <w:r w:rsidRPr="00720AD6">
              <w:t>HZW</w:t>
            </w:r>
          </w:p>
        </w:tc>
        <w:tc>
          <w:tcPr>
            <w:tcW w:w="8550" w:type="dxa"/>
          </w:tcPr>
          <w:p w14:paraId="78D4FA31" w14:textId="5E929D59" w:rsidR="00960E49" w:rsidRDefault="00960E49" w:rsidP="00960E49">
            <w:r w:rsidRPr="00720AD6">
              <w:t>Hazardous waste</w:t>
            </w:r>
          </w:p>
        </w:tc>
      </w:tr>
      <w:tr w:rsidR="00960E49" w14:paraId="5BDED4CA" w14:textId="77777777" w:rsidTr="00AD2018">
        <w:trPr>
          <w:cantSplit/>
          <w:tblHeader/>
        </w:trPr>
        <w:tc>
          <w:tcPr>
            <w:tcW w:w="1530" w:type="dxa"/>
          </w:tcPr>
          <w:p w14:paraId="175CA4C6" w14:textId="39AB3E6B" w:rsidR="00960E49" w:rsidRDefault="00960E49" w:rsidP="00960E49">
            <w:r w:rsidRPr="00720AD6">
              <w:t>SFF</w:t>
            </w:r>
          </w:p>
        </w:tc>
        <w:tc>
          <w:tcPr>
            <w:tcW w:w="8550" w:type="dxa"/>
          </w:tcPr>
          <w:p w14:paraId="5829EFBC" w14:textId="7986559A" w:rsidR="00960E49" w:rsidRDefault="00960E49" w:rsidP="00960E49">
            <w:r w:rsidRPr="00720AD6">
              <w:t>Other solid fossil fuel</w:t>
            </w:r>
          </w:p>
        </w:tc>
      </w:tr>
      <w:tr w:rsidR="00960E49" w14:paraId="17B9A587" w14:textId="77777777" w:rsidTr="00AD2018">
        <w:trPr>
          <w:cantSplit/>
          <w:tblHeader/>
        </w:trPr>
        <w:tc>
          <w:tcPr>
            <w:tcW w:w="1530" w:type="dxa"/>
          </w:tcPr>
          <w:p w14:paraId="0E962CE4" w14:textId="318EE0C5" w:rsidR="00960E49" w:rsidRDefault="00960E49" w:rsidP="00960E49">
            <w:r w:rsidRPr="00720AD6">
              <w:t>SNFF</w:t>
            </w:r>
          </w:p>
        </w:tc>
        <w:tc>
          <w:tcPr>
            <w:tcW w:w="8550" w:type="dxa"/>
          </w:tcPr>
          <w:p w14:paraId="3244E2B2" w14:textId="5151A7BA" w:rsidR="00960E49" w:rsidRDefault="00960E49" w:rsidP="00960E49">
            <w:r w:rsidRPr="00720AD6">
              <w:t>Other solid non fossil fuel</w:t>
            </w:r>
          </w:p>
        </w:tc>
      </w:tr>
      <w:tr w:rsidR="00960E49" w14:paraId="057E23B5" w14:textId="77777777" w:rsidTr="00AD2018">
        <w:trPr>
          <w:cantSplit/>
          <w:tblHeader/>
        </w:trPr>
        <w:tc>
          <w:tcPr>
            <w:tcW w:w="1530" w:type="dxa"/>
          </w:tcPr>
          <w:p w14:paraId="480FDDDF" w14:textId="449C7352" w:rsidR="00960E49" w:rsidRDefault="00960E49" w:rsidP="00960E49">
            <w:r w:rsidRPr="00720AD6">
              <w:t>NSNFF</w:t>
            </w:r>
          </w:p>
        </w:tc>
        <w:tc>
          <w:tcPr>
            <w:tcW w:w="8550" w:type="dxa"/>
          </w:tcPr>
          <w:p w14:paraId="23BF85D6" w14:textId="4100E815" w:rsidR="00960E49" w:rsidRDefault="00960E49" w:rsidP="00960E49">
            <w:r w:rsidRPr="00720AD6">
              <w:t>Other non-solid non fossil fuel</w:t>
            </w:r>
          </w:p>
        </w:tc>
      </w:tr>
      <w:tr w:rsidR="00960E49" w14:paraId="34CFCF31" w14:textId="77777777" w:rsidTr="00AD2018">
        <w:trPr>
          <w:cantSplit/>
          <w:tblHeader/>
        </w:trPr>
        <w:tc>
          <w:tcPr>
            <w:tcW w:w="1530" w:type="dxa"/>
          </w:tcPr>
          <w:p w14:paraId="532C9CBC" w14:textId="5AD4388E" w:rsidR="00960E49" w:rsidRDefault="00960E49" w:rsidP="00960E49">
            <w:r w:rsidRPr="00720AD6">
              <w:t>LFF</w:t>
            </w:r>
          </w:p>
        </w:tc>
        <w:tc>
          <w:tcPr>
            <w:tcW w:w="8550" w:type="dxa"/>
          </w:tcPr>
          <w:p w14:paraId="7185CB29" w14:textId="1A8A9201" w:rsidR="00960E49" w:rsidRDefault="00960E49" w:rsidP="00960E49">
            <w:r w:rsidRPr="00720AD6">
              <w:t>Other liquid fossil fuel</w:t>
            </w:r>
          </w:p>
        </w:tc>
      </w:tr>
    </w:tbl>
    <w:p w14:paraId="6925E18A" w14:textId="77777777" w:rsidR="00960E49" w:rsidRPr="00960E49" w:rsidRDefault="00960E49" w:rsidP="00960E49"/>
    <w:p w14:paraId="6D23E26F" w14:textId="77777777" w:rsidR="00D67060" w:rsidRPr="006A5A27" w:rsidRDefault="00D67060" w:rsidP="006A5A27">
      <w:pPr>
        <w:pStyle w:val="APDBodyText"/>
      </w:pPr>
      <w:r w:rsidRPr="006A5A27">
        <w:t>If a fuel-firing option consists of multiple fuel types being combusted simultaneously, enter the D-Series fuel type code for each fuel in a separate column on the same line, with a single SOP index number. If there are more than three fuels being combusted simultaneously, use multiple lines, and start each line with a different SOP index number. Start each additional fuel-firing option on a different line with a different SOP index number. If multiple fuels that use the same code are simultaneously combusted, then enter the code once for each fuel (See Fuel-firing Option A:  for an example of multiple petroleum fuels fired simultaneously).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 Fuel-firing Option A:  for an example of multiple petroleum fuels fired simultaneously."/>
      </w:tblPr>
      <w:tblGrid>
        <w:gridCol w:w="1541"/>
        <w:gridCol w:w="1699"/>
        <w:gridCol w:w="1385"/>
        <w:gridCol w:w="1543"/>
        <w:gridCol w:w="1544"/>
        <w:gridCol w:w="1544"/>
        <w:gridCol w:w="1544"/>
      </w:tblGrid>
      <w:tr w:rsidR="00516C04" w14:paraId="54EBFF30" w14:textId="00262660" w:rsidTr="002C7A3B">
        <w:trPr>
          <w:cantSplit/>
          <w:tblHeader/>
        </w:trPr>
        <w:tc>
          <w:tcPr>
            <w:tcW w:w="1541" w:type="dxa"/>
            <w:tcBorders>
              <w:top w:val="nil"/>
              <w:left w:val="nil"/>
              <w:bottom w:val="nil"/>
              <w:right w:val="double" w:sz="6" w:space="0" w:color="auto"/>
            </w:tcBorders>
            <w:shd w:val="clear" w:color="auto" w:fill="FFFFFF" w:themeFill="background1"/>
          </w:tcPr>
          <w:p w14:paraId="24729F59" w14:textId="1602E77A" w:rsidR="00516C04" w:rsidRDefault="00516C04" w:rsidP="00D83FE3">
            <w:pPr>
              <w:widowControl w:val="0"/>
            </w:pPr>
            <w:r w:rsidRPr="00EF0801">
              <w:rPr>
                <w:i/>
              </w:rPr>
              <w:t>Example:</w:t>
            </w:r>
          </w:p>
        </w:tc>
        <w:tc>
          <w:tcPr>
            <w:tcW w:w="1699" w:type="dxa"/>
            <w:tcBorders>
              <w:top w:val="double" w:sz="6" w:space="0" w:color="auto"/>
              <w:left w:val="double" w:sz="6" w:space="0" w:color="auto"/>
              <w:bottom w:val="nil"/>
            </w:tcBorders>
            <w:shd w:val="clear" w:color="auto" w:fill="D9D9D9" w:themeFill="background1" w:themeFillShade="D9"/>
          </w:tcPr>
          <w:p w14:paraId="5C57EB9A" w14:textId="5CCB37CB" w:rsidR="00516C04" w:rsidRDefault="00516C04" w:rsidP="00D83FE3">
            <w:pPr>
              <w:widowControl w:val="0"/>
            </w:pPr>
            <w:r w:rsidRPr="00EF0801">
              <w:rPr>
                <w:b/>
              </w:rPr>
              <w:t xml:space="preserve">SOP Index </w:t>
            </w:r>
            <w:r w:rsidR="00B42127">
              <w:rPr>
                <w:b/>
              </w:rPr>
              <w:t>N</w:t>
            </w:r>
            <w:r w:rsidR="002C7A3B">
              <w:rPr>
                <w:b/>
              </w:rPr>
              <w:t>o</w:t>
            </w:r>
            <w:r w:rsidRPr="00EF0801">
              <w:rPr>
                <w:b/>
              </w:rPr>
              <w:t>.</w:t>
            </w:r>
          </w:p>
        </w:tc>
        <w:tc>
          <w:tcPr>
            <w:tcW w:w="1385" w:type="dxa"/>
            <w:tcBorders>
              <w:top w:val="double" w:sz="6" w:space="0" w:color="auto"/>
              <w:bottom w:val="nil"/>
            </w:tcBorders>
            <w:shd w:val="clear" w:color="auto" w:fill="D9D9D9" w:themeFill="background1" w:themeFillShade="D9"/>
          </w:tcPr>
          <w:p w14:paraId="33F65DB8" w14:textId="55C2E34C" w:rsidR="00516C04" w:rsidRDefault="00516C04" w:rsidP="00D83FE3">
            <w:pPr>
              <w:widowControl w:val="0"/>
            </w:pPr>
            <w:r w:rsidRPr="00EF0801">
              <w:rPr>
                <w:b/>
              </w:rPr>
              <w:t>D-Series Fuel Type</w:t>
            </w:r>
          </w:p>
        </w:tc>
        <w:tc>
          <w:tcPr>
            <w:tcW w:w="1543" w:type="dxa"/>
            <w:tcBorders>
              <w:top w:val="double" w:sz="6" w:space="0" w:color="auto"/>
              <w:bottom w:val="nil"/>
            </w:tcBorders>
            <w:shd w:val="clear" w:color="auto" w:fill="D9D9D9" w:themeFill="background1" w:themeFillShade="D9"/>
          </w:tcPr>
          <w:p w14:paraId="0D762F78" w14:textId="3096B2CD" w:rsidR="00516C04" w:rsidRDefault="00516C04" w:rsidP="00D83FE3">
            <w:pPr>
              <w:widowControl w:val="0"/>
            </w:pPr>
            <w:r w:rsidRPr="00EF0801">
              <w:rPr>
                <w:b/>
              </w:rPr>
              <w:t>D-Series Fuel Type</w:t>
            </w:r>
          </w:p>
        </w:tc>
        <w:tc>
          <w:tcPr>
            <w:tcW w:w="1544" w:type="dxa"/>
            <w:tcBorders>
              <w:top w:val="double" w:sz="6" w:space="0" w:color="auto"/>
              <w:bottom w:val="single" w:sz="6" w:space="0" w:color="auto"/>
              <w:right w:val="nil"/>
            </w:tcBorders>
            <w:shd w:val="clear" w:color="auto" w:fill="D9D9D9" w:themeFill="background1" w:themeFillShade="D9"/>
          </w:tcPr>
          <w:p w14:paraId="0A07B6FC" w14:textId="1C7C3C88" w:rsidR="00516C04" w:rsidRDefault="00516C04" w:rsidP="00D83FE3">
            <w:pPr>
              <w:widowControl w:val="0"/>
            </w:pPr>
            <w:r w:rsidRPr="00EF0801">
              <w:rPr>
                <w:b/>
              </w:rPr>
              <w:t>ACF Option</w:t>
            </w:r>
          </w:p>
        </w:tc>
        <w:tc>
          <w:tcPr>
            <w:tcW w:w="1544" w:type="dxa"/>
            <w:tcBorders>
              <w:top w:val="double" w:sz="6" w:space="0" w:color="auto"/>
              <w:left w:val="nil"/>
              <w:bottom w:val="single" w:sz="6" w:space="0" w:color="auto"/>
              <w:right w:val="nil"/>
            </w:tcBorders>
            <w:shd w:val="clear" w:color="auto" w:fill="D9D9D9" w:themeFill="background1" w:themeFillShade="D9"/>
          </w:tcPr>
          <w:p w14:paraId="65039159" w14:textId="4B75ED96" w:rsidR="00516C04" w:rsidRDefault="00516C04" w:rsidP="00D83FE3">
            <w:pPr>
              <w:widowControl w:val="0"/>
            </w:pPr>
          </w:p>
        </w:tc>
        <w:tc>
          <w:tcPr>
            <w:tcW w:w="1544" w:type="dxa"/>
            <w:tcBorders>
              <w:top w:val="double" w:sz="6" w:space="0" w:color="auto"/>
              <w:left w:val="nil"/>
              <w:bottom w:val="single" w:sz="6" w:space="0" w:color="auto"/>
            </w:tcBorders>
            <w:shd w:val="clear" w:color="auto" w:fill="D9D9D9" w:themeFill="background1" w:themeFillShade="D9"/>
          </w:tcPr>
          <w:p w14:paraId="529AD0DE" w14:textId="77777777" w:rsidR="00516C04" w:rsidRDefault="00516C04" w:rsidP="00D83FE3">
            <w:pPr>
              <w:widowControl w:val="0"/>
            </w:pPr>
          </w:p>
        </w:tc>
      </w:tr>
      <w:tr w:rsidR="00516C04" w14:paraId="3D871C20" w14:textId="184BC3FF" w:rsidTr="002C7A3B">
        <w:trPr>
          <w:cantSplit/>
          <w:tblHeader/>
        </w:trPr>
        <w:tc>
          <w:tcPr>
            <w:tcW w:w="1541" w:type="dxa"/>
            <w:tcBorders>
              <w:top w:val="nil"/>
              <w:left w:val="nil"/>
              <w:bottom w:val="nil"/>
              <w:right w:val="double" w:sz="6" w:space="0" w:color="auto"/>
            </w:tcBorders>
            <w:shd w:val="clear" w:color="auto" w:fill="FFFFFF" w:themeFill="background1"/>
          </w:tcPr>
          <w:p w14:paraId="7CA9B7F0" w14:textId="4AF7C17D" w:rsidR="00516C04" w:rsidRDefault="00516C04" w:rsidP="00D83FE3">
            <w:pPr>
              <w:widowControl w:val="0"/>
            </w:pPr>
          </w:p>
        </w:tc>
        <w:tc>
          <w:tcPr>
            <w:tcW w:w="1699" w:type="dxa"/>
            <w:tcBorders>
              <w:top w:val="nil"/>
              <w:left w:val="double" w:sz="6" w:space="0" w:color="auto"/>
              <w:bottom w:val="single" w:sz="6" w:space="0" w:color="auto"/>
            </w:tcBorders>
            <w:shd w:val="clear" w:color="auto" w:fill="D9D9D9" w:themeFill="background1" w:themeFillShade="D9"/>
          </w:tcPr>
          <w:p w14:paraId="16027AC9" w14:textId="4E3E66BA" w:rsidR="00516C04" w:rsidRDefault="00516C04" w:rsidP="00D83FE3">
            <w:pPr>
              <w:widowControl w:val="0"/>
            </w:pPr>
          </w:p>
        </w:tc>
        <w:tc>
          <w:tcPr>
            <w:tcW w:w="1385" w:type="dxa"/>
            <w:tcBorders>
              <w:top w:val="nil"/>
              <w:bottom w:val="single" w:sz="6" w:space="0" w:color="auto"/>
            </w:tcBorders>
            <w:shd w:val="clear" w:color="auto" w:fill="D9D9D9" w:themeFill="background1" w:themeFillShade="D9"/>
          </w:tcPr>
          <w:p w14:paraId="782D2996" w14:textId="50790840" w:rsidR="00516C04" w:rsidRDefault="00516C04" w:rsidP="00D83FE3">
            <w:pPr>
              <w:widowControl w:val="0"/>
            </w:pPr>
          </w:p>
        </w:tc>
        <w:tc>
          <w:tcPr>
            <w:tcW w:w="1543" w:type="dxa"/>
            <w:tcBorders>
              <w:top w:val="nil"/>
              <w:bottom w:val="single" w:sz="6" w:space="0" w:color="auto"/>
            </w:tcBorders>
            <w:shd w:val="clear" w:color="auto" w:fill="D9D9D9" w:themeFill="background1" w:themeFillShade="D9"/>
          </w:tcPr>
          <w:p w14:paraId="77A16503" w14:textId="528EEF24" w:rsidR="00516C04" w:rsidRDefault="00516C04" w:rsidP="00D83FE3">
            <w:pPr>
              <w:widowControl w:val="0"/>
            </w:pPr>
          </w:p>
        </w:tc>
        <w:tc>
          <w:tcPr>
            <w:tcW w:w="1544" w:type="dxa"/>
            <w:tcBorders>
              <w:top w:val="single" w:sz="6" w:space="0" w:color="auto"/>
            </w:tcBorders>
            <w:shd w:val="clear" w:color="auto" w:fill="D9D9D9" w:themeFill="background1" w:themeFillShade="D9"/>
          </w:tcPr>
          <w:p w14:paraId="05AD184F" w14:textId="24F69D47" w:rsidR="00516C04" w:rsidRDefault="00516C04" w:rsidP="00D83FE3">
            <w:pPr>
              <w:widowControl w:val="0"/>
            </w:pPr>
            <w:r w:rsidRPr="00EF0801">
              <w:rPr>
                <w:b/>
              </w:rPr>
              <w:t>S0</w:t>
            </w:r>
            <w:r w:rsidRPr="00EF0801">
              <w:rPr>
                <w:b/>
                <w:vertAlign w:val="subscript"/>
              </w:rPr>
              <w:t>2</w:t>
            </w:r>
          </w:p>
        </w:tc>
        <w:tc>
          <w:tcPr>
            <w:tcW w:w="1544" w:type="dxa"/>
            <w:tcBorders>
              <w:top w:val="single" w:sz="6" w:space="0" w:color="auto"/>
            </w:tcBorders>
            <w:shd w:val="clear" w:color="auto" w:fill="D9D9D9" w:themeFill="background1" w:themeFillShade="D9"/>
          </w:tcPr>
          <w:p w14:paraId="5C8A37AF" w14:textId="23FC67B0" w:rsidR="00516C04" w:rsidRDefault="00516C04" w:rsidP="00D83FE3">
            <w:pPr>
              <w:widowControl w:val="0"/>
            </w:pPr>
            <w:r w:rsidRPr="00EF0801">
              <w:rPr>
                <w:b/>
              </w:rPr>
              <w:t>PM</w:t>
            </w:r>
          </w:p>
        </w:tc>
        <w:tc>
          <w:tcPr>
            <w:tcW w:w="1544" w:type="dxa"/>
            <w:tcBorders>
              <w:top w:val="single" w:sz="6" w:space="0" w:color="auto"/>
            </w:tcBorders>
            <w:shd w:val="clear" w:color="auto" w:fill="D9D9D9" w:themeFill="background1" w:themeFillShade="D9"/>
          </w:tcPr>
          <w:p w14:paraId="2DAACC5A" w14:textId="25229BF0" w:rsidR="00516C04" w:rsidRDefault="00516C04" w:rsidP="00D83FE3">
            <w:pPr>
              <w:widowControl w:val="0"/>
            </w:pPr>
            <w:r w:rsidRPr="00EF0801">
              <w:rPr>
                <w:b/>
              </w:rPr>
              <w:t>NO</w:t>
            </w:r>
            <w:r w:rsidRPr="00EF0801">
              <w:rPr>
                <w:b/>
                <w:vertAlign w:val="subscript"/>
              </w:rPr>
              <w:t>X</w:t>
            </w:r>
          </w:p>
        </w:tc>
      </w:tr>
      <w:tr w:rsidR="00516C04" w14:paraId="624DE47C" w14:textId="0C6E73D0" w:rsidTr="002C7A3B">
        <w:trPr>
          <w:cantSplit/>
          <w:tblHeader/>
        </w:trPr>
        <w:tc>
          <w:tcPr>
            <w:tcW w:w="1541" w:type="dxa"/>
            <w:tcBorders>
              <w:top w:val="nil"/>
              <w:left w:val="nil"/>
              <w:bottom w:val="nil"/>
              <w:right w:val="double" w:sz="6" w:space="0" w:color="auto"/>
            </w:tcBorders>
          </w:tcPr>
          <w:p w14:paraId="034ED284" w14:textId="4E478BC7" w:rsidR="00516C04" w:rsidRDefault="00516C04" w:rsidP="00D83FE3">
            <w:pPr>
              <w:widowControl w:val="0"/>
            </w:pPr>
            <w:r w:rsidRPr="00EF0801">
              <w:t>60DB-1A</w:t>
            </w:r>
          </w:p>
        </w:tc>
        <w:tc>
          <w:tcPr>
            <w:tcW w:w="1699" w:type="dxa"/>
            <w:tcBorders>
              <w:top w:val="single" w:sz="6" w:space="0" w:color="auto"/>
              <w:left w:val="double" w:sz="6" w:space="0" w:color="auto"/>
            </w:tcBorders>
          </w:tcPr>
          <w:p w14:paraId="01EED219" w14:textId="4394BA26" w:rsidR="00516C04" w:rsidRDefault="00516C04" w:rsidP="00D83FE3">
            <w:pPr>
              <w:widowControl w:val="0"/>
            </w:pPr>
            <w:r w:rsidRPr="00EF0801">
              <w:t>COAL</w:t>
            </w:r>
          </w:p>
        </w:tc>
        <w:tc>
          <w:tcPr>
            <w:tcW w:w="1385" w:type="dxa"/>
            <w:tcBorders>
              <w:top w:val="single" w:sz="6" w:space="0" w:color="auto"/>
            </w:tcBorders>
          </w:tcPr>
          <w:p w14:paraId="41FEA8C7" w14:textId="3BB61A7F" w:rsidR="00516C04" w:rsidRDefault="00516C04" w:rsidP="00D83FE3">
            <w:pPr>
              <w:widowControl w:val="0"/>
            </w:pPr>
            <w:r w:rsidRPr="00EF0801">
              <w:t>PET</w:t>
            </w:r>
          </w:p>
        </w:tc>
        <w:tc>
          <w:tcPr>
            <w:tcW w:w="1543" w:type="dxa"/>
            <w:tcBorders>
              <w:top w:val="single" w:sz="6" w:space="0" w:color="auto"/>
            </w:tcBorders>
          </w:tcPr>
          <w:p w14:paraId="619DC4C2" w14:textId="54235A0B" w:rsidR="00516C04" w:rsidRDefault="00516C04" w:rsidP="00D83FE3">
            <w:pPr>
              <w:widowControl w:val="0"/>
            </w:pPr>
            <w:r w:rsidRPr="00EF0801">
              <w:t>PET</w:t>
            </w:r>
          </w:p>
        </w:tc>
        <w:tc>
          <w:tcPr>
            <w:tcW w:w="1544" w:type="dxa"/>
          </w:tcPr>
          <w:p w14:paraId="7C92434E" w14:textId="6B424504" w:rsidR="00516C04" w:rsidRDefault="00516C04" w:rsidP="00D83FE3">
            <w:pPr>
              <w:widowControl w:val="0"/>
            </w:pPr>
            <w:r w:rsidRPr="00EF0801">
              <w:t>F30-CO</w:t>
            </w:r>
          </w:p>
        </w:tc>
        <w:tc>
          <w:tcPr>
            <w:tcW w:w="1544" w:type="dxa"/>
          </w:tcPr>
          <w:p w14:paraId="122CF8B5" w14:textId="77777777" w:rsidR="00516C04" w:rsidRDefault="00516C04" w:rsidP="00D83FE3">
            <w:pPr>
              <w:widowControl w:val="0"/>
            </w:pPr>
          </w:p>
        </w:tc>
        <w:tc>
          <w:tcPr>
            <w:tcW w:w="1544" w:type="dxa"/>
          </w:tcPr>
          <w:p w14:paraId="045DA13F" w14:textId="77777777" w:rsidR="00516C04" w:rsidRDefault="00516C04" w:rsidP="00D83FE3">
            <w:pPr>
              <w:widowControl w:val="0"/>
            </w:pPr>
          </w:p>
        </w:tc>
      </w:tr>
      <w:tr w:rsidR="00516C04" w14:paraId="29874351" w14:textId="16FFA796" w:rsidTr="002C7A3B">
        <w:trPr>
          <w:cantSplit/>
          <w:tblHeader/>
        </w:trPr>
        <w:tc>
          <w:tcPr>
            <w:tcW w:w="1541" w:type="dxa"/>
            <w:tcBorders>
              <w:top w:val="nil"/>
              <w:left w:val="nil"/>
              <w:bottom w:val="nil"/>
              <w:right w:val="double" w:sz="6" w:space="0" w:color="auto"/>
            </w:tcBorders>
          </w:tcPr>
          <w:p w14:paraId="614353BE" w14:textId="29CA2E48" w:rsidR="00516C04" w:rsidRDefault="00516C04" w:rsidP="00D83FE3">
            <w:pPr>
              <w:widowControl w:val="0"/>
            </w:pPr>
            <w:r w:rsidRPr="00EF0801">
              <w:t>60DB-1B</w:t>
            </w:r>
          </w:p>
        </w:tc>
        <w:tc>
          <w:tcPr>
            <w:tcW w:w="1699" w:type="dxa"/>
            <w:tcBorders>
              <w:left w:val="double" w:sz="6" w:space="0" w:color="auto"/>
            </w:tcBorders>
          </w:tcPr>
          <w:p w14:paraId="6EF09309" w14:textId="04588484" w:rsidR="00516C04" w:rsidRDefault="00516C04" w:rsidP="00D83FE3">
            <w:pPr>
              <w:widowControl w:val="0"/>
            </w:pPr>
            <w:r w:rsidRPr="00EF0801">
              <w:t>NG</w:t>
            </w:r>
          </w:p>
        </w:tc>
        <w:tc>
          <w:tcPr>
            <w:tcW w:w="1385" w:type="dxa"/>
          </w:tcPr>
          <w:p w14:paraId="1E45B982" w14:textId="77777777" w:rsidR="00516C04" w:rsidRDefault="00516C04" w:rsidP="00D83FE3">
            <w:pPr>
              <w:widowControl w:val="0"/>
            </w:pPr>
          </w:p>
        </w:tc>
        <w:tc>
          <w:tcPr>
            <w:tcW w:w="1543" w:type="dxa"/>
          </w:tcPr>
          <w:p w14:paraId="73EA5FCE" w14:textId="77777777" w:rsidR="00516C04" w:rsidRDefault="00516C04" w:rsidP="00D83FE3">
            <w:pPr>
              <w:widowControl w:val="0"/>
            </w:pPr>
          </w:p>
        </w:tc>
        <w:tc>
          <w:tcPr>
            <w:tcW w:w="1544" w:type="dxa"/>
          </w:tcPr>
          <w:p w14:paraId="016A48CB" w14:textId="77777777" w:rsidR="00516C04" w:rsidRDefault="00516C04" w:rsidP="00D83FE3">
            <w:pPr>
              <w:widowControl w:val="0"/>
            </w:pPr>
          </w:p>
        </w:tc>
        <w:tc>
          <w:tcPr>
            <w:tcW w:w="1544" w:type="dxa"/>
          </w:tcPr>
          <w:p w14:paraId="65773709" w14:textId="77777777" w:rsidR="00516C04" w:rsidRDefault="00516C04" w:rsidP="00D83FE3">
            <w:pPr>
              <w:widowControl w:val="0"/>
            </w:pPr>
          </w:p>
        </w:tc>
        <w:tc>
          <w:tcPr>
            <w:tcW w:w="1544" w:type="dxa"/>
          </w:tcPr>
          <w:p w14:paraId="68CCD3B9" w14:textId="77777777" w:rsidR="00516C04" w:rsidRDefault="00516C04" w:rsidP="00D83FE3">
            <w:pPr>
              <w:widowControl w:val="0"/>
            </w:pPr>
          </w:p>
        </w:tc>
      </w:tr>
      <w:tr w:rsidR="00516C04" w14:paraId="0CFC9A94" w14:textId="14E33CD2" w:rsidTr="002C7A3B">
        <w:trPr>
          <w:cantSplit/>
          <w:tblHeader/>
        </w:trPr>
        <w:tc>
          <w:tcPr>
            <w:tcW w:w="1541" w:type="dxa"/>
            <w:tcBorders>
              <w:top w:val="nil"/>
              <w:left w:val="nil"/>
              <w:bottom w:val="nil"/>
              <w:right w:val="double" w:sz="6" w:space="0" w:color="auto"/>
            </w:tcBorders>
          </w:tcPr>
          <w:p w14:paraId="452E40B5" w14:textId="4C5E4397" w:rsidR="00516C04" w:rsidRDefault="00516C04" w:rsidP="00D83FE3">
            <w:pPr>
              <w:widowControl w:val="0"/>
            </w:pPr>
            <w:r w:rsidRPr="00EF0801">
              <w:t>60DB-2</w:t>
            </w:r>
          </w:p>
        </w:tc>
        <w:tc>
          <w:tcPr>
            <w:tcW w:w="1699" w:type="dxa"/>
            <w:tcBorders>
              <w:left w:val="double" w:sz="6" w:space="0" w:color="auto"/>
            </w:tcBorders>
          </w:tcPr>
          <w:p w14:paraId="1A754822" w14:textId="52E07978" w:rsidR="00516C04" w:rsidRDefault="00516C04" w:rsidP="00D83FE3">
            <w:pPr>
              <w:widowControl w:val="0"/>
            </w:pPr>
            <w:r w:rsidRPr="00EF0801">
              <w:t>WD</w:t>
            </w:r>
          </w:p>
        </w:tc>
        <w:tc>
          <w:tcPr>
            <w:tcW w:w="1385" w:type="dxa"/>
          </w:tcPr>
          <w:p w14:paraId="205CF4CE" w14:textId="77777777" w:rsidR="00516C04" w:rsidRDefault="00516C04" w:rsidP="00D83FE3">
            <w:pPr>
              <w:widowControl w:val="0"/>
            </w:pPr>
          </w:p>
        </w:tc>
        <w:tc>
          <w:tcPr>
            <w:tcW w:w="1543" w:type="dxa"/>
          </w:tcPr>
          <w:p w14:paraId="29283C02" w14:textId="77777777" w:rsidR="00516C04" w:rsidRDefault="00516C04" w:rsidP="00D83FE3">
            <w:pPr>
              <w:widowControl w:val="0"/>
            </w:pPr>
          </w:p>
        </w:tc>
        <w:tc>
          <w:tcPr>
            <w:tcW w:w="1544" w:type="dxa"/>
          </w:tcPr>
          <w:p w14:paraId="0792E2E9" w14:textId="77777777" w:rsidR="00516C04" w:rsidRDefault="00516C04" w:rsidP="00D83FE3">
            <w:pPr>
              <w:widowControl w:val="0"/>
            </w:pPr>
          </w:p>
        </w:tc>
        <w:tc>
          <w:tcPr>
            <w:tcW w:w="1544" w:type="dxa"/>
          </w:tcPr>
          <w:p w14:paraId="2917B161" w14:textId="053953EC" w:rsidR="00516C04" w:rsidRDefault="00516C04" w:rsidP="00D83FE3">
            <w:pPr>
              <w:widowControl w:val="0"/>
            </w:pPr>
            <w:r w:rsidRPr="00EF0801">
              <w:t>F30-WD</w:t>
            </w:r>
          </w:p>
        </w:tc>
        <w:tc>
          <w:tcPr>
            <w:tcW w:w="1544" w:type="dxa"/>
          </w:tcPr>
          <w:p w14:paraId="6CA10B3E" w14:textId="77777777" w:rsidR="00516C04" w:rsidRDefault="00516C04" w:rsidP="00D83FE3">
            <w:pPr>
              <w:widowControl w:val="0"/>
            </w:pPr>
          </w:p>
        </w:tc>
      </w:tr>
      <w:tr w:rsidR="00516C04" w14:paraId="7C6DEE1D" w14:textId="79394A3F" w:rsidTr="002C7A3B">
        <w:trPr>
          <w:cantSplit/>
          <w:tblHeader/>
        </w:trPr>
        <w:tc>
          <w:tcPr>
            <w:tcW w:w="1541" w:type="dxa"/>
            <w:tcBorders>
              <w:top w:val="nil"/>
              <w:left w:val="nil"/>
              <w:bottom w:val="nil"/>
              <w:right w:val="double" w:sz="6" w:space="0" w:color="auto"/>
            </w:tcBorders>
          </w:tcPr>
          <w:p w14:paraId="51C2C60E" w14:textId="5753E3FA" w:rsidR="00516C04" w:rsidRDefault="00516C04" w:rsidP="00D83FE3">
            <w:pPr>
              <w:widowControl w:val="0"/>
            </w:pPr>
            <w:r w:rsidRPr="00EF0801">
              <w:t>60DB-3</w:t>
            </w:r>
          </w:p>
        </w:tc>
        <w:tc>
          <w:tcPr>
            <w:tcW w:w="1699" w:type="dxa"/>
            <w:tcBorders>
              <w:left w:val="double" w:sz="6" w:space="0" w:color="auto"/>
            </w:tcBorders>
          </w:tcPr>
          <w:p w14:paraId="3834D9F5" w14:textId="6EA449DE" w:rsidR="00516C04" w:rsidRDefault="00516C04" w:rsidP="00D83FE3">
            <w:pPr>
              <w:widowControl w:val="0"/>
            </w:pPr>
            <w:r w:rsidRPr="00EF0801">
              <w:t>NG</w:t>
            </w:r>
          </w:p>
        </w:tc>
        <w:tc>
          <w:tcPr>
            <w:tcW w:w="1385" w:type="dxa"/>
          </w:tcPr>
          <w:p w14:paraId="5E9A61CC" w14:textId="2FB2B2A0" w:rsidR="00516C04" w:rsidRDefault="00516C04" w:rsidP="00D83FE3">
            <w:pPr>
              <w:widowControl w:val="0"/>
            </w:pPr>
            <w:r w:rsidRPr="00EF0801">
              <w:t>DOIL</w:t>
            </w:r>
          </w:p>
        </w:tc>
        <w:tc>
          <w:tcPr>
            <w:tcW w:w="1543" w:type="dxa"/>
          </w:tcPr>
          <w:p w14:paraId="63A6A81F" w14:textId="757B6A08" w:rsidR="00516C04" w:rsidRDefault="00516C04" w:rsidP="00D83FE3">
            <w:pPr>
              <w:widowControl w:val="0"/>
            </w:pPr>
            <w:r w:rsidRPr="00EF0801">
              <w:t>ROIL</w:t>
            </w:r>
          </w:p>
        </w:tc>
        <w:tc>
          <w:tcPr>
            <w:tcW w:w="1544" w:type="dxa"/>
          </w:tcPr>
          <w:p w14:paraId="0B8CA560" w14:textId="1549537E" w:rsidR="00516C04" w:rsidRDefault="00516C04" w:rsidP="00D83FE3">
            <w:pPr>
              <w:widowControl w:val="0"/>
            </w:pPr>
          </w:p>
        </w:tc>
        <w:tc>
          <w:tcPr>
            <w:tcW w:w="1544" w:type="dxa"/>
          </w:tcPr>
          <w:p w14:paraId="2DB10DDF" w14:textId="77777777" w:rsidR="00516C04" w:rsidRDefault="00516C04" w:rsidP="00D83FE3">
            <w:pPr>
              <w:widowControl w:val="0"/>
            </w:pPr>
          </w:p>
        </w:tc>
        <w:tc>
          <w:tcPr>
            <w:tcW w:w="1544" w:type="dxa"/>
          </w:tcPr>
          <w:p w14:paraId="25E2557D" w14:textId="45961186" w:rsidR="00516C04" w:rsidRDefault="00516C04" w:rsidP="00D83FE3">
            <w:pPr>
              <w:widowControl w:val="0"/>
            </w:pPr>
            <w:r w:rsidRPr="00EF0801">
              <w:t>F10-NG</w:t>
            </w:r>
          </w:p>
        </w:tc>
      </w:tr>
    </w:tbl>
    <w:p w14:paraId="5117AC6C" w14:textId="77777777" w:rsidR="00F861CF" w:rsidRPr="00E84758" w:rsidRDefault="00F861CF" w:rsidP="00FD7888">
      <w:pPr>
        <w:pStyle w:val="APDContinueTriangle"/>
      </w:pPr>
      <w:r w:rsidRPr="00E84758">
        <w:t>Continue only for SOP Applications.</w:t>
      </w:r>
    </w:p>
    <w:p w14:paraId="143E8347" w14:textId="77777777" w:rsidR="00F861CF" w:rsidRPr="00E84758" w:rsidRDefault="00F861CF" w:rsidP="00390EE3">
      <w:pPr>
        <w:pStyle w:val="APDCompleteStar"/>
      </w:pPr>
      <w:r w:rsidRPr="00E84758">
        <w:t>Complete “Subpart D” only if “Construction/Modification Date” is “84-86.”</w:t>
      </w:r>
    </w:p>
    <w:p w14:paraId="6F1FE143" w14:textId="77777777" w:rsidR="005C3564" w:rsidRDefault="005C3564" w:rsidP="00E84758">
      <w:pPr>
        <w:pStyle w:val="APDStrong"/>
        <w:sectPr w:rsidR="005C3564" w:rsidSect="0031268E">
          <w:pgSz w:w="12240" w:h="15840" w:code="1"/>
          <w:pgMar w:top="720" w:right="720" w:bottom="720" w:left="720" w:header="720" w:footer="720" w:gutter="0"/>
          <w:cols w:space="720"/>
          <w:titlePg/>
          <w:docGrid w:linePitch="360"/>
        </w:sectPr>
      </w:pPr>
    </w:p>
    <w:p w14:paraId="3D3EFEAE" w14:textId="77777777" w:rsidR="00F861CF" w:rsidRPr="00E84758" w:rsidRDefault="00F861CF" w:rsidP="005C3564">
      <w:pPr>
        <w:pStyle w:val="APDStrong"/>
        <w:spacing w:after="120"/>
      </w:pPr>
      <w:r w:rsidRPr="00E84758">
        <w:lastRenderedPageBreak/>
        <w:t>Subpart D:</w:t>
      </w:r>
    </w:p>
    <w:p w14:paraId="34BD226B" w14:textId="6C933B9B" w:rsidR="00F861CF" w:rsidRPr="006A5A27" w:rsidRDefault="00F861CF" w:rsidP="006A5A27">
      <w:pPr>
        <w:pStyle w:val="APDBodyText"/>
      </w:pPr>
      <w:r w:rsidRPr="006A5A27">
        <w:t>Enter “</w:t>
      </w:r>
      <w:r w:rsidR="00B42127">
        <w:t>YES</w:t>
      </w:r>
      <w:r w:rsidRPr="006A5A27">
        <w:t>” if the affected facility meets the applicability requirements of 40 CFR Part 60, Subpart D. Otherwise, enter “</w:t>
      </w:r>
      <w:r w:rsidR="00B42127">
        <w:t>NO</w:t>
      </w:r>
      <w:r w:rsidRPr="006A5A27">
        <w:t>.”</w:t>
      </w:r>
    </w:p>
    <w:p w14:paraId="60DBAEF5" w14:textId="68855F49" w:rsidR="008D225C" w:rsidRPr="00E84758" w:rsidRDefault="008D225C" w:rsidP="00E84758">
      <w:pPr>
        <w:pStyle w:val="APDStrong"/>
      </w:pPr>
      <w:r w:rsidRPr="00E84758">
        <w:t>Additional Applicability Requirement:</w:t>
      </w:r>
    </w:p>
    <w:p w14:paraId="66D3DE98" w14:textId="77777777" w:rsidR="008D225C" w:rsidRDefault="008D225C" w:rsidP="006A5A27">
      <w:pPr>
        <w:pStyle w:val="APDBodyText"/>
      </w:pPr>
      <w:r w:rsidRPr="006A5A27">
        <w:t>Select one of the following options for the affected facility if the affected facility meets applicability requirements of other 40 CFR Part 60 rules.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2F5490" w14:paraId="28A91CD6" w14:textId="77777777" w:rsidTr="002F5490">
        <w:trPr>
          <w:cantSplit/>
          <w:tblHeader/>
        </w:trPr>
        <w:tc>
          <w:tcPr>
            <w:tcW w:w="1530" w:type="dxa"/>
          </w:tcPr>
          <w:p w14:paraId="5478E0B8" w14:textId="7EFC2B9F" w:rsidR="002F5490" w:rsidRPr="002F5490" w:rsidRDefault="002F5490" w:rsidP="002F5490">
            <w:pPr>
              <w:rPr>
                <w:b/>
                <w:bCs/>
              </w:rPr>
            </w:pPr>
            <w:r w:rsidRPr="002F5490">
              <w:rPr>
                <w:b/>
                <w:bCs/>
              </w:rPr>
              <w:t>Code</w:t>
            </w:r>
          </w:p>
        </w:tc>
        <w:tc>
          <w:tcPr>
            <w:tcW w:w="8550" w:type="dxa"/>
          </w:tcPr>
          <w:p w14:paraId="3C51C96D" w14:textId="2B227643" w:rsidR="002F5490" w:rsidRPr="002F5490" w:rsidRDefault="002F5490" w:rsidP="002F5490">
            <w:pPr>
              <w:rPr>
                <w:b/>
                <w:bCs/>
              </w:rPr>
            </w:pPr>
            <w:r w:rsidRPr="002F5490">
              <w:rPr>
                <w:b/>
                <w:bCs/>
              </w:rPr>
              <w:t>Description</w:t>
            </w:r>
          </w:p>
        </w:tc>
      </w:tr>
      <w:tr w:rsidR="002F5490" w14:paraId="3BDC1211" w14:textId="77777777" w:rsidTr="002F5490">
        <w:trPr>
          <w:cantSplit/>
          <w:tblHeader/>
        </w:trPr>
        <w:tc>
          <w:tcPr>
            <w:tcW w:w="1530" w:type="dxa"/>
          </w:tcPr>
          <w:p w14:paraId="7AC40718" w14:textId="641FB9C9" w:rsidR="002F5490" w:rsidRDefault="002F5490" w:rsidP="002F5490">
            <w:r w:rsidRPr="00FC77CC">
              <w:t>J</w:t>
            </w:r>
          </w:p>
        </w:tc>
        <w:tc>
          <w:tcPr>
            <w:tcW w:w="8550" w:type="dxa"/>
          </w:tcPr>
          <w:p w14:paraId="4D511D41" w14:textId="30273EDE" w:rsidR="002F5490" w:rsidRDefault="002F5490" w:rsidP="002F5490">
            <w:r w:rsidRPr="00FC77CC">
              <w:t>The affected facility meets the applicability requirements in 40 CFR Part 60, Subpart J</w:t>
            </w:r>
          </w:p>
        </w:tc>
      </w:tr>
      <w:tr w:rsidR="002F5490" w14:paraId="313456F0" w14:textId="77777777" w:rsidTr="002F5490">
        <w:trPr>
          <w:cantSplit/>
          <w:tblHeader/>
        </w:trPr>
        <w:tc>
          <w:tcPr>
            <w:tcW w:w="1530" w:type="dxa"/>
          </w:tcPr>
          <w:p w14:paraId="04ADECA6" w14:textId="6CA3A53C" w:rsidR="002F5490" w:rsidRDefault="002F5490" w:rsidP="002F5490">
            <w:r w:rsidRPr="00FC77CC">
              <w:t>JA</w:t>
            </w:r>
          </w:p>
        </w:tc>
        <w:tc>
          <w:tcPr>
            <w:tcW w:w="8550" w:type="dxa"/>
          </w:tcPr>
          <w:p w14:paraId="1F5C40F2" w14:textId="5D06DFCA" w:rsidR="002F5490" w:rsidRDefault="002F5490" w:rsidP="002F5490">
            <w:r w:rsidRPr="00FC77CC">
              <w:t>The affected facility meets the applicability requirements in 40 CFR Part 60, Subpart Ja</w:t>
            </w:r>
          </w:p>
        </w:tc>
      </w:tr>
      <w:tr w:rsidR="002F5490" w14:paraId="5B6455EB" w14:textId="77777777" w:rsidTr="002F5490">
        <w:trPr>
          <w:cantSplit/>
          <w:tblHeader/>
        </w:trPr>
        <w:tc>
          <w:tcPr>
            <w:tcW w:w="1530" w:type="dxa"/>
          </w:tcPr>
          <w:p w14:paraId="3FF7F28E" w14:textId="6BC41EEC" w:rsidR="002F5490" w:rsidRDefault="002F5490" w:rsidP="002F5490">
            <w:r w:rsidRPr="00FC77CC">
              <w:t>E</w:t>
            </w:r>
          </w:p>
        </w:tc>
        <w:tc>
          <w:tcPr>
            <w:tcW w:w="8550" w:type="dxa"/>
          </w:tcPr>
          <w:p w14:paraId="2621025C" w14:textId="5DE33C11" w:rsidR="002F5490" w:rsidRDefault="002F5490" w:rsidP="002F5490">
            <w:r w:rsidRPr="00FC77CC">
              <w:t>The affected facility meets the applicability requirements in 40 CFR Part 60, Subpart E</w:t>
            </w:r>
          </w:p>
        </w:tc>
      </w:tr>
      <w:tr w:rsidR="002F5490" w14:paraId="4701B20A" w14:textId="77777777" w:rsidTr="002F5490">
        <w:trPr>
          <w:cantSplit/>
          <w:tblHeader/>
        </w:trPr>
        <w:tc>
          <w:tcPr>
            <w:tcW w:w="1530" w:type="dxa"/>
          </w:tcPr>
          <w:p w14:paraId="3340F1B0" w14:textId="71844D96" w:rsidR="002F5490" w:rsidRDefault="002F5490" w:rsidP="002F5490">
            <w:r w:rsidRPr="00FC77CC">
              <w:t>BB</w:t>
            </w:r>
          </w:p>
        </w:tc>
        <w:tc>
          <w:tcPr>
            <w:tcW w:w="8550" w:type="dxa"/>
          </w:tcPr>
          <w:p w14:paraId="5D84B431" w14:textId="7BA16588" w:rsidR="002F5490" w:rsidRDefault="002F5490" w:rsidP="002F5490">
            <w:r w:rsidRPr="00FC77CC">
              <w:t>The affected facility meets the applicability requirements in 40 CFR Part 60, Subpart BB</w:t>
            </w:r>
          </w:p>
        </w:tc>
      </w:tr>
      <w:tr w:rsidR="002F5490" w14:paraId="5E4404A6" w14:textId="77777777" w:rsidTr="002F5490">
        <w:trPr>
          <w:cantSplit/>
          <w:tblHeader/>
        </w:trPr>
        <w:tc>
          <w:tcPr>
            <w:tcW w:w="1530" w:type="dxa"/>
          </w:tcPr>
          <w:p w14:paraId="2717F53D" w14:textId="79C0FDED" w:rsidR="002F5490" w:rsidRDefault="002F5490" w:rsidP="002F5490">
            <w:r w:rsidRPr="00FC77CC">
              <w:t>NONE</w:t>
            </w:r>
          </w:p>
        </w:tc>
        <w:tc>
          <w:tcPr>
            <w:tcW w:w="8550" w:type="dxa"/>
          </w:tcPr>
          <w:p w14:paraId="5D27E333" w14:textId="7BDA601C" w:rsidR="002F5490" w:rsidRDefault="002F5490" w:rsidP="002F5490">
            <w:r w:rsidRPr="00FC77CC">
              <w:t>The affected facility does not meet the applicability requirements of 40 CFR Part 60, Subpart J, 40 CFR Part 60, Subpart Ja, 40 CFR Part 60, Subpart E, or 40 CFR Part 60, Subpart BB.</w:t>
            </w:r>
          </w:p>
        </w:tc>
      </w:tr>
    </w:tbl>
    <w:p w14:paraId="0D4A7EA3" w14:textId="0936B7E6" w:rsidR="00F861CF" w:rsidRPr="00E84758" w:rsidRDefault="00F861CF" w:rsidP="003113BF">
      <w:pPr>
        <w:pStyle w:val="APDStrong"/>
        <w:spacing w:before="120"/>
      </w:pPr>
      <w:r w:rsidRPr="00E84758">
        <w:t>ACF Option:</w:t>
      </w:r>
    </w:p>
    <w:p w14:paraId="7DE8F48D" w14:textId="795697B7" w:rsidR="00F861CF" w:rsidRDefault="00F861CF" w:rsidP="00AE695F">
      <w:pPr>
        <w:pStyle w:val="APDBodyText"/>
      </w:pPr>
      <w:r w:rsidRPr="00AE695F">
        <w:t xml:space="preserve">Select one of the following annual capacity </w:t>
      </w:r>
      <w:r w:rsidR="00DC5CFE" w:rsidRPr="00AE695F">
        <w:t>factor</w:t>
      </w:r>
      <w:r w:rsidRPr="00AE695F">
        <w:t xml:space="preserve"> (ACF) options. Enter the code on the form in the space next to the “D</w:t>
      </w:r>
      <w:r w:rsidRPr="00AE695F">
        <w:noBreakHyphen/>
        <w:t>Series Fuel Type” code (FE = Federally Enforceable).</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29"/>
        <w:gridCol w:w="1438"/>
        <w:gridCol w:w="5127"/>
        <w:gridCol w:w="2706"/>
      </w:tblGrid>
      <w:tr w:rsidR="00375A50" w14:paraId="57C33D60" w14:textId="77777777" w:rsidTr="00131C2B">
        <w:trPr>
          <w:cantSplit/>
          <w:tblHeader/>
        </w:trPr>
        <w:tc>
          <w:tcPr>
            <w:tcW w:w="1529" w:type="dxa"/>
          </w:tcPr>
          <w:p w14:paraId="4C2DBB25" w14:textId="0CA7563E" w:rsidR="00375A50" w:rsidRPr="00307105" w:rsidRDefault="00406D23" w:rsidP="00375A50">
            <w:pPr>
              <w:rPr>
                <w:b/>
                <w:bCs/>
              </w:rPr>
            </w:pPr>
            <w:r>
              <w:rPr>
                <w:b/>
                <w:bCs/>
              </w:rPr>
              <w:t>Pollutant</w:t>
            </w:r>
          </w:p>
        </w:tc>
        <w:tc>
          <w:tcPr>
            <w:tcW w:w="1438" w:type="dxa"/>
          </w:tcPr>
          <w:p w14:paraId="117158DB" w14:textId="04B5375D" w:rsidR="00375A50" w:rsidRPr="00307105" w:rsidRDefault="00375A50" w:rsidP="00375A50">
            <w:pPr>
              <w:rPr>
                <w:b/>
                <w:bCs/>
              </w:rPr>
            </w:pPr>
            <w:r w:rsidRPr="00307105">
              <w:rPr>
                <w:b/>
                <w:bCs/>
              </w:rPr>
              <w:t>Code</w:t>
            </w:r>
          </w:p>
        </w:tc>
        <w:tc>
          <w:tcPr>
            <w:tcW w:w="5126" w:type="dxa"/>
          </w:tcPr>
          <w:p w14:paraId="446A77F0" w14:textId="37199C9D" w:rsidR="00375A50" w:rsidRPr="00307105" w:rsidRDefault="00375A50" w:rsidP="00375A50">
            <w:pPr>
              <w:rPr>
                <w:b/>
                <w:bCs/>
              </w:rPr>
            </w:pPr>
            <w:r w:rsidRPr="00307105">
              <w:rPr>
                <w:b/>
                <w:bCs/>
              </w:rPr>
              <w:t>Description</w:t>
            </w:r>
          </w:p>
        </w:tc>
        <w:tc>
          <w:tcPr>
            <w:tcW w:w="2707" w:type="dxa"/>
          </w:tcPr>
          <w:p w14:paraId="43881CBC" w14:textId="6C9A04DB" w:rsidR="00375A50" w:rsidRPr="00307105" w:rsidRDefault="00375A50" w:rsidP="00375A50">
            <w:pPr>
              <w:rPr>
                <w:b/>
                <w:bCs/>
              </w:rPr>
            </w:pPr>
            <w:r w:rsidRPr="00307105">
              <w:rPr>
                <w:b/>
                <w:bCs/>
              </w:rPr>
              <w:t>Citation</w:t>
            </w:r>
          </w:p>
        </w:tc>
      </w:tr>
      <w:tr w:rsidR="00375A50" w14:paraId="46DEB16A" w14:textId="77777777" w:rsidTr="00131C2B">
        <w:trPr>
          <w:cantSplit/>
          <w:tblHeader/>
        </w:trPr>
        <w:tc>
          <w:tcPr>
            <w:tcW w:w="1529" w:type="dxa"/>
          </w:tcPr>
          <w:p w14:paraId="781666FC" w14:textId="1A7C03E5" w:rsidR="00375A50" w:rsidRDefault="00406D23" w:rsidP="00375A50">
            <w:r w:rsidRPr="00307105">
              <w:rPr>
                <w:b/>
                <w:bCs/>
              </w:rPr>
              <w:t>SO</w:t>
            </w:r>
            <w:r w:rsidRPr="00307105">
              <w:rPr>
                <w:b/>
                <w:bCs/>
                <w:vertAlign w:val="subscript"/>
              </w:rPr>
              <w:t>2</w:t>
            </w:r>
          </w:p>
        </w:tc>
        <w:tc>
          <w:tcPr>
            <w:tcW w:w="1438" w:type="dxa"/>
          </w:tcPr>
          <w:p w14:paraId="0E79CCF5" w14:textId="6BB92CE2" w:rsidR="00375A50" w:rsidRDefault="00375A50" w:rsidP="00375A50">
            <w:r w:rsidRPr="006875B2">
              <w:t>F30-C</w:t>
            </w:r>
          </w:p>
        </w:tc>
        <w:tc>
          <w:tcPr>
            <w:tcW w:w="5126" w:type="dxa"/>
          </w:tcPr>
          <w:p w14:paraId="71B88CC5" w14:textId="39FBC686" w:rsidR="00375A50" w:rsidRDefault="00375A50" w:rsidP="00375A50">
            <w:r w:rsidRPr="006875B2">
              <w:t>Coal and oil ACF less than or equal to 30% (FE)</w:t>
            </w:r>
          </w:p>
        </w:tc>
        <w:tc>
          <w:tcPr>
            <w:tcW w:w="2707" w:type="dxa"/>
          </w:tcPr>
          <w:p w14:paraId="4FFD637E" w14:textId="0AFBD63A" w:rsidR="00375A50" w:rsidRDefault="00375A50" w:rsidP="00375A50">
            <w:r w:rsidRPr="006875B2">
              <w:t>[60.42b(d)(1)]</w:t>
            </w:r>
          </w:p>
        </w:tc>
      </w:tr>
      <w:tr w:rsidR="00375A50" w14:paraId="42046DD9" w14:textId="77777777" w:rsidTr="00131C2B">
        <w:trPr>
          <w:cantSplit/>
          <w:tblHeader/>
        </w:trPr>
        <w:tc>
          <w:tcPr>
            <w:tcW w:w="1529" w:type="dxa"/>
          </w:tcPr>
          <w:p w14:paraId="684904C6" w14:textId="77777777" w:rsidR="00375A50" w:rsidRDefault="00375A50" w:rsidP="00375A50"/>
        </w:tc>
        <w:tc>
          <w:tcPr>
            <w:tcW w:w="1438" w:type="dxa"/>
          </w:tcPr>
          <w:p w14:paraId="544914E4" w14:textId="7A5636D9" w:rsidR="00375A50" w:rsidRDefault="00375A50" w:rsidP="00375A50">
            <w:r w:rsidRPr="006875B2">
              <w:t>F10-OIL</w:t>
            </w:r>
          </w:p>
        </w:tc>
        <w:tc>
          <w:tcPr>
            <w:tcW w:w="5126" w:type="dxa"/>
          </w:tcPr>
          <w:p w14:paraId="12B35D6D" w14:textId="5883237C" w:rsidR="00375A50" w:rsidRDefault="00375A50" w:rsidP="00375A50">
            <w:r w:rsidRPr="006875B2">
              <w:t>Oil ACF less than or equal to 10% (FE)</w:t>
            </w:r>
          </w:p>
        </w:tc>
        <w:tc>
          <w:tcPr>
            <w:tcW w:w="2707" w:type="dxa"/>
          </w:tcPr>
          <w:p w14:paraId="0613D5F9" w14:textId="39F5213E" w:rsidR="00375A50" w:rsidRDefault="00375A50" w:rsidP="00375A50">
            <w:r w:rsidRPr="006875B2">
              <w:t>[60.42b(f)(1)]</w:t>
            </w:r>
          </w:p>
        </w:tc>
      </w:tr>
      <w:tr w:rsidR="00375A50" w14:paraId="26880449" w14:textId="77777777" w:rsidTr="00131C2B">
        <w:trPr>
          <w:cantSplit/>
          <w:tblHeader/>
        </w:trPr>
        <w:tc>
          <w:tcPr>
            <w:tcW w:w="1529" w:type="dxa"/>
          </w:tcPr>
          <w:p w14:paraId="3EF7071B" w14:textId="77777777" w:rsidR="00375A50" w:rsidRDefault="00375A50" w:rsidP="00375A50"/>
        </w:tc>
        <w:tc>
          <w:tcPr>
            <w:tcW w:w="1438" w:type="dxa"/>
          </w:tcPr>
          <w:p w14:paraId="25D87884" w14:textId="0C090F29" w:rsidR="00375A50" w:rsidRDefault="00375A50" w:rsidP="00375A50">
            <w:r w:rsidRPr="006875B2">
              <w:t>OTHR</w:t>
            </w:r>
          </w:p>
        </w:tc>
        <w:tc>
          <w:tcPr>
            <w:tcW w:w="5126" w:type="dxa"/>
          </w:tcPr>
          <w:p w14:paraId="7C943465" w14:textId="52973DE2" w:rsidR="00375A50" w:rsidRDefault="00375A50" w:rsidP="00375A50">
            <w:r w:rsidRPr="006875B2">
              <w:t>Other ACF or no ACF</w:t>
            </w:r>
          </w:p>
        </w:tc>
        <w:tc>
          <w:tcPr>
            <w:tcW w:w="2707" w:type="dxa"/>
          </w:tcPr>
          <w:p w14:paraId="5CAAFBBA" w14:textId="77777777" w:rsidR="00375A50" w:rsidRDefault="00375A50" w:rsidP="00375A50"/>
        </w:tc>
      </w:tr>
      <w:tr w:rsidR="00A4049F" w14:paraId="1E05F6EB" w14:textId="77777777" w:rsidTr="00131C2B">
        <w:tc>
          <w:tcPr>
            <w:tcW w:w="1529" w:type="dxa"/>
          </w:tcPr>
          <w:p w14:paraId="3ED45A7A" w14:textId="504991EE" w:rsidR="00A4049F" w:rsidRPr="00ED6819" w:rsidRDefault="00A4049F" w:rsidP="00ED6819">
            <w:pPr>
              <w:rPr>
                <w:b/>
                <w:bCs/>
              </w:rPr>
            </w:pPr>
            <w:r w:rsidRPr="00ED6819">
              <w:rPr>
                <w:b/>
                <w:bCs/>
              </w:rPr>
              <w:t>PM</w:t>
            </w:r>
          </w:p>
        </w:tc>
        <w:tc>
          <w:tcPr>
            <w:tcW w:w="1438" w:type="dxa"/>
          </w:tcPr>
          <w:p w14:paraId="739FCF10" w14:textId="7AEDFCDA" w:rsidR="00A4049F" w:rsidRDefault="00A4049F" w:rsidP="00ED6819">
            <w:r w:rsidRPr="00E93B26">
              <w:t>10-OTH</w:t>
            </w:r>
          </w:p>
        </w:tc>
        <w:tc>
          <w:tcPr>
            <w:tcW w:w="5128" w:type="dxa"/>
          </w:tcPr>
          <w:p w14:paraId="46BABFC9" w14:textId="77777777" w:rsidR="00A4049F" w:rsidRDefault="00A4049F" w:rsidP="00ED6819">
            <w:r w:rsidRPr="00E93B26">
              <w:t>Coal with other fuels and other fuels ACF is less than or equal to 10%</w:t>
            </w:r>
          </w:p>
        </w:tc>
        <w:tc>
          <w:tcPr>
            <w:tcW w:w="2705" w:type="dxa"/>
            <w:vAlign w:val="bottom"/>
          </w:tcPr>
          <w:p w14:paraId="6E49BDDF" w14:textId="6791280F" w:rsidR="00A4049F" w:rsidRDefault="00A4049F" w:rsidP="00ED6819">
            <w:r w:rsidRPr="00E93B26">
              <w:t>[60.43b(a)(1)(ii)]</w:t>
            </w:r>
          </w:p>
        </w:tc>
      </w:tr>
      <w:tr w:rsidR="005D4A64" w14:paraId="4006DF81" w14:textId="77777777" w:rsidTr="00131C2B">
        <w:tc>
          <w:tcPr>
            <w:tcW w:w="1529" w:type="dxa"/>
          </w:tcPr>
          <w:p w14:paraId="65DE6637" w14:textId="77777777" w:rsidR="005D4A64" w:rsidRDefault="005D4A64" w:rsidP="005D4A64"/>
        </w:tc>
        <w:tc>
          <w:tcPr>
            <w:tcW w:w="1438" w:type="dxa"/>
          </w:tcPr>
          <w:p w14:paraId="20044BCF" w14:textId="0503CDA2" w:rsidR="005D4A64" w:rsidRDefault="005D4A64" w:rsidP="005D4A64">
            <w:r w:rsidRPr="00E93B26">
              <w:t>F10+OTH</w:t>
            </w:r>
          </w:p>
        </w:tc>
        <w:tc>
          <w:tcPr>
            <w:tcW w:w="5126" w:type="dxa"/>
          </w:tcPr>
          <w:p w14:paraId="5FDD1964" w14:textId="111FC253" w:rsidR="005D4A64" w:rsidRDefault="005D4A64" w:rsidP="005D4A64">
            <w:r w:rsidRPr="00E93B26">
              <w:t>Coal with other fuels and other fuels ACF is greater</w:t>
            </w:r>
            <w:r>
              <w:t xml:space="preserve"> </w:t>
            </w:r>
            <w:r w:rsidRPr="00E93B26">
              <w:t>than 10% (FE)</w:t>
            </w:r>
          </w:p>
        </w:tc>
        <w:tc>
          <w:tcPr>
            <w:tcW w:w="2707" w:type="dxa"/>
            <w:vAlign w:val="bottom"/>
          </w:tcPr>
          <w:p w14:paraId="4023FF53" w14:textId="152EE5DC" w:rsidR="005D4A64" w:rsidRDefault="005D4A64" w:rsidP="005D4A64">
            <w:r w:rsidRPr="00EF0801">
              <w:t>[60.43b(a)(2)]</w:t>
            </w:r>
          </w:p>
        </w:tc>
      </w:tr>
      <w:tr w:rsidR="00ED6819" w14:paraId="648CD911" w14:textId="77777777" w:rsidTr="00131C2B">
        <w:tc>
          <w:tcPr>
            <w:tcW w:w="1529" w:type="dxa"/>
          </w:tcPr>
          <w:p w14:paraId="62B93539" w14:textId="77777777" w:rsidR="00ED6819" w:rsidRDefault="00ED6819" w:rsidP="00ED6819"/>
        </w:tc>
        <w:tc>
          <w:tcPr>
            <w:tcW w:w="1438" w:type="dxa"/>
          </w:tcPr>
          <w:p w14:paraId="763BB1FB" w14:textId="5453C874" w:rsidR="00ED6819" w:rsidRDefault="005D4A64" w:rsidP="00ED6819">
            <w:r w:rsidRPr="00EF0801">
              <w:t>F30-CLO</w:t>
            </w:r>
          </w:p>
        </w:tc>
        <w:tc>
          <w:tcPr>
            <w:tcW w:w="5126" w:type="dxa"/>
          </w:tcPr>
          <w:p w14:paraId="6B27E810" w14:textId="752C4475" w:rsidR="00ED6819" w:rsidRDefault="005D4A64" w:rsidP="005D4A64">
            <w:pPr>
              <w:tabs>
                <w:tab w:val="left" w:pos="720"/>
                <w:tab w:val="left" w:pos="2160"/>
                <w:tab w:val="left" w:pos="7920"/>
              </w:tabs>
            </w:pPr>
            <w:r w:rsidRPr="00EF0801">
              <w:t>Coal or coal and other solid fuels ACF less than</w:t>
            </w:r>
            <w:r>
              <w:t xml:space="preserve"> </w:t>
            </w:r>
            <w:r w:rsidRPr="00EF0801">
              <w:t>or equal to 30% (FE)</w:t>
            </w:r>
          </w:p>
        </w:tc>
        <w:tc>
          <w:tcPr>
            <w:tcW w:w="2707" w:type="dxa"/>
            <w:vAlign w:val="bottom"/>
          </w:tcPr>
          <w:p w14:paraId="74FE8DA5" w14:textId="34FFC11B" w:rsidR="00ED6819" w:rsidRDefault="005D4A64" w:rsidP="00ED6819">
            <w:r w:rsidRPr="00EF0801">
              <w:t>[60.43b(a)(3)(iii)]</w:t>
            </w:r>
          </w:p>
        </w:tc>
      </w:tr>
      <w:tr w:rsidR="00ED6819" w14:paraId="3A2C1E30" w14:textId="77777777" w:rsidTr="00131C2B">
        <w:tc>
          <w:tcPr>
            <w:tcW w:w="1529" w:type="dxa"/>
          </w:tcPr>
          <w:p w14:paraId="0A705132" w14:textId="77777777" w:rsidR="00ED6819" w:rsidRDefault="00ED6819" w:rsidP="00ED6819"/>
        </w:tc>
        <w:tc>
          <w:tcPr>
            <w:tcW w:w="1438" w:type="dxa"/>
          </w:tcPr>
          <w:p w14:paraId="11E7B3D9" w14:textId="616A801A" w:rsidR="00ED6819" w:rsidRDefault="005D4A64" w:rsidP="00ED6819">
            <w:r w:rsidRPr="00E93B26">
              <w:t>30+WD</w:t>
            </w:r>
          </w:p>
        </w:tc>
        <w:tc>
          <w:tcPr>
            <w:tcW w:w="5126" w:type="dxa"/>
          </w:tcPr>
          <w:p w14:paraId="00EB46A8" w14:textId="542C884E" w:rsidR="00ED6819" w:rsidRDefault="005D4A64" w:rsidP="00ED6819">
            <w:r w:rsidRPr="00E93B26">
              <w:t>Wood ACF greater than 30%</w:t>
            </w:r>
          </w:p>
        </w:tc>
        <w:tc>
          <w:tcPr>
            <w:tcW w:w="2707" w:type="dxa"/>
          </w:tcPr>
          <w:p w14:paraId="5D023EB2" w14:textId="1DCC0066" w:rsidR="00ED6819" w:rsidRDefault="005D4A64" w:rsidP="00ED6819">
            <w:r w:rsidRPr="00EF0801">
              <w:t>[60.43b(c)(1)]</w:t>
            </w:r>
          </w:p>
        </w:tc>
      </w:tr>
      <w:tr w:rsidR="00ED6819" w14:paraId="0666A9D0" w14:textId="77777777" w:rsidTr="00131C2B">
        <w:tc>
          <w:tcPr>
            <w:tcW w:w="1529" w:type="dxa"/>
          </w:tcPr>
          <w:p w14:paraId="498EEF7A" w14:textId="77777777" w:rsidR="00ED6819" w:rsidRDefault="00ED6819" w:rsidP="00ED6819"/>
        </w:tc>
        <w:tc>
          <w:tcPr>
            <w:tcW w:w="1438" w:type="dxa"/>
          </w:tcPr>
          <w:p w14:paraId="0B860592" w14:textId="7C2BFA44" w:rsidR="00ED6819" w:rsidRDefault="005D4A64" w:rsidP="00ED6819">
            <w:r w:rsidRPr="00E93B26">
              <w:t>F30-WD</w:t>
            </w:r>
          </w:p>
        </w:tc>
        <w:tc>
          <w:tcPr>
            <w:tcW w:w="5126" w:type="dxa"/>
          </w:tcPr>
          <w:p w14:paraId="2F907B3F" w14:textId="0C8A3CFE" w:rsidR="00ED6819" w:rsidRDefault="005D4A64" w:rsidP="00ED6819">
            <w:r w:rsidRPr="00E93B26">
              <w:t>Wood ACF less than or equal to 30% (FE)</w:t>
            </w:r>
          </w:p>
        </w:tc>
        <w:tc>
          <w:tcPr>
            <w:tcW w:w="2707" w:type="dxa"/>
          </w:tcPr>
          <w:p w14:paraId="54D4E51F" w14:textId="3765B90C" w:rsidR="00ED6819" w:rsidRDefault="005D4A64" w:rsidP="00ED6819">
            <w:r w:rsidRPr="00E93B26">
              <w:t>[60.43b(c)(2)(i) and (ii)]</w:t>
            </w:r>
          </w:p>
        </w:tc>
      </w:tr>
      <w:tr w:rsidR="00ED6819" w14:paraId="3DDE2102" w14:textId="77777777" w:rsidTr="00131C2B">
        <w:tc>
          <w:tcPr>
            <w:tcW w:w="1529" w:type="dxa"/>
          </w:tcPr>
          <w:p w14:paraId="2B8D31FB" w14:textId="77777777" w:rsidR="00ED6819" w:rsidRDefault="00ED6819" w:rsidP="00ED6819"/>
        </w:tc>
        <w:tc>
          <w:tcPr>
            <w:tcW w:w="1438" w:type="dxa"/>
          </w:tcPr>
          <w:p w14:paraId="62C34478" w14:textId="678CC9FB" w:rsidR="00ED6819" w:rsidRDefault="005D4A64" w:rsidP="00ED6819">
            <w:r w:rsidRPr="00E93B26">
              <w:t>10-OMW</w:t>
            </w:r>
          </w:p>
        </w:tc>
        <w:tc>
          <w:tcPr>
            <w:tcW w:w="5126" w:type="dxa"/>
          </w:tcPr>
          <w:p w14:paraId="7826AB13" w14:textId="215C5ABC" w:rsidR="00ED6819" w:rsidRDefault="005D4A64" w:rsidP="00ED6819">
            <w:r w:rsidRPr="00E93B26">
              <w:t>Municipal-type solid waste with other fuels and other fuels</w:t>
            </w:r>
            <w:r>
              <w:t xml:space="preserve"> </w:t>
            </w:r>
            <w:r w:rsidRPr="00EF0801">
              <w:t>ACF is less than or equal to 10%</w:t>
            </w:r>
          </w:p>
        </w:tc>
        <w:tc>
          <w:tcPr>
            <w:tcW w:w="2707" w:type="dxa"/>
            <w:vAlign w:val="bottom"/>
          </w:tcPr>
          <w:p w14:paraId="7E7DDEED" w14:textId="1E2D1ECB" w:rsidR="00ED6819" w:rsidRDefault="00A225B0" w:rsidP="00ED6819">
            <w:r w:rsidRPr="00EF0801">
              <w:t>[60.43b(d)(1)(ii)]</w:t>
            </w:r>
          </w:p>
        </w:tc>
      </w:tr>
      <w:tr w:rsidR="00ED6819" w14:paraId="0D881943" w14:textId="77777777" w:rsidTr="00131C2B">
        <w:tc>
          <w:tcPr>
            <w:tcW w:w="1529" w:type="dxa"/>
          </w:tcPr>
          <w:p w14:paraId="0DA52DC2" w14:textId="77777777" w:rsidR="00ED6819" w:rsidRDefault="00ED6819" w:rsidP="00ED6819"/>
        </w:tc>
        <w:tc>
          <w:tcPr>
            <w:tcW w:w="1438" w:type="dxa"/>
          </w:tcPr>
          <w:p w14:paraId="14D931C3" w14:textId="207D1BB1" w:rsidR="00ED6819" w:rsidRDefault="00A225B0" w:rsidP="00ED6819">
            <w:r w:rsidRPr="00EF0801">
              <w:t>F30-MSW</w:t>
            </w:r>
          </w:p>
        </w:tc>
        <w:tc>
          <w:tcPr>
            <w:tcW w:w="5126" w:type="dxa"/>
          </w:tcPr>
          <w:p w14:paraId="6B56C7D9" w14:textId="02E91F6D" w:rsidR="00ED6819" w:rsidRDefault="00A225B0" w:rsidP="00A225B0">
            <w:pPr>
              <w:tabs>
                <w:tab w:val="left" w:pos="720"/>
                <w:tab w:val="left" w:pos="2160"/>
                <w:tab w:val="left" w:pos="7920"/>
              </w:tabs>
            </w:pPr>
            <w:r w:rsidRPr="00EF0801">
              <w:t>Municipal-type solid waste ACF less than or</w:t>
            </w:r>
            <w:r>
              <w:t xml:space="preserve"> </w:t>
            </w:r>
            <w:r w:rsidRPr="00EF0801">
              <w:t>equal to 30% (FE)</w:t>
            </w:r>
          </w:p>
        </w:tc>
        <w:tc>
          <w:tcPr>
            <w:tcW w:w="2707" w:type="dxa"/>
            <w:vAlign w:val="bottom"/>
          </w:tcPr>
          <w:p w14:paraId="7B3DD101" w14:textId="08432EB7" w:rsidR="00ED6819" w:rsidRDefault="002F6275" w:rsidP="00ED6819">
            <w:r w:rsidRPr="00EF0801">
              <w:t>[60.43b(d)(2)(i) and (iii)]</w:t>
            </w:r>
          </w:p>
        </w:tc>
      </w:tr>
      <w:tr w:rsidR="00ED6819" w14:paraId="753F4280" w14:textId="77777777" w:rsidTr="00131C2B">
        <w:tc>
          <w:tcPr>
            <w:tcW w:w="1529" w:type="dxa"/>
          </w:tcPr>
          <w:p w14:paraId="393DE998" w14:textId="77777777" w:rsidR="00ED6819" w:rsidRDefault="00ED6819" w:rsidP="00ED6819"/>
        </w:tc>
        <w:tc>
          <w:tcPr>
            <w:tcW w:w="1438" w:type="dxa"/>
          </w:tcPr>
          <w:p w14:paraId="17374649" w14:textId="0AC37C7D" w:rsidR="00ED6819" w:rsidRDefault="002F6275" w:rsidP="00ED6819">
            <w:r w:rsidRPr="00EF0801">
              <w:t>F30-OMW</w:t>
            </w:r>
          </w:p>
        </w:tc>
        <w:tc>
          <w:tcPr>
            <w:tcW w:w="5126" w:type="dxa"/>
          </w:tcPr>
          <w:p w14:paraId="3E901EBC" w14:textId="199F1B3E" w:rsidR="00ED6819" w:rsidRDefault="002F6275" w:rsidP="00ED6819">
            <w:r w:rsidRPr="00EF0801">
              <w:t>Municipal-type solid waste and other fuels</w:t>
            </w:r>
            <w:r>
              <w:t xml:space="preserve"> </w:t>
            </w:r>
            <w:r w:rsidRPr="00EF0801">
              <w:t>ACF less than or equal to 30% (FE)</w:t>
            </w:r>
          </w:p>
        </w:tc>
        <w:tc>
          <w:tcPr>
            <w:tcW w:w="2707" w:type="dxa"/>
            <w:vAlign w:val="bottom"/>
          </w:tcPr>
          <w:p w14:paraId="39F7DF53" w14:textId="5104D87D" w:rsidR="00ED6819" w:rsidRDefault="002F6275" w:rsidP="00ED6819">
            <w:r w:rsidRPr="00EF0801">
              <w:t>[60.43b(d)(2)(i) and (iii)]</w:t>
            </w:r>
          </w:p>
        </w:tc>
      </w:tr>
      <w:tr w:rsidR="00ED6819" w14:paraId="26D0CDA9" w14:textId="77777777" w:rsidTr="00131C2B">
        <w:tc>
          <w:tcPr>
            <w:tcW w:w="1529" w:type="dxa"/>
          </w:tcPr>
          <w:p w14:paraId="16E7100E" w14:textId="77777777" w:rsidR="00ED6819" w:rsidRDefault="00ED6819" w:rsidP="00ED6819"/>
        </w:tc>
        <w:tc>
          <w:tcPr>
            <w:tcW w:w="1438" w:type="dxa"/>
          </w:tcPr>
          <w:p w14:paraId="395F9DC3" w14:textId="32C808B4" w:rsidR="00ED6819" w:rsidRDefault="002F6275" w:rsidP="00ED6819">
            <w:r w:rsidRPr="00EF0801">
              <w:t>OTHR</w:t>
            </w:r>
          </w:p>
        </w:tc>
        <w:tc>
          <w:tcPr>
            <w:tcW w:w="5126" w:type="dxa"/>
          </w:tcPr>
          <w:p w14:paraId="24340FEB" w14:textId="13373187" w:rsidR="00ED6819" w:rsidRDefault="002F6275" w:rsidP="00ED6819">
            <w:r w:rsidRPr="00EF0801">
              <w:t>Other ACF or no ACF</w:t>
            </w:r>
          </w:p>
        </w:tc>
        <w:tc>
          <w:tcPr>
            <w:tcW w:w="2707" w:type="dxa"/>
          </w:tcPr>
          <w:p w14:paraId="7C53682F" w14:textId="77777777" w:rsidR="00ED6819" w:rsidRDefault="00ED6819" w:rsidP="00ED6819"/>
        </w:tc>
      </w:tr>
    </w:tbl>
    <w:p w14:paraId="54D2A22C" w14:textId="77777777" w:rsidR="009324F1" w:rsidRPr="009324F1" w:rsidRDefault="009324F1" w:rsidP="009324F1"/>
    <w:p w14:paraId="3D8B6064" w14:textId="77777777" w:rsidR="00CE5D94" w:rsidRDefault="00CE5D94" w:rsidP="009324F1">
      <w:pPr>
        <w:sectPr w:rsidR="00CE5D94" w:rsidSect="0031268E">
          <w:pgSz w:w="12240" w:h="15840" w:code="1"/>
          <w:pgMar w:top="720" w:right="720" w:bottom="720" w:left="720" w:header="720" w:footer="720" w:gutter="0"/>
          <w:cols w:space="720"/>
          <w:titlePg/>
          <w:docGrid w:linePitch="360"/>
        </w:sect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1440"/>
        <w:gridCol w:w="5670"/>
        <w:gridCol w:w="2160"/>
      </w:tblGrid>
      <w:tr w:rsidR="00B15973" w14:paraId="5D6FC12D" w14:textId="77777777" w:rsidTr="007276CE">
        <w:tc>
          <w:tcPr>
            <w:tcW w:w="1530" w:type="dxa"/>
          </w:tcPr>
          <w:p w14:paraId="092B6F84" w14:textId="7945F7F5" w:rsidR="00B15973" w:rsidRPr="00564B25" w:rsidRDefault="00564B25" w:rsidP="00B15973">
            <w:pPr>
              <w:rPr>
                <w:b/>
                <w:bCs/>
              </w:rPr>
            </w:pPr>
            <w:r w:rsidRPr="00564B25">
              <w:rPr>
                <w:b/>
                <w:bCs/>
              </w:rPr>
              <w:lastRenderedPageBreak/>
              <w:t>Pollutant</w:t>
            </w:r>
          </w:p>
        </w:tc>
        <w:tc>
          <w:tcPr>
            <w:tcW w:w="1440" w:type="dxa"/>
          </w:tcPr>
          <w:p w14:paraId="77B57177" w14:textId="250D62D5" w:rsidR="00B15973" w:rsidRPr="00564B25" w:rsidRDefault="00B15973" w:rsidP="00B15973">
            <w:pPr>
              <w:rPr>
                <w:b/>
                <w:bCs/>
              </w:rPr>
            </w:pPr>
            <w:r w:rsidRPr="00564B25">
              <w:rPr>
                <w:b/>
                <w:bCs/>
              </w:rPr>
              <w:t>Code</w:t>
            </w:r>
          </w:p>
        </w:tc>
        <w:tc>
          <w:tcPr>
            <w:tcW w:w="5670" w:type="dxa"/>
          </w:tcPr>
          <w:p w14:paraId="2ACFEE66" w14:textId="0D9550AF" w:rsidR="00B15973" w:rsidRPr="00564B25" w:rsidRDefault="00B15973" w:rsidP="00B15973">
            <w:pPr>
              <w:rPr>
                <w:b/>
                <w:bCs/>
              </w:rPr>
            </w:pPr>
            <w:r w:rsidRPr="00564B25">
              <w:rPr>
                <w:b/>
                <w:bCs/>
              </w:rPr>
              <w:t>Description</w:t>
            </w:r>
          </w:p>
        </w:tc>
        <w:tc>
          <w:tcPr>
            <w:tcW w:w="2160" w:type="dxa"/>
          </w:tcPr>
          <w:p w14:paraId="6261CFDA" w14:textId="3445121B" w:rsidR="00B15973" w:rsidRPr="00564B25" w:rsidRDefault="00B15973" w:rsidP="00B15973">
            <w:pPr>
              <w:rPr>
                <w:b/>
                <w:bCs/>
              </w:rPr>
            </w:pPr>
            <w:r w:rsidRPr="00564B25">
              <w:rPr>
                <w:b/>
                <w:bCs/>
              </w:rPr>
              <w:t>Citation</w:t>
            </w:r>
          </w:p>
        </w:tc>
      </w:tr>
      <w:tr w:rsidR="00B15973" w14:paraId="1EEC1484" w14:textId="77777777" w:rsidTr="007276CE">
        <w:tc>
          <w:tcPr>
            <w:tcW w:w="1530" w:type="dxa"/>
          </w:tcPr>
          <w:p w14:paraId="2352B32A" w14:textId="053D3AFB" w:rsidR="00B15973" w:rsidRPr="005C1AD0" w:rsidRDefault="00564B25" w:rsidP="00B15973">
            <w:pPr>
              <w:rPr>
                <w:b/>
                <w:bCs/>
              </w:rPr>
            </w:pPr>
            <w:r w:rsidRPr="005C1AD0">
              <w:rPr>
                <w:b/>
                <w:bCs/>
              </w:rPr>
              <w:t>NO</w:t>
            </w:r>
            <w:r w:rsidRPr="005C1AD0">
              <w:rPr>
                <w:b/>
                <w:bCs/>
                <w:vertAlign w:val="subscript"/>
              </w:rPr>
              <w:t>X</w:t>
            </w:r>
          </w:p>
        </w:tc>
        <w:tc>
          <w:tcPr>
            <w:tcW w:w="1440" w:type="dxa"/>
          </w:tcPr>
          <w:p w14:paraId="4B35FE09" w14:textId="58D4690E" w:rsidR="00B15973" w:rsidRDefault="00B15973" w:rsidP="00B15973">
            <w:r w:rsidRPr="00523D1E">
              <w:t>F10-MIX</w:t>
            </w:r>
          </w:p>
        </w:tc>
        <w:tc>
          <w:tcPr>
            <w:tcW w:w="5670" w:type="dxa"/>
          </w:tcPr>
          <w:p w14:paraId="4EE4EEFB" w14:textId="67CF105B" w:rsidR="00B15973" w:rsidRDefault="00B15973" w:rsidP="00B15973">
            <w:r w:rsidRPr="00523D1E">
              <w:t>Coal or oil, or mixture of these fuels with natural gas ACF less than or equal to 10% (FE)</w:t>
            </w:r>
          </w:p>
        </w:tc>
        <w:tc>
          <w:tcPr>
            <w:tcW w:w="2160" w:type="dxa"/>
          </w:tcPr>
          <w:p w14:paraId="36B0279A" w14:textId="0DB35DD6" w:rsidR="00B15973" w:rsidRDefault="00B15973" w:rsidP="00B15973">
            <w:r w:rsidRPr="00523D1E">
              <w:t>[60.44b(c)]</w:t>
            </w:r>
          </w:p>
        </w:tc>
      </w:tr>
      <w:tr w:rsidR="00B15973" w14:paraId="01D3E3F9" w14:textId="77777777" w:rsidTr="007276CE">
        <w:tc>
          <w:tcPr>
            <w:tcW w:w="1530" w:type="dxa"/>
          </w:tcPr>
          <w:p w14:paraId="61DBD010" w14:textId="77777777" w:rsidR="00B15973" w:rsidRDefault="00B15973" w:rsidP="00B15973"/>
        </w:tc>
        <w:tc>
          <w:tcPr>
            <w:tcW w:w="1440" w:type="dxa"/>
          </w:tcPr>
          <w:p w14:paraId="75D8A2CD" w14:textId="35238800" w:rsidR="00B15973" w:rsidRDefault="00B15973" w:rsidP="00B15973">
            <w:r w:rsidRPr="00523D1E">
              <w:t>F10-NGSL</w:t>
            </w:r>
          </w:p>
        </w:tc>
        <w:tc>
          <w:tcPr>
            <w:tcW w:w="5670" w:type="dxa"/>
          </w:tcPr>
          <w:p w14:paraId="031CDE5D" w14:textId="2F2536C0" w:rsidR="00B15973" w:rsidRDefault="00B15973" w:rsidP="00B15973">
            <w:r w:rsidRPr="00523D1E">
              <w:t>Natural gas and/or distillate oil with wood, municipal-type solid waste, or other solid fuel (except coal) and has an ACF for those fuels, or a mixture of those fuels of 0.10 or less, and has an (FE) limit of less than or equal to 10%.</w:t>
            </w:r>
          </w:p>
        </w:tc>
        <w:tc>
          <w:tcPr>
            <w:tcW w:w="2160" w:type="dxa"/>
          </w:tcPr>
          <w:p w14:paraId="48C9D3EC" w14:textId="41B239EB" w:rsidR="00B15973" w:rsidRDefault="00B15973" w:rsidP="00B15973">
            <w:r w:rsidRPr="00523D1E">
              <w:t>[60.44b(d)]</w:t>
            </w:r>
          </w:p>
        </w:tc>
      </w:tr>
      <w:tr w:rsidR="00B15973" w14:paraId="29D31213" w14:textId="77777777" w:rsidTr="007276CE">
        <w:tc>
          <w:tcPr>
            <w:tcW w:w="1530" w:type="dxa"/>
          </w:tcPr>
          <w:p w14:paraId="38DD75C3" w14:textId="77777777" w:rsidR="00B15973" w:rsidRDefault="00B15973" w:rsidP="00B15973"/>
        </w:tc>
        <w:tc>
          <w:tcPr>
            <w:tcW w:w="1440" w:type="dxa"/>
          </w:tcPr>
          <w:p w14:paraId="47CB397B" w14:textId="6D64C1DD" w:rsidR="00B15973" w:rsidRDefault="00B15973" w:rsidP="00B15973">
            <w:r w:rsidRPr="00523D1E">
              <w:t>F10-MLT</w:t>
            </w:r>
          </w:p>
        </w:tc>
        <w:tc>
          <w:tcPr>
            <w:tcW w:w="5670" w:type="dxa"/>
          </w:tcPr>
          <w:p w14:paraId="496159B7" w14:textId="4D6E1ECA" w:rsidR="00B15973" w:rsidRDefault="00B15973" w:rsidP="00B15973">
            <w:r w:rsidRPr="00523D1E">
              <w:t>Coal, oil, or natural gas with byproduct/waste and has a coal, oil, and natural gas ACF of 10 percent (0.10) or less, and has an (FE) limit less than or equal to 10% (FE)</w:t>
            </w:r>
          </w:p>
        </w:tc>
        <w:tc>
          <w:tcPr>
            <w:tcW w:w="2160" w:type="dxa"/>
          </w:tcPr>
          <w:p w14:paraId="22FB9D6D" w14:textId="14A00D9E" w:rsidR="00B15973" w:rsidRDefault="00B15973" w:rsidP="00B15973">
            <w:r w:rsidRPr="00523D1E">
              <w:t>[60.44b(e)]</w:t>
            </w:r>
          </w:p>
        </w:tc>
      </w:tr>
      <w:tr w:rsidR="00B15973" w14:paraId="57146DF8" w14:textId="77777777" w:rsidTr="007276CE">
        <w:tc>
          <w:tcPr>
            <w:tcW w:w="1530" w:type="dxa"/>
          </w:tcPr>
          <w:p w14:paraId="21693494" w14:textId="77777777" w:rsidR="00B15973" w:rsidRDefault="00B15973" w:rsidP="00B15973"/>
        </w:tc>
        <w:tc>
          <w:tcPr>
            <w:tcW w:w="1440" w:type="dxa"/>
          </w:tcPr>
          <w:p w14:paraId="07883E3A" w14:textId="5B371EE5" w:rsidR="00B15973" w:rsidRDefault="00B15973" w:rsidP="00B15973">
            <w:r w:rsidRPr="00523D1E">
              <w:t>F10-NG</w:t>
            </w:r>
          </w:p>
        </w:tc>
        <w:tc>
          <w:tcPr>
            <w:tcW w:w="5670" w:type="dxa"/>
          </w:tcPr>
          <w:p w14:paraId="56DD4777" w14:textId="6CA90F61" w:rsidR="00B15973" w:rsidRDefault="00B15973" w:rsidP="00B15973">
            <w:r w:rsidRPr="00523D1E">
              <w:t>Natural gas, distillate oil, and residual oil with a nitrogen content less than or equal to 0.30% combined ACF less than or equal to 10% (FE)</w:t>
            </w:r>
          </w:p>
        </w:tc>
        <w:tc>
          <w:tcPr>
            <w:tcW w:w="2160" w:type="dxa"/>
          </w:tcPr>
          <w:p w14:paraId="5C12C4CA" w14:textId="2CBFF46D" w:rsidR="00B15973" w:rsidRDefault="00B15973" w:rsidP="00B15973">
            <w:r w:rsidRPr="00523D1E">
              <w:t>[60.44b(j)(2) and (3)]</w:t>
            </w:r>
          </w:p>
        </w:tc>
      </w:tr>
      <w:tr w:rsidR="00B15973" w14:paraId="47FE3C1A" w14:textId="77777777" w:rsidTr="007276CE">
        <w:tc>
          <w:tcPr>
            <w:tcW w:w="1530" w:type="dxa"/>
          </w:tcPr>
          <w:p w14:paraId="45CBB536" w14:textId="77777777" w:rsidR="00B15973" w:rsidRDefault="00B15973" w:rsidP="00B15973"/>
        </w:tc>
        <w:tc>
          <w:tcPr>
            <w:tcW w:w="1440" w:type="dxa"/>
          </w:tcPr>
          <w:p w14:paraId="6274D7E6" w14:textId="5B10BA8F" w:rsidR="00B15973" w:rsidRDefault="00B15973" w:rsidP="00B15973">
            <w:r w:rsidRPr="00523D1E">
              <w:t>10+RO</w:t>
            </w:r>
          </w:p>
        </w:tc>
        <w:tc>
          <w:tcPr>
            <w:tcW w:w="5670" w:type="dxa"/>
          </w:tcPr>
          <w:p w14:paraId="0E1A4D6C" w14:textId="2BD1EC4C" w:rsidR="00B15973" w:rsidRDefault="00B15973" w:rsidP="00B15973">
            <w:r w:rsidRPr="00523D1E">
              <w:t>Residual oil with a nitrogen content of .30 weight percent or less natural gas, distillate oil, or any mixture of these fuels with an ACF greater than 10%</w:t>
            </w:r>
          </w:p>
        </w:tc>
        <w:tc>
          <w:tcPr>
            <w:tcW w:w="2160" w:type="dxa"/>
          </w:tcPr>
          <w:p w14:paraId="32F3A498" w14:textId="2F62EC1D" w:rsidR="00B15973" w:rsidRDefault="00B15973" w:rsidP="00B15973">
            <w:r w:rsidRPr="00523D1E">
              <w:t>[60.48b(g)]</w:t>
            </w:r>
          </w:p>
        </w:tc>
      </w:tr>
      <w:tr w:rsidR="00B15973" w14:paraId="7CFA7006" w14:textId="77777777" w:rsidTr="007276CE">
        <w:tc>
          <w:tcPr>
            <w:tcW w:w="1530" w:type="dxa"/>
          </w:tcPr>
          <w:p w14:paraId="7F5485F6" w14:textId="77777777" w:rsidR="00B15973" w:rsidRDefault="00B15973" w:rsidP="00B15973"/>
        </w:tc>
        <w:tc>
          <w:tcPr>
            <w:tcW w:w="1440" w:type="dxa"/>
          </w:tcPr>
          <w:p w14:paraId="7BE103D1" w14:textId="0108D979" w:rsidR="00B15973" w:rsidRDefault="00B15973" w:rsidP="00B15973">
            <w:r w:rsidRPr="00523D1E">
              <w:t>OTHR</w:t>
            </w:r>
          </w:p>
        </w:tc>
        <w:tc>
          <w:tcPr>
            <w:tcW w:w="5670" w:type="dxa"/>
          </w:tcPr>
          <w:p w14:paraId="2CE012BF" w14:textId="4B8BAEA1" w:rsidR="00B15973" w:rsidRDefault="00B15973" w:rsidP="00B15973">
            <w:r w:rsidRPr="00523D1E">
              <w:t>Other ACF or no ACF</w:t>
            </w:r>
          </w:p>
        </w:tc>
        <w:tc>
          <w:tcPr>
            <w:tcW w:w="2160" w:type="dxa"/>
          </w:tcPr>
          <w:p w14:paraId="68A42A5F" w14:textId="2218CF94" w:rsidR="00B15973" w:rsidRDefault="00B15973" w:rsidP="00B15973"/>
        </w:tc>
      </w:tr>
    </w:tbl>
    <w:p w14:paraId="2A43F409" w14:textId="77777777" w:rsidR="00F861CF" w:rsidRPr="00EF0801" w:rsidRDefault="00F861CF" w:rsidP="00CE5D94">
      <w:pPr>
        <w:pBdr>
          <w:bottom w:val="double" w:sz="6" w:space="1" w:color="auto"/>
        </w:pBdr>
      </w:pPr>
    </w:p>
    <w:p w14:paraId="45D85E1B" w14:textId="1AD4338B" w:rsidR="00F861CF" w:rsidRPr="00CB5E51" w:rsidRDefault="00F861CF" w:rsidP="00256939">
      <w:pPr>
        <w:pStyle w:val="APDChapterTitles"/>
        <w:rPr>
          <w:rFonts w:eastAsia="Calibri"/>
          <w:szCs w:val="20"/>
        </w:rPr>
      </w:pPr>
      <w:hyperlink w:anchor="TBL_3c" w:tooltip="Table 3c" w:history="1">
        <w:bookmarkStart w:id="36" w:name="_Toc180398495"/>
        <w:bookmarkStart w:id="37" w:name="_Toc180398549"/>
        <w:r w:rsidRPr="00597498">
          <w:rPr>
            <w:rStyle w:val="Hyperlink"/>
            <w:rFonts w:eastAsia="Calibri"/>
            <w:b/>
            <w:bCs w:val="0"/>
          </w:rPr>
          <w:t>Table 3c</w:t>
        </w:r>
      </w:hyperlink>
      <w:r w:rsidRPr="00597498">
        <w:rPr>
          <w:rStyle w:val="Hyperlink"/>
          <w:rFonts w:eastAsia="Calibri"/>
          <w:b/>
          <w:bCs w:val="0"/>
        </w:rPr>
        <w:t>:</w:t>
      </w:r>
      <w:r w:rsidRPr="00EF0801">
        <w:rPr>
          <w:rFonts w:eastAsia="Calibri"/>
          <w:szCs w:val="20"/>
        </w:rPr>
        <w:tab/>
      </w:r>
      <w:r w:rsidRPr="00CB5E51">
        <w:rPr>
          <w:rStyle w:val="APDTableChapterChar"/>
          <w:rFonts w:eastAsia="Calibri"/>
          <w:b/>
        </w:rPr>
        <w:t>Title 40 Code of Federal Regulations Part 60 (40 CFR Part 60)</w:t>
      </w:r>
      <w:r w:rsidR="00FF771D" w:rsidRPr="00CB5E51">
        <w:rPr>
          <w:rStyle w:val="APDTableChapterChar"/>
          <w:rFonts w:eastAsia="Calibri"/>
          <w:b/>
        </w:rPr>
        <w:t xml:space="preserve">, </w:t>
      </w:r>
      <w:r w:rsidRPr="00CB5E51">
        <w:rPr>
          <w:rStyle w:val="APDTableChapterChar"/>
          <w:rFonts w:eastAsia="Calibri"/>
          <w:b/>
        </w:rPr>
        <w:t>Subpart Db:  Standards of Performance for Industrial-Commercial-Institutional Steam Generating</w:t>
      </w:r>
      <w:r w:rsidR="007B296C" w:rsidRPr="00CB5E51">
        <w:rPr>
          <w:rStyle w:val="APDTableChapterChar"/>
          <w:rFonts w:eastAsia="Calibri"/>
          <w:b/>
        </w:rPr>
        <w:t xml:space="preserve"> Units</w:t>
      </w:r>
      <w:bookmarkEnd w:id="36"/>
      <w:bookmarkEnd w:id="37"/>
    </w:p>
    <w:p w14:paraId="189F10F8" w14:textId="24DDB5F8" w:rsidR="00F861CF" w:rsidRPr="000473E9" w:rsidRDefault="00F861CF" w:rsidP="000473E9">
      <w:pPr>
        <w:pStyle w:val="APDStrong"/>
      </w:pPr>
      <w:r w:rsidRPr="000473E9">
        <w:t xml:space="preserve">Unit ID </w:t>
      </w:r>
      <w:r w:rsidR="00B42127">
        <w:t>N</w:t>
      </w:r>
      <w:r w:rsidR="008E37DF">
        <w:t>o</w:t>
      </w:r>
      <w:r w:rsidRPr="000473E9">
        <w:t>.:</w:t>
      </w:r>
    </w:p>
    <w:p w14:paraId="295AC7CC" w14:textId="00CA4FB1" w:rsidR="00F861CF" w:rsidRPr="009C3223" w:rsidRDefault="00F861CF" w:rsidP="009C3223">
      <w:pPr>
        <w:pStyle w:val="APDBodyText"/>
      </w:pPr>
      <w:r w:rsidRPr="009C3223">
        <w:t xml:space="preserve">Enter the identification number (ID </w:t>
      </w:r>
      <w:r w:rsidR="00B42127">
        <w:t>N</w:t>
      </w:r>
      <w:r w:rsidR="005667BA">
        <w:t>o</w:t>
      </w:r>
      <w:r w:rsidRPr="009C3223">
        <w:t>.) for the unit (maximum 10 characters) as li</w:t>
      </w:r>
      <w:r w:rsidR="003E3A00" w:rsidRPr="009C3223">
        <w:t>sted on Form OP</w:t>
      </w:r>
      <w:r w:rsidR="003E3A00" w:rsidRPr="009C3223">
        <w:noBreakHyphen/>
        <w:t>SUM (Individual</w:t>
      </w:r>
      <w:r w:rsidR="00FB050E" w:rsidRPr="009C3223">
        <w:t> </w:t>
      </w:r>
      <w:r w:rsidRPr="009C3223">
        <w:t>Unit Summary).</w:t>
      </w:r>
    </w:p>
    <w:p w14:paraId="1AAF9E73" w14:textId="0FB66DB9" w:rsidR="00F861CF" w:rsidRPr="00EF0801" w:rsidRDefault="00F861CF" w:rsidP="00453EAC">
      <w:pPr>
        <w:pStyle w:val="APDStrong"/>
      </w:pPr>
      <w:r w:rsidRPr="00EF0801">
        <w:t xml:space="preserve">SOP Index </w:t>
      </w:r>
      <w:r w:rsidR="00B42127">
        <w:t>N</w:t>
      </w:r>
      <w:r w:rsidR="008E37DF">
        <w:t>o</w:t>
      </w:r>
      <w:r w:rsidRPr="00EF0801">
        <w:t>.</w:t>
      </w:r>
      <w:r w:rsidRPr="00B67B6C">
        <w:rPr>
          <w:bCs/>
        </w:rPr>
        <w:t>:</w:t>
      </w:r>
    </w:p>
    <w:p w14:paraId="231BFDE7" w14:textId="49C88864" w:rsidR="00584E6D" w:rsidRPr="00EF0801" w:rsidRDefault="00F861CF" w:rsidP="009C3223">
      <w:pPr>
        <w:pStyle w:val="APDBodyText"/>
      </w:pPr>
      <w:r w:rsidRPr="009C3223">
        <w:t xml:space="preserve">Site operating permit (SOP) applicants should indicate the SOP index number for the </w:t>
      </w:r>
      <w:r w:rsidR="003E3A00" w:rsidRPr="009C3223">
        <w:t>unit or group of units (maximum</w:t>
      </w:r>
      <w:r w:rsidR="00FB050E" w:rsidRPr="009C3223">
        <w:t> </w:t>
      </w:r>
      <w:r w:rsidR="003E3A00" w:rsidRPr="009C3223">
        <w:t>15</w:t>
      </w:r>
      <w:r w:rsidR="00FB050E" w:rsidRPr="009C3223">
        <w:t> </w:t>
      </w:r>
      <w:r w:rsidRPr="009C3223">
        <w:t xml:space="preserve">characters consisting of numeric, alphanumeric characters, and/or dashes prefixed by a code for the applicable regulation [i.e., 60KB-XXXX]). For additional information relating to SOP index numbers, </w:t>
      </w:r>
      <w:r w:rsidR="00584E6D" w:rsidRPr="009C3223">
        <w:t>please see the Completing FOP Applications – Additional Guidance on the TCEQ website at</w:t>
      </w:r>
      <w:r w:rsidR="00584E6D" w:rsidRPr="00EF0801">
        <w:t xml:space="preserve"> </w:t>
      </w:r>
      <w:hyperlink r:id="rId21" w:tooltip="TCEQ - Completing FOP Applications - Additional Guidance" w:history="1">
        <w:r w:rsidR="00775600" w:rsidRPr="00885E28">
          <w:rPr>
            <w:rStyle w:val="Hyperlink"/>
          </w:rPr>
          <w:t>www.tceq.texas.gov/permitting/air/guidance/titlev/tv_fop_guidance.html</w:t>
        </w:r>
      </w:hyperlink>
      <w:r w:rsidR="00584E6D" w:rsidRPr="00EF0801">
        <w:t>.</w:t>
      </w:r>
    </w:p>
    <w:p w14:paraId="6638566B" w14:textId="4CB32020" w:rsidR="00F861CF" w:rsidRPr="000473E9" w:rsidRDefault="00F861CF" w:rsidP="00390EE3">
      <w:pPr>
        <w:pStyle w:val="APDCompleteStar"/>
      </w:pPr>
      <w:r w:rsidRPr="000473E9">
        <w:t>Complete “60.42b(k)(2) Low Sulfur Exemption” only if “Construction/Modification Date” is “05+CR” or “05+M,” and the affected facility fires low sulfur oil and/or gaseous fuel, or mixtures that include very low sulfur oil and/or gaseous fuel.</w:t>
      </w:r>
    </w:p>
    <w:p w14:paraId="1A58340B" w14:textId="77777777" w:rsidR="00F861CF" w:rsidRPr="000473E9" w:rsidRDefault="00F861CF" w:rsidP="000473E9">
      <w:pPr>
        <w:pStyle w:val="APDStrong"/>
      </w:pPr>
      <w:r w:rsidRPr="000473E9">
        <w:t>60.42b(k)(2) Low Sulfur Exemption:</w:t>
      </w:r>
    </w:p>
    <w:p w14:paraId="44D1566C" w14:textId="2CCCB5FF" w:rsidR="00F861CF" w:rsidRPr="009C3223" w:rsidRDefault="00F861CF" w:rsidP="009C3223">
      <w:pPr>
        <w:pStyle w:val="APDBodyText"/>
      </w:pPr>
      <w:r w:rsidRPr="009C3223">
        <w:t>Enter “</w:t>
      </w:r>
      <w:r w:rsidR="00B42127">
        <w:t>YES</w:t>
      </w:r>
      <w:r w:rsidRPr="009C3223">
        <w:t>” if 60.42b(k)(2) exemption applies. Otherwise, enter “</w:t>
      </w:r>
      <w:r w:rsidR="00B42127">
        <w:t>NO</w:t>
      </w:r>
      <w:r w:rsidRPr="009C3223">
        <w:t>.”</w:t>
      </w:r>
    </w:p>
    <w:p w14:paraId="2DED5191" w14:textId="77777777" w:rsidR="00F861CF" w:rsidRPr="000473E9" w:rsidRDefault="00F861CF" w:rsidP="00390EE3">
      <w:pPr>
        <w:pStyle w:val="APDCompleteStar"/>
      </w:pPr>
      <w:r w:rsidRPr="000473E9">
        <w:t>Complete “60.42b(k)(4) Alternative” only if “Construction/Modification Date” is “05+CR” or “05+M,” and the affected facility fires coal, as defined in 40 CFR § 60.41b, alone or in combination with other fuels.</w:t>
      </w:r>
    </w:p>
    <w:p w14:paraId="045EE379" w14:textId="77777777" w:rsidR="00F861CF" w:rsidRPr="000473E9" w:rsidRDefault="00F861CF" w:rsidP="000473E9">
      <w:pPr>
        <w:pStyle w:val="APDStrong"/>
      </w:pPr>
      <w:r w:rsidRPr="000473E9">
        <w:t>60.42b(k)(4) Alternative:</w:t>
      </w:r>
    </w:p>
    <w:p w14:paraId="47494A7C" w14:textId="6A52E7E5" w:rsidR="003E3A00" w:rsidRPr="009C3223" w:rsidRDefault="00F861CF" w:rsidP="009C3223">
      <w:pPr>
        <w:pStyle w:val="APDBodyText"/>
      </w:pPr>
      <w:r w:rsidRPr="009C3223">
        <w:t>Enter “</w:t>
      </w:r>
      <w:r w:rsidR="00B42127">
        <w:t>YES</w:t>
      </w:r>
      <w:r w:rsidRPr="009C3223">
        <w:t>” if 60.42b(k)(4) is chosen as an alternative requirement to 60.42b(k)(1). Otherwise, enter “</w:t>
      </w:r>
      <w:r w:rsidR="00B42127">
        <w:t>NO</w:t>
      </w:r>
      <w:r w:rsidRPr="009C3223">
        <w:t>.”</w:t>
      </w:r>
    </w:p>
    <w:p w14:paraId="61BB535B" w14:textId="77777777" w:rsidR="00F861CF" w:rsidRPr="000473E9" w:rsidRDefault="00F861CF" w:rsidP="00390EE3">
      <w:pPr>
        <w:pStyle w:val="APDCompleteStar"/>
      </w:pPr>
      <w:r w:rsidRPr="000473E9">
        <w:t>Complete “Post-combustion Control” only if “D-series Fuel Type” is “COG” alone or in combination with other fuels.</w:t>
      </w:r>
    </w:p>
    <w:p w14:paraId="6A79C1DE" w14:textId="77777777" w:rsidR="00F861CF" w:rsidRPr="000473E9" w:rsidRDefault="00F861CF" w:rsidP="000473E9">
      <w:pPr>
        <w:pStyle w:val="APDStrong"/>
      </w:pPr>
      <w:r w:rsidRPr="000473E9">
        <w:t>Post-Combustion Control:</w:t>
      </w:r>
    </w:p>
    <w:p w14:paraId="510287FB" w14:textId="77777777" w:rsidR="00E62A27" w:rsidRDefault="00F861CF" w:rsidP="009C3223">
      <w:pPr>
        <w:pStyle w:val="APDBodyText"/>
        <w:sectPr w:rsidR="00E62A27" w:rsidSect="0031268E">
          <w:pgSz w:w="12240" w:h="15840" w:code="1"/>
          <w:pgMar w:top="720" w:right="720" w:bottom="720" w:left="720" w:header="720" w:footer="720" w:gutter="0"/>
          <w:cols w:space="720"/>
          <w:titlePg/>
          <w:docGrid w:linePitch="360"/>
        </w:sectPr>
      </w:pPr>
      <w:r w:rsidRPr="009C3223">
        <w:t>Enter “</w:t>
      </w:r>
      <w:r w:rsidR="00B42127">
        <w:t>YES</w:t>
      </w:r>
      <w:r w:rsidRPr="009C3223">
        <w:t>” if the affected facility uses a post-combustion technology, other than a wet scrubber, to reduce emissions of particulate matter or sulfur dioxide. Otherwise, enter “</w:t>
      </w:r>
      <w:r w:rsidR="00B42127">
        <w:t>NO</w:t>
      </w:r>
      <w:r w:rsidRPr="009C3223">
        <w:t>.”</w:t>
      </w:r>
    </w:p>
    <w:p w14:paraId="51F67EB9" w14:textId="77777777" w:rsidR="00F861CF" w:rsidRPr="000473E9" w:rsidRDefault="00F861CF" w:rsidP="00390EE3">
      <w:pPr>
        <w:pStyle w:val="APDCompleteStar"/>
      </w:pPr>
      <w:r w:rsidRPr="000473E9">
        <w:lastRenderedPageBreak/>
        <w:t>Complete “60.43b(h)(2) Alternative” only if “Construction/Modification Date” is “05+M.”</w:t>
      </w:r>
    </w:p>
    <w:p w14:paraId="78687032" w14:textId="77777777" w:rsidR="00F861CF" w:rsidRPr="000473E9" w:rsidRDefault="00F861CF" w:rsidP="000473E9">
      <w:pPr>
        <w:pStyle w:val="APDStrong"/>
      </w:pPr>
      <w:r w:rsidRPr="000473E9">
        <w:t>60.43b(h)(2) Alternative:</w:t>
      </w:r>
    </w:p>
    <w:p w14:paraId="59A52B11" w14:textId="79E9A69A" w:rsidR="00F861CF" w:rsidRPr="009C3223" w:rsidRDefault="00F861CF" w:rsidP="009C3223">
      <w:pPr>
        <w:pStyle w:val="APDBodyText"/>
      </w:pPr>
      <w:r w:rsidRPr="009C3223">
        <w:t>Enter “</w:t>
      </w:r>
      <w:r w:rsidR="00B42127">
        <w:t>YES</w:t>
      </w:r>
      <w:r w:rsidRPr="009C3223">
        <w:t>” if the facility is electing to use the alternative requirements of 60.43b(h)(2) for PM. Otherwise, enter “</w:t>
      </w:r>
      <w:r w:rsidR="00B42127">
        <w:t>NO</w:t>
      </w:r>
      <w:r w:rsidRPr="009C3223">
        <w:t>.”</w:t>
      </w:r>
    </w:p>
    <w:p w14:paraId="30722396" w14:textId="77777777" w:rsidR="00F861CF" w:rsidRPr="000473E9" w:rsidRDefault="00F861CF" w:rsidP="00390EE3">
      <w:pPr>
        <w:pStyle w:val="APDCompleteStar"/>
      </w:pPr>
      <w:r w:rsidRPr="000473E9">
        <w:t>Complete “Electrical or Mechanical Output” only if “Construction/Modification Date” is “97-05CR” or “05+CR.”</w:t>
      </w:r>
    </w:p>
    <w:p w14:paraId="25CC075D" w14:textId="77777777" w:rsidR="00F861CF" w:rsidRPr="000473E9" w:rsidRDefault="00F861CF" w:rsidP="000473E9">
      <w:pPr>
        <w:pStyle w:val="APDStrong"/>
      </w:pPr>
      <w:r w:rsidRPr="000473E9">
        <w:t>Electrical or Mechanical Output:</w:t>
      </w:r>
    </w:p>
    <w:p w14:paraId="1F433468" w14:textId="633E481A" w:rsidR="00110DDB" w:rsidRPr="009C3223" w:rsidRDefault="00F861CF" w:rsidP="009C3223">
      <w:pPr>
        <w:pStyle w:val="APDBodyText"/>
      </w:pPr>
      <w:r w:rsidRPr="009C3223">
        <w:t>Enter “</w:t>
      </w:r>
      <w:r w:rsidR="00B42127">
        <w:t>YES</w:t>
      </w:r>
      <w:r w:rsidRPr="009C3223">
        <w:t>” if more than 10% of the annual output is electrical or mechanical. Otherwise, enter “</w:t>
      </w:r>
      <w:r w:rsidR="00B42127">
        <w:t>NO</w:t>
      </w:r>
      <w:r w:rsidRPr="009C3223">
        <w:t>.”</w:t>
      </w:r>
    </w:p>
    <w:p w14:paraId="703E4768" w14:textId="53C086CA" w:rsidR="00F861CF" w:rsidRPr="000473E9" w:rsidRDefault="00F861CF" w:rsidP="00390EE3">
      <w:pPr>
        <w:pStyle w:val="APDCompleteStar"/>
      </w:pPr>
      <w:r w:rsidRPr="000473E9">
        <w:t>Complete “Output Based Limit” only if “Electrical or Mechanical Output” is “</w:t>
      </w:r>
      <w:r w:rsidR="00B42127">
        <w:t>YES</w:t>
      </w:r>
      <w:r w:rsidRPr="000473E9">
        <w:t>.”</w:t>
      </w:r>
    </w:p>
    <w:p w14:paraId="20464184" w14:textId="77777777" w:rsidR="00F861CF" w:rsidRPr="000473E9" w:rsidRDefault="00F861CF" w:rsidP="000473E9">
      <w:pPr>
        <w:pStyle w:val="APDStrong"/>
      </w:pPr>
      <w:bookmarkStart w:id="38" w:name="_Hlk153437179"/>
      <w:r w:rsidRPr="000473E9">
        <w:t>Output Based Limit</w:t>
      </w:r>
      <w:bookmarkEnd w:id="38"/>
      <w:r w:rsidRPr="000473E9">
        <w:t>:</w:t>
      </w:r>
    </w:p>
    <w:p w14:paraId="3C76177C" w14:textId="0BE349B4" w:rsidR="008A2BBF" w:rsidRPr="009C3223" w:rsidRDefault="00F861CF" w:rsidP="009C3223">
      <w:pPr>
        <w:pStyle w:val="APDBodyText"/>
      </w:pPr>
      <w:r w:rsidRPr="009C3223">
        <w:t>Enter “</w:t>
      </w:r>
      <w:r w:rsidR="00B42127">
        <w:t>YES</w:t>
      </w:r>
      <w:r w:rsidRPr="009C3223">
        <w:t xml:space="preserve">” if the facility is electing to comply with the </w:t>
      </w:r>
      <w:r w:rsidR="00917ADC" w:rsidRPr="009C3223">
        <w:t>output-based</w:t>
      </w:r>
      <w:r w:rsidRPr="009C3223">
        <w:t xml:space="preserve"> limit in 60.44b(l)(3). Otherwise, enter “</w:t>
      </w:r>
      <w:r w:rsidR="00B42127">
        <w:t>NO</w:t>
      </w:r>
      <w:r w:rsidRPr="009C3223">
        <w:t>.”</w:t>
      </w:r>
    </w:p>
    <w:p w14:paraId="7F31E486" w14:textId="295F26F8" w:rsidR="00F861CF" w:rsidRPr="000473E9" w:rsidRDefault="00F861CF" w:rsidP="00390EE3">
      <w:pPr>
        <w:pStyle w:val="APDCompleteStar"/>
      </w:pPr>
      <w:r w:rsidRPr="000473E9">
        <w:t>Complete “</w:t>
      </w:r>
      <w:r w:rsidR="002D2999" w:rsidRPr="000473E9">
        <w:t>60.49Da(n) Alternative</w:t>
      </w:r>
      <w:r w:rsidRPr="000473E9">
        <w:t>” only if “Output Based Limit” is “</w:t>
      </w:r>
      <w:r w:rsidR="00B42127">
        <w:t>YES</w:t>
      </w:r>
      <w:r w:rsidRPr="000473E9">
        <w:t>.”</w:t>
      </w:r>
    </w:p>
    <w:p w14:paraId="3105E444" w14:textId="77777777" w:rsidR="00F861CF" w:rsidRPr="00DB0F6F" w:rsidRDefault="00F861CF" w:rsidP="00DB0F6F">
      <w:pPr>
        <w:pStyle w:val="APDStrong"/>
      </w:pPr>
      <w:bookmarkStart w:id="39" w:name="_Hlk153437271"/>
      <w:r w:rsidRPr="00DB0F6F">
        <w:t>60.49Da(n) Alternative</w:t>
      </w:r>
      <w:bookmarkEnd w:id="39"/>
      <w:r w:rsidRPr="00DB0F6F">
        <w:t>:</w:t>
      </w:r>
    </w:p>
    <w:p w14:paraId="4A12C07F" w14:textId="75FA3D7F" w:rsidR="00F861CF" w:rsidRPr="00E201AC" w:rsidRDefault="00F861CF" w:rsidP="00E201AC">
      <w:pPr>
        <w:pStyle w:val="APDBodyText"/>
      </w:pPr>
      <w:r w:rsidRPr="00E201AC">
        <w:t>Enter “</w:t>
      </w:r>
      <w:r w:rsidR="00B42127">
        <w:t>YES</w:t>
      </w:r>
      <w:r w:rsidRPr="00E201AC">
        <w:t>” if the facility is gas- or oil-fired and is using the 60.49Da(n) alternative. Otherwise, enter “</w:t>
      </w:r>
      <w:r w:rsidR="00B42127">
        <w:t>NO</w:t>
      </w:r>
      <w:r w:rsidRPr="00E201AC">
        <w:t>.”</w:t>
      </w:r>
    </w:p>
    <w:p w14:paraId="4C6FA007" w14:textId="1B52BE37" w:rsidR="00F861CF" w:rsidRPr="001217F1" w:rsidRDefault="00F861CF" w:rsidP="00390EE3">
      <w:pPr>
        <w:pStyle w:val="APDCompleteStar"/>
      </w:pPr>
      <w:r w:rsidRPr="001217F1">
        <w:t>Complete “60.49Da(m) Alternative” only if “60.49Da(n) Alternative” is “</w:t>
      </w:r>
      <w:r w:rsidR="00B42127">
        <w:t>NO</w:t>
      </w:r>
      <w:r w:rsidRPr="001217F1">
        <w:t>.”</w:t>
      </w:r>
    </w:p>
    <w:p w14:paraId="715B08DA" w14:textId="77777777" w:rsidR="00F861CF" w:rsidRPr="00DB0F6F" w:rsidRDefault="00F861CF" w:rsidP="00DB0F6F">
      <w:pPr>
        <w:pStyle w:val="APDStrong"/>
      </w:pPr>
      <w:r w:rsidRPr="00DB0F6F">
        <w:t>60.49Da(m) Alternative:</w:t>
      </w:r>
    </w:p>
    <w:p w14:paraId="4C6F8B01" w14:textId="58F6BE19" w:rsidR="00F861CF" w:rsidRPr="00E201AC" w:rsidRDefault="00F861CF" w:rsidP="00E201AC">
      <w:pPr>
        <w:pStyle w:val="APDBodyText"/>
        <w:spacing w:after="0"/>
      </w:pPr>
      <w:r w:rsidRPr="00E201AC">
        <w:t>Enter “</w:t>
      </w:r>
      <w:r w:rsidR="00B42127">
        <w:t>YES</w:t>
      </w:r>
      <w:r w:rsidRPr="00E201AC">
        <w:t>” if the facility is using the 60.49Da(m) alternative. Otherwise, enter “</w:t>
      </w:r>
      <w:r w:rsidR="00B42127">
        <w:t>NO</w:t>
      </w:r>
      <w:r w:rsidRPr="00E201AC">
        <w:t>.”</w:t>
      </w:r>
    </w:p>
    <w:p w14:paraId="6E349049" w14:textId="77777777" w:rsidR="00F861CF" w:rsidRPr="00EF0801" w:rsidRDefault="00F861CF" w:rsidP="00F861CF">
      <w:pPr>
        <w:pBdr>
          <w:bottom w:val="double" w:sz="6" w:space="1" w:color="auto"/>
        </w:pBdr>
      </w:pPr>
    </w:p>
    <w:p w14:paraId="41781FEC" w14:textId="06469074" w:rsidR="00F861CF" w:rsidRPr="00EC7EA3" w:rsidRDefault="00F861CF" w:rsidP="00256939">
      <w:pPr>
        <w:pStyle w:val="APDChapterTitles"/>
        <w:rPr>
          <w:rFonts w:eastAsia="Calibri"/>
          <w:szCs w:val="20"/>
        </w:rPr>
      </w:pPr>
      <w:hyperlink w:anchor="TBL_3d" w:tooltip="Table 3d" w:history="1">
        <w:bookmarkStart w:id="40" w:name="_Toc180398496"/>
        <w:bookmarkStart w:id="41" w:name="_Toc180398550"/>
        <w:r w:rsidRPr="003F328E">
          <w:rPr>
            <w:rStyle w:val="Hyperlink"/>
            <w:rFonts w:eastAsia="Calibri"/>
            <w:b/>
            <w:bCs w:val="0"/>
          </w:rPr>
          <w:t>Table 3d:</w:t>
        </w:r>
      </w:hyperlink>
      <w:r w:rsidRPr="00EF0801">
        <w:rPr>
          <w:rFonts w:eastAsia="Calibri"/>
          <w:szCs w:val="20"/>
        </w:rPr>
        <w:tab/>
      </w:r>
      <w:r w:rsidRPr="00256939">
        <w:rPr>
          <w:rFonts w:eastAsia="Calibri"/>
        </w:rPr>
        <w:t>Title 40 Code of Federal Regulations Part 60 (40 CFR Part 60)</w:t>
      </w:r>
      <w:r w:rsidR="00711F01" w:rsidRPr="00256939">
        <w:rPr>
          <w:rFonts w:eastAsia="Calibri"/>
        </w:rPr>
        <w:t xml:space="preserve">, </w:t>
      </w:r>
      <w:r w:rsidRPr="00256939">
        <w:rPr>
          <w:rFonts w:eastAsia="Calibri"/>
        </w:rPr>
        <w:t>Subpart Db: Standards of Performance for Industrial-Commercial-Institutional Steam Generating</w:t>
      </w:r>
      <w:r w:rsidR="007B296C" w:rsidRPr="00256939">
        <w:rPr>
          <w:rFonts w:eastAsia="Calibri"/>
        </w:rPr>
        <w:t xml:space="preserve"> Units</w:t>
      </w:r>
      <w:bookmarkEnd w:id="40"/>
      <w:bookmarkEnd w:id="41"/>
    </w:p>
    <w:p w14:paraId="386D85AA" w14:textId="69D1DABA" w:rsidR="00F861CF" w:rsidRPr="00E201AC" w:rsidRDefault="00F861CF" w:rsidP="00E201AC">
      <w:pPr>
        <w:pStyle w:val="APDStrong"/>
      </w:pPr>
      <w:r w:rsidRPr="00E201AC">
        <w:t xml:space="preserve">Unit ID </w:t>
      </w:r>
      <w:r w:rsidR="00B42127">
        <w:t>N</w:t>
      </w:r>
      <w:r w:rsidR="00441BE8">
        <w:t>o</w:t>
      </w:r>
      <w:r w:rsidRPr="00E201AC">
        <w:t>.:</w:t>
      </w:r>
    </w:p>
    <w:p w14:paraId="5CAD97EF" w14:textId="34E658AB" w:rsidR="00F861CF" w:rsidRPr="00E201AC" w:rsidRDefault="00F861CF" w:rsidP="00E201AC">
      <w:pPr>
        <w:pStyle w:val="APDBodyText"/>
      </w:pPr>
      <w:r w:rsidRPr="00E201AC">
        <w:t xml:space="preserve">Enter the identification number (ID </w:t>
      </w:r>
      <w:r w:rsidR="00B42127">
        <w:t>N</w:t>
      </w:r>
      <w:r w:rsidR="005667BA">
        <w:t>o</w:t>
      </w:r>
      <w:r w:rsidRPr="00E201AC">
        <w:t>.) for the unit (maximum 10 characters) as li</w:t>
      </w:r>
      <w:r w:rsidR="004B5FCD" w:rsidRPr="00E201AC">
        <w:t>sted on Form OP-SUM (Individual</w:t>
      </w:r>
      <w:r w:rsidR="00FB050E" w:rsidRPr="00E201AC">
        <w:t> </w:t>
      </w:r>
      <w:r w:rsidRPr="00E201AC">
        <w:t>Unit Summary).</w:t>
      </w:r>
    </w:p>
    <w:p w14:paraId="0AAA891D" w14:textId="32527BEF" w:rsidR="00F861CF" w:rsidRPr="00E201AC" w:rsidRDefault="00F861CF" w:rsidP="00E201AC">
      <w:pPr>
        <w:pStyle w:val="APDStrong"/>
      </w:pPr>
      <w:r w:rsidRPr="00E201AC">
        <w:t xml:space="preserve">SOP Index </w:t>
      </w:r>
      <w:r w:rsidR="00B42127">
        <w:t>N</w:t>
      </w:r>
      <w:r w:rsidR="00441BE8">
        <w:t>o</w:t>
      </w:r>
      <w:r w:rsidRPr="00E201AC">
        <w:t>.:</w:t>
      </w:r>
    </w:p>
    <w:p w14:paraId="61E363AC" w14:textId="54532CC5" w:rsidR="00775600" w:rsidRPr="00EF0801" w:rsidRDefault="00F861CF" w:rsidP="00E201AC">
      <w:pPr>
        <w:pStyle w:val="APDBodyText"/>
      </w:pPr>
      <w:r w:rsidRPr="00E201AC">
        <w:t xml:space="preserve">Site operating permit (SOP) applicants should indicate the SOP index number for the </w:t>
      </w:r>
      <w:r w:rsidR="004B5FCD" w:rsidRPr="00E201AC">
        <w:t>unit or group of units (maximum</w:t>
      </w:r>
      <w:r w:rsidR="00FB050E" w:rsidRPr="00E201AC">
        <w:t> </w:t>
      </w:r>
      <w:r w:rsidR="004B5FCD" w:rsidRPr="00E201AC">
        <w:t>15</w:t>
      </w:r>
      <w:r w:rsidR="00FB050E" w:rsidRPr="00E201AC">
        <w:t> </w:t>
      </w:r>
      <w:r w:rsidRPr="00E201AC">
        <w:t xml:space="preserve">characters consisting of numeric, alphanumeric characters, and/or dashes prefixed by a code for the applicable regulation [i.e., 60KB-XXXX]). For additional information relating to SOP index numbers, </w:t>
      </w:r>
      <w:r w:rsidR="00775600" w:rsidRPr="00E201AC">
        <w:t>please see the Completing FOP Applications – Additional Guidance on the TCEQ website at</w:t>
      </w:r>
      <w:r w:rsidR="00775600" w:rsidRPr="00EF0801">
        <w:t xml:space="preserve"> </w:t>
      </w:r>
      <w:hyperlink r:id="rId22" w:tooltip="TCEQ - Completing FOP Applications - Additional Guidance" w:history="1">
        <w:r w:rsidR="00775600" w:rsidRPr="00885E28">
          <w:rPr>
            <w:rStyle w:val="Hyperlink"/>
          </w:rPr>
          <w:t>www.tceq.texas.gov/permitting/air/guidance/titlev/tv_fop_guidance.html</w:t>
        </w:r>
      </w:hyperlink>
      <w:r w:rsidR="00775600" w:rsidRPr="00EF0801">
        <w:t>.</w:t>
      </w:r>
    </w:p>
    <w:p w14:paraId="76E30851" w14:textId="77777777" w:rsidR="00F861CF" w:rsidRPr="009553F2" w:rsidRDefault="00F861CF" w:rsidP="00390EE3">
      <w:pPr>
        <w:pStyle w:val="APDCompleteStar"/>
      </w:pPr>
      <w:r w:rsidRPr="009553F2">
        <w:t>Complete “Residual Oil Sampling” only if “D-Series Fuel Type” is “ROIL,” “ROILLSO3,” “ROILLSO5,” “RO30+,” “RO30+LSO3” or “RO30+LSO5.”</w:t>
      </w:r>
    </w:p>
    <w:p w14:paraId="7EC3113F" w14:textId="77777777" w:rsidR="00F861CF" w:rsidRPr="00E201AC" w:rsidRDefault="00F861CF" w:rsidP="00E201AC">
      <w:pPr>
        <w:pStyle w:val="APDStrong"/>
      </w:pPr>
      <w:r w:rsidRPr="00E201AC">
        <w:t>Residual Oil Sampling:</w:t>
      </w:r>
    </w:p>
    <w:p w14:paraId="7D5450E6" w14:textId="43D4D434" w:rsidR="00483C05" w:rsidRPr="00E201AC" w:rsidRDefault="00F861CF" w:rsidP="00E201AC">
      <w:pPr>
        <w:pStyle w:val="APDBodyText"/>
      </w:pPr>
      <w:r w:rsidRPr="00E201AC">
        <w:t>Enter “</w:t>
      </w:r>
      <w:r w:rsidR="00B42127">
        <w:t>YES</w:t>
      </w:r>
      <w:r w:rsidRPr="00E201AC">
        <w:t>” if the residual oil is sampled and analyzed for nitrogen content as specified in 40 CFR § 60.49b(e). Otherwise, enter “</w:t>
      </w:r>
      <w:r w:rsidR="00B42127">
        <w:t>NO</w:t>
      </w:r>
      <w:r w:rsidRPr="00E201AC">
        <w:t>.”</w:t>
      </w:r>
    </w:p>
    <w:p w14:paraId="26B0709B" w14:textId="77777777" w:rsidR="00F861CF" w:rsidRPr="00E201AC" w:rsidRDefault="00F861CF" w:rsidP="00E201AC">
      <w:pPr>
        <w:pStyle w:val="APDStrong"/>
      </w:pPr>
      <w:r w:rsidRPr="00E201AC">
        <w:t>Monitoring Type:</w:t>
      </w:r>
    </w:p>
    <w:p w14:paraId="59DCB742" w14:textId="77777777" w:rsidR="00F861CF" w:rsidRPr="00E201AC" w:rsidRDefault="00F861CF" w:rsidP="00E201AC">
      <w:pPr>
        <w:pStyle w:val="APDBodyText"/>
      </w:pPr>
      <w:r w:rsidRPr="00E201AC">
        <w:t>Designate the monitoring options for each pollutant. Select only the type(s) of</w:t>
      </w:r>
      <w:r w:rsidR="00EE3D2F" w:rsidRPr="00E201AC">
        <w:t xml:space="preserve"> monitoring applicable under 40 </w:t>
      </w:r>
      <w:r w:rsidRPr="00E201AC">
        <w:t>CFR Part 60, Subpart Db.</w:t>
      </w:r>
    </w:p>
    <w:p w14:paraId="2B233B1B" w14:textId="77777777" w:rsidR="00146948" w:rsidRDefault="00146948" w:rsidP="00E201AC">
      <w:pPr>
        <w:pStyle w:val="APDStrong"/>
        <w:sectPr w:rsidR="00146948" w:rsidSect="0031268E">
          <w:pgSz w:w="12240" w:h="15840" w:code="1"/>
          <w:pgMar w:top="720" w:right="720" w:bottom="720" w:left="720" w:header="720" w:footer="720" w:gutter="0"/>
          <w:cols w:space="720"/>
          <w:titlePg/>
          <w:docGrid w:linePitch="360"/>
        </w:sectPr>
      </w:pPr>
    </w:p>
    <w:p w14:paraId="036F4DB9" w14:textId="77777777" w:rsidR="00F861CF" w:rsidRPr="00E201AC" w:rsidRDefault="00F861CF" w:rsidP="00E201AC">
      <w:pPr>
        <w:pStyle w:val="APDStrong"/>
      </w:pPr>
      <w:r w:rsidRPr="00E201AC">
        <w:lastRenderedPageBreak/>
        <w:t>PM:</w:t>
      </w:r>
    </w:p>
    <w:p w14:paraId="60057784" w14:textId="77777777" w:rsidR="00F861CF" w:rsidRDefault="00F861CF" w:rsidP="00E201AC">
      <w:pPr>
        <w:pStyle w:val="APDBodyText"/>
      </w:pPr>
      <w:r w:rsidRPr="00E201AC">
        <w:t>Select one of the following monitoring options for PM.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60214" w14:paraId="51360DB4" w14:textId="77777777" w:rsidTr="008A1E98">
        <w:trPr>
          <w:cantSplit/>
          <w:tblHeader/>
        </w:trPr>
        <w:tc>
          <w:tcPr>
            <w:tcW w:w="1530" w:type="dxa"/>
          </w:tcPr>
          <w:p w14:paraId="21FD9DAF" w14:textId="4A388002" w:rsidR="00B60214" w:rsidRPr="00B60214" w:rsidRDefault="00B60214" w:rsidP="00B60214">
            <w:pPr>
              <w:rPr>
                <w:b/>
                <w:bCs/>
              </w:rPr>
            </w:pPr>
            <w:r w:rsidRPr="00B60214">
              <w:rPr>
                <w:b/>
                <w:bCs/>
              </w:rPr>
              <w:t>Code</w:t>
            </w:r>
          </w:p>
        </w:tc>
        <w:tc>
          <w:tcPr>
            <w:tcW w:w="8550" w:type="dxa"/>
          </w:tcPr>
          <w:p w14:paraId="1997020B" w14:textId="74939E19" w:rsidR="00B60214" w:rsidRPr="00B60214" w:rsidRDefault="00B60214" w:rsidP="00B60214">
            <w:pPr>
              <w:rPr>
                <w:b/>
                <w:bCs/>
              </w:rPr>
            </w:pPr>
            <w:r w:rsidRPr="00B60214">
              <w:rPr>
                <w:b/>
                <w:bCs/>
              </w:rPr>
              <w:t>Description</w:t>
            </w:r>
          </w:p>
        </w:tc>
      </w:tr>
      <w:tr w:rsidR="00B60214" w14:paraId="66390559" w14:textId="77777777" w:rsidTr="008A1E98">
        <w:trPr>
          <w:cantSplit/>
          <w:tblHeader/>
        </w:trPr>
        <w:tc>
          <w:tcPr>
            <w:tcW w:w="1530" w:type="dxa"/>
          </w:tcPr>
          <w:p w14:paraId="21B88497" w14:textId="5E2508F6" w:rsidR="00B60214" w:rsidRDefault="00B60214" w:rsidP="00B60214">
            <w:r w:rsidRPr="005E4C5C">
              <w:t>CEM</w:t>
            </w:r>
          </w:p>
        </w:tc>
        <w:tc>
          <w:tcPr>
            <w:tcW w:w="8550" w:type="dxa"/>
          </w:tcPr>
          <w:p w14:paraId="3EC3524C" w14:textId="4DD5A427" w:rsidR="00B60214" w:rsidRDefault="00B60214" w:rsidP="00B60214">
            <w:r w:rsidRPr="005E4C5C">
              <w:t>Continuous emission monitoring system and the facility is not subject to a federally enforceable PM limit of 0.030 lb/MMBtu or less</w:t>
            </w:r>
          </w:p>
        </w:tc>
      </w:tr>
      <w:tr w:rsidR="00B60214" w14:paraId="0E8C732C" w14:textId="77777777" w:rsidTr="008A1E98">
        <w:trPr>
          <w:cantSplit/>
          <w:tblHeader/>
        </w:trPr>
        <w:tc>
          <w:tcPr>
            <w:tcW w:w="1530" w:type="dxa"/>
          </w:tcPr>
          <w:p w14:paraId="348F1C12" w14:textId="18073D65" w:rsidR="00B60214" w:rsidRDefault="00B60214" w:rsidP="00B60214">
            <w:r w:rsidRPr="005E4C5C">
              <w:t>CEM030</w:t>
            </w:r>
          </w:p>
        </w:tc>
        <w:tc>
          <w:tcPr>
            <w:tcW w:w="8550" w:type="dxa"/>
          </w:tcPr>
          <w:p w14:paraId="7134B83A" w14:textId="68CAFB45" w:rsidR="00B60214" w:rsidRDefault="00B60214" w:rsidP="00B60214">
            <w:r w:rsidRPr="005E4C5C">
              <w:t>Continuous emission monitoring system and the facility is subject to a federally enforceable PM limit of 0.030 lb/MMBtu or less</w:t>
            </w:r>
          </w:p>
        </w:tc>
      </w:tr>
      <w:tr w:rsidR="00B60214" w14:paraId="09EC2E28" w14:textId="77777777" w:rsidTr="008A1E98">
        <w:trPr>
          <w:cantSplit/>
          <w:tblHeader/>
        </w:trPr>
        <w:tc>
          <w:tcPr>
            <w:tcW w:w="1530" w:type="dxa"/>
          </w:tcPr>
          <w:p w14:paraId="3D2B1A41" w14:textId="4E166D04" w:rsidR="00B60214" w:rsidRDefault="00B60214" w:rsidP="00B60214">
            <w:r w:rsidRPr="005E4C5C">
              <w:t>NONE</w:t>
            </w:r>
          </w:p>
        </w:tc>
        <w:tc>
          <w:tcPr>
            <w:tcW w:w="8550" w:type="dxa"/>
          </w:tcPr>
          <w:p w14:paraId="399AFD17" w14:textId="4D612252" w:rsidR="00B60214" w:rsidRDefault="00B60214" w:rsidP="00B60214">
            <w:r w:rsidRPr="005E4C5C">
              <w:t>No particulate monitoring</w:t>
            </w:r>
          </w:p>
        </w:tc>
      </w:tr>
      <w:tr w:rsidR="00B60214" w14:paraId="0B89E285" w14:textId="77777777" w:rsidTr="008A1E98">
        <w:trPr>
          <w:cantSplit/>
          <w:tblHeader/>
        </w:trPr>
        <w:tc>
          <w:tcPr>
            <w:tcW w:w="1530" w:type="dxa"/>
          </w:tcPr>
          <w:p w14:paraId="44B35CFE" w14:textId="226E84E6" w:rsidR="00B60214" w:rsidRDefault="00B60214" w:rsidP="00B60214">
            <w:r w:rsidRPr="005E4C5C">
              <w:t>FLCRT</w:t>
            </w:r>
          </w:p>
        </w:tc>
        <w:tc>
          <w:tcPr>
            <w:tcW w:w="8550" w:type="dxa"/>
          </w:tcPr>
          <w:p w14:paraId="30035969" w14:textId="04ED2E9F" w:rsidR="00B60214" w:rsidRDefault="00B60214" w:rsidP="00B60214">
            <w:r w:rsidRPr="005E4C5C">
              <w:t xml:space="preserve">Fuel certification (maintaining receipts per § 60.49b(r)(1) – use for § 60.43b(h)(5) exemption only) </w:t>
            </w:r>
          </w:p>
        </w:tc>
      </w:tr>
      <w:tr w:rsidR="00B60214" w14:paraId="58784B9C" w14:textId="77777777" w:rsidTr="008A1E98">
        <w:trPr>
          <w:cantSplit/>
          <w:tblHeader/>
        </w:trPr>
        <w:tc>
          <w:tcPr>
            <w:tcW w:w="1530" w:type="dxa"/>
          </w:tcPr>
          <w:p w14:paraId="43C3C5D5" w14:textId="1A222CAE" w:rsidR="00B60214" w:rsidRDefault="00B60214" w:rsidP="00B60214">
            <w:r w:rsidRPr="005E4C5C">
              <w:t>FLSMP</w:t>
            </w:r>
          </w:p>
        </w:tc>
        <w:tc>
          <w:tcPr>
            <w:tcW w:w="8550" w:type="dxa"/>
          </w:tcPr>
          <w:p w14:paraId="48895B17" w14:textId="2C18DB6A" w:rsidR="00B60214" w:rsidRDefault="00B60214" w:rsidP="00B60214">
            <w:r w:rsidRPr="005E4C5C">
              <w:t>Fuel certification (based on fuel analysis per § 60.49b(r)(2) – use for § 60.43b(h)(5) exemption only)</w:t>
            </w:r>
          </w:p>
        </w:tc>
      </w:tr>
    </w:tbl>
    <w:p w14:paraId="0F47C1C3" w14:textId="018E4F74" w:rsidR="00F861CF" w:rsidRPr="00E201AC" w:rsidRDefault="00F42500" w:rsidP="00F8236B">
      <w:pPr>
        <w:pStyle w:val="APDStrong"/>
        <w:spacing w:before="120"/>
      </w:pPr>
      <w:r w:rsidRPr="00E201AC">
        <w:t>P</w:t>
      </w:r>
      <w:r w:rsidR="001C7A76">
        <w:t>M (</w:t>
      </w:r>
      <w:r w:rsidR="00F861CF" w:rsidRPr="00E201AC">
        <w:t>Opacity</w:t>
      </w:r>
      <w:r w:rsidRPr="00E201AC">
        <w:t>)</w:t>
      </w:r>
      <w:r w:rsidR="00F861CF" w:rsidRPr="00E201AC">
        <w:t>:</w:t>
      </w:r>
    </w:p>
    <w:p w14:paraId="4EE0FFCD" w14:textId="77777777" w:rsidR="00F861CF" w:rsidRDefault="00F861CF" w:rsidP="00E201AC">
      <w:pPr>
        <w:pStyle w:val="APDBodyText"/>
      </w:pPr>
      <w:r w:rsidRPr="00E201AC">
        <w:t>Select one of the following monitoring options for opacity.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7753E2" w14:paraId="064EDA6F" w14:textId="77777777" w:rsidTr="001936A0">
        <w:trPr>
          <w:cantSplit/>
          <w:tblHeader/>
        </w:trPr>
        <w:tc>
          <w:tcPr>
            <w:tcW w:w="1530" w:type="dxa"/>
          </w:tcPr>
          <w:p w14:paraId="248E281F" w14:textId="29E3D755" w:rsidR="007753E2" w:rsidRPr="007753E2" w:rsidRDefault="007753E2" w:rsidP="007753E2">
            <w:pPr>
              <w:rPr>
                <w:b/>
                <w:bCs/>
              </w:rPr>
            </w:pPr>
            <w:r w:rsidRPr="007753E2">
              <w:rPr>
                <w:b/>
                <w:bCs/>
              </w:rPr>
              <w:t>Code</w:t>
            </w:r>
          </w:p>
        </w:tc>
        <w:tc>
          <w:tcPr>
            <w:tcW w:w="8550" w:type="dxa"/>
          </w:tcPr>
          <w:p w14:paraId="7CA5F903" w14:textId="24C8A3EF" w:rsidR="007753E2" w:rsidRPr="007753E2" w:rsidRDefault="007753E2" w:rsidP="007753E2">
            <w:pPr>
              <w:rPr>
                <w:b/>
                <w:bCs/>
              </w:rPr>
            </w:pPr>
            <w:r w:rsidRPr="007753E2">
              <w:rPr>
                <w:b/>
                <w:bCs/>
              </w:rPr>
              <w:t>Description</w:t>
            </w:r>
          </w:p>
        </w:tc>
      </w:tr>
      <w:tr w:rsidR="007753E2" w14:paraId="0F6A3B56" w14:textId="77777777" w:rsidTr="001936A0">
        <w:trPr>
          <w:cantSplit/>
          <w:tblHeader/>
        </w:trPr>
        <w:tc>
          <w:tcPr>
            <w:tcW w:w="1530" w:type="dxa"/>
          </w:tcPr>
          <w:p w14:paraId="1A1E8EFF" w14:textId="4045C950" w:rsidR="007753E2" w:rsidRDefault="007753E2" w:rsidP="007753E2">
            <w:r w:rsidRPr="00C339F5">
              <w:t>CMS</w:t>
            </w:r>
          </w:p>
        </w:tc>
        <w:tc>
          <w:tcPr>
            <w:tcW w:w="8550" w:type="dxa"/>
          </w:tcPr>
          <w:p w14:paraId="216088BB" w14:textId="5048D276" w:rsidR="007753E2" w:rsidRDefault="007753E2" w:rsidP="007753E2">
            <w:r w:rsidRPr="00C339F5">
              <w:t>Continuous opacity monitoring systems (COMS)</w:t>
            </w:r>
          </w:p>
        </w:tc>
      </w:tr>
      <w:tr w:rsidR="007753E2" w14:paraId="780950E1" w14:textId="77777777" w:rsidTr="001936A0">
        <w:trPr>
          <w:cantSplit/>
          <w:tblHeader/>
        </w:trPr>
        <w:tc>
          <w:tcPr>
            <w:tcW w:w="1530" w:type="dxa"/>
          </w:tcPr>
          <w:p w14:paraId="79731E11" w14:textId="14BECEE3" w:rsidR="007753E2" w:rsidRDefault="007753E2" w:rsidP="007753E2">
            <w:r w:rsidRPr="00C339F5">
              <w:t>CCEM</w:t>
            </w:r>
          </w:p>
        </w:tc>
        <w:tc>
          <w:tcPr>
            <w:tcW w:w="8550" w:type="dxa"/>
          </w:tcPr>
          <w:p w14:paraId="50556B7C" w14:textId="7713A205" w:rsidR="007753E2" w:rsidRDefault="007753E2" w:rsidP="007753E2">
            <w:r w:rsidRPr="00C339F5">
              <w:t>Continuous emissions monitoring system for carbon monoxide (CO) installed and operated per 40 CFR § 60.48b(j)(4)</w:t>
            </w:r>
          </w:p>
        </w:tc>
      </w:tr>
      <w:tr w:rsidR="007753E2" w14:paraId="4D4060E3" w14:textId="77777777" w:rsidTr="001936A0">
        <w:trPr>
          <w:cantSplit/>
          <w:tblHeader/>
        </w:trPr>
        <w:tc>
          <w:tcPr>
            <w:tcW w:w="1530" w:type="dxa"/>
          </w:tcPr>
          <w:p w14:paraId="1870C9F7" w14:textId="473B8590" w:rsidR="007753E2" w:rsidRDefault="007753E2" w:rsidP="007753E2">
            <w:r w:rsidRPr="00C339F5">
              <w:t>NONE</w:t>
            </w:r>
          </w:p>
        </w:tc>
        <w:tc>
          <w:tcPr>
            <w:tcW w:w="8550" w:type="dxa"/>
          </w:tcPr>
          <w:p w14:paraId="3A00D6E2" w14:textId="517FC6F1" w:rsidR="007753E2" w:rsidRDefault="007753E2" w:rsidP="007753E2">
            <w:r w:rsidRPr="00C339F5">
              <w:t>No particulate monitoring</w:t>
            </w:r>
          </w:p>
        </w:tc>
      </w:tr>
    </w:tbl>
    <w:p w14:paraId="21DBDFE1" w14:textId="2C00BE74" w:rsidR="00F861CF" w:rsidRPr="00E201AC" w:rsidRDefault="00F861CF" w:rsidP="00F8236B">
      <w:pPr>
        <w:pStyle w:val="APDStrong"/>
        <w:spacing w:before="120"/>
      </w:pPr>
      <w:r w:rsidRPr="00E201AC">
        <w:t>NOx:</w:t>
      </w:r>
    </w:p>
    <w:p w14:paraId="0B286D8B" w14:textId="77777777" w:rsidR="00F861CF" w:rsidRDefault="00F861CF" w:rsidP="00E201AC">
      <w:pPr>
        <w:pStyle w:val="APDBodyText"/>
      </w:pPr>
      <w:r w:rsidRPr="00E201AC">
        <w:t>Select one of the following monitoring options for nitrogen oxides (NOx).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641BB7" w14:paraId="00060A3D" w14:textId="77777777" w:rsidTr="00641BB7">
        <w:trPr>
          <w:cantSplit/>
          <w:tblHeader/>
        </w:trPr>
        <w:tc>
          <w:tcPr>
            <w:tcW w:w="1530" w:type="dxa"/>
          </w:tcPr>
          <w:p w14:paraId="404C3580" w14:textId="57E23113" w:rsidR="00641BB7" w:rsidRPr="00641BB7" w:rsidRDefault="00641BB7" w:rsidP="00641BB7">
            <w:pPr>
              <w:rPr>
                <w:b/>
                <w:bCs/>
              </w:rPr>
            </w:pPr>
            <w:r w:rsidRPr="00641BB7">
              <w:rPr>
                <w:b/>
                <w:bCs/>
              </w:rPr>
              <w:t>Code</w:t>
            </w:r>
          </w:p>
        </w:tc>
        <w:tc>
          <w:tcPr>
            <w:tcW w:w="8550" w:type="dxa"/>
          </w:tcPr>
          <w:p w14:paraId="46AD4392" w14:textId="1B8189A2" w:rsidR="00641BB7" w:rsidRPr="00641BB7" w:rsidRDefault="00641BB7" w:rsidP="00641BB7">
            <w:pPr>
              <w:rPr>
                <w:b/>
                <w:bCs/>
              </w:rPr>
            </w:pPr>
            <w:r w:rsidRPr="00641BB7">
              <w:rPr>
                <w:b/>
                <w:bCs/>
              </w:rPr>
              <w:t>Description</w:t>
            </w:r>
          </w:p>
        </w:tc>
      </w:tr>
      <w:tr w:rsidR="00641BB7" w14:paraId="0C4E75F9" w14:textId="77777777" w:rsidTr="00641BB7">
        <w:trPr>
          <w:cantSplit/>
          <w:tblHeader/>
        </w:trPr>
        <w:tc>
          <w:tcPr>
            <w:tcW w:w="1530" w:type="dxa"/>
          </w:tcPr>
          <w:p w14:paraId="02C3839B" w14:textId="5389DCA0" w:rsidR="00641BB7" w:rsidRDefault="00641BB7" w:rsidP="00641BB7">
            <w:r w:rsidRPr="008B5FEB">
              <w:t>CEM</w:t>
            </w:r>
          </w:p>
        </w:tc>
        <w:tc>
          <w:tcPr>
            <w:tcW w:w="8550" w:type="dxa"/>
          </w:tcPr>
          <w:p w14:paraId="219C82B1" w14:textId="6AE1B89E" w:rsidR="00641BB7" w:rsidRDefault="00641BB7" w:rsidP="00641BB7">
            <w:r w:rsidRPr="008B5FEB">
              <w:t>Continuous emission monitoring system</w:t>
            </w:r>
          </w:p>
        </w:tc>
      </w:tr>
      <w:tr w:rsidR="00641BB7" w14:paraId="041485F3" w14:textId="77777777" w:rsidTr="00641BB7">
        <w:trPr>
          <w:cantSplit/>
          <w:tblHeader/>
        </w:trPr>
        <w:tc>
          <w:tcPr>
            <w:tcW w:w="1530" w:type="dxa"/>
          </w:tcPr>
          <w:p w14:paraId="39107F2A" w14:textId="70748513" w:rsidR="00641BB7" w:rsidRDefault="00641BB7" w:rsidP="00641BB7">
            <w:r w:rsidRPr="008B5FEB">
              <w:t>CEM75</w:t>
            </w:r>
          </w:p>
        </w:tc>
        <w:tc>
          <w:tcPr>
            <w:tcW w:w="8550" w:type="dxa"/>
          </w:tcPr>
          <w:p w14:paraId="48EB4074" w14:textId="41221786" w:rsidR="00641BB7" w:rsidRDefault="00641BB7" w:rsidP="00641BB7">
            <w:r w:rsidRPr="008B5FEB">
              <w:t>Continuous emission monitoring system used to comply with 40 CFR Part 75</w:t>
            </w:r>
          </w:p>
        </w:tc>
      </w:tr>
      <w:tr w:rsidR="00641BB7" w14:paraId="15F66A79" w14:textId="77777777" w:rsidTr="00641BB7">
        <w:trPr>
          <w:cantSplit/>
          <w:tblHeader/>
        </w:trPr>
        <w:tc>
          <w:tcPr>
            <w:tcW w:w="1530" w:type="dxa"/>
          </w:tcPr>
          <w:p w14:paraId="22636CA8" w14:textId="53ED3FA1" w:rsidR="00641BB7" w:rsidRDefault="00641BB7" w:rsidP="00641BB7">
            <w:r w:rsidRPr="008B5FEB">
              <w:t>PEM</w:t>
            </w:r>
          </w:p>
        </w:tc>
        <w:tc>
          <w:tcPr>
            <w:tcW w:w="8550" w:type="dxa"/>
          </w:tcPr>
          <w:p w14:paraId="5B4C3768" w14:textId="4FAED60F" w:rsidR="00641BB7" w:rsidRDefault="00641BB7" w:rsidP="00641BB7">
            <w:r w:rsidRPr="008B5FEB">
              <w:t>Predictive emission monitoring system</w:t>
            </w:r>
          </w:p>
        </w:tc>
      </w:tr>
      <w:tr w:rsidR="00641BB7" w14:paraId="15BDE84E" w14:textId="77777777" w:rsidTr="00641BB7">
        <w:trPr>
          <w:cantSplit/>
          <w:tblHeader/>
        </w:trPr>
        <w:tc>
          <w:tcPr>
            <w:tcW w:w="1530" w:type="dxa"/>
          </w:tcPr>
          <w:p w14:paraId="295F67B2" w14:textId="0156DDBC" w:rsidR="00641BB7" w:rsidRDefault="00641BB7" w:rsidP="00641BB7">
            <w:r w:rsidRPr="008B5FEB">
              <w:t>NONE</w:t>
            </w:r>
          </w:p>
        </w:tc>
        <w:tc>
          <w:tcPr>
            <w:tcW w:w="8550" w:type="dxa"/>
          </w:tcPr>
          <w:p w14:paraId="4C19D2EF" w14:textId="7C85386E" w:rsidR="00641BB7" w:rsidRDefault="00641BB7" w:rsidP="00641BB7">
            <w:r w:rsidRPr="008B5FEB">
              <w:t>No NOx monitoring</w:t>
            </w:r>
          </w:p>
        </w:tc>
      </w:tr>
    </w:tbl>
    <w:p w14:paraId="5F3079F7" w14:textId="06CBB56E" w:rsidR="00F861CF" w:rsidRPr="00E201AC" w:rsidRDefault="004F6614" w:rsidP="00F8236B">
      <w:pPr>
        <w:pStyle w:val="APDStrong"/>
        <w:spacing w:before="120"/>
      </w:pPr>
      <w:r>
        <w:t>SO</w:t>
      </w:r>
      <w:r w:rsidR="009301C8" w:rsidRPr="009301C8">
        <w:rPr>
          <w:vertAlign w:val="subscript"/>
        </w:rPr>
        <w:t>2</w:t>
      </w:r>
      <w:r w:rsidR="00F861CF" w:rsidRPr="00E201AC">
        <w:t>:</w:t>
      </w:r>
    </w:p>
    <w:p w14:paraId="61C3F064" w14:textId="7D379E73" w:rsidR="00F861CF" w:rsidRDefault="00F861CF" w:rsidP="00E201AC">
      <w:pPr>
        <w:pStyle w:val="APDBodyText"/>
      </w:pPr>
      <w:r w:rsidRPr="00E201AC">
        <w:t xml:space="preserve">Select one of the following monitoring options for </w:t>
      </w:r>
      <w:r w:rsidR="004F6614">
        <w:t>SO</w:t>
      </w:r>
      <w:r w:rsidR="00131C2B" w:rsidRPr="00131C2B">
        <w:rPr>
          <w:vertAlign w:val="subscript"/>
        </w:rPr>
        <w:t>2</w:t>
      </w:r>
      <w:r w:rsidRPr="00E201AC">
        <w: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36"/>
        <w:gridCol w:w="8644"/>
      </w:tblGrid>
      <w:tr w:rsidR="00C660AB" w14:paraId="66346E78" w14:textId="77777777" w:rsidTr="00C15627">
        <w:trPr>
          <w:cantSplit/>
          <w:tblHeader/>
        </w:trPr>
        <w:tc>
          <w:tcPr>
            <w:tcW w:w="1530" w:type="dxa"/>
          </w:tcPr>
          <w:p w14:paraId="0CD468E3" w14:textId="5EF6A291" w:rsidR="00C660AB" w:rsidRPr="00C660AB" w:rsidRDefault="00C660AB" w:rsidP="00C660AB">
            <w:pPr>
              <w:rPr>
                <w:b/>
                <w:bCs/>
              </w:rPr>
            </w:pPr>
            <w:r w:rsidRPr="00C660AB">
              <w:rPr>
                <w:b/>
                <w:bCs/>
              </w:rPr>
              <w:t>Code</w:t>
            </w:r>
          </w:p>
        </w:tc>
        <w:tc>
          <w:tcPr>
            <w:tcW w:w="9260" w:type="dxa"/>
          </w:tcPr>
          <w:p w14:paraId="4BC8821D" w14:textId="36C780B9" w:rsidR="00C660AB" w:rsidRPr="00C660AB" w:rsidRDefault="00C660AB" w:rsidP="00C660AB">
            <w:pPr>
              <w:rPr>
                <w:b/>
                <w:bCs/>
              </w:rPr>
            </w:pPr>
            <w:r w:rsidRPr="00C660AB">
              <w:rPr>
                <w:b/>
                <w:bCs/>
              </w:rPr>
              <w:t>Description</w:t>
            </w:r>
          </w:p>
        </w:tc>
      </w:tr>
      <w:tr w:rsidR="00C660AB" w14:paraId="79571F26" w14:textId="77777777" w:rsidTr="00C15627">
        <w:trPr>
          <w:cantSplit/>
          <w:tblHeader/>
        </w:trPr>
        <w:tc>
          <w:tcPr>
            <w:tcW w:w="1530" w:type="dxa"/>
          </w:tcPr>
          <w:p w14:paraId="047EECEE" w14:textId="1EA21033" w:rsidR="00C660AB" w:rsidRDefault="00C660AB" w:rsidP="00C660AB">
            <w:r w:rsidRPr="00D079EC">
              <w:t>ASFRD</w:t>
            </w:r>
          </w:p>
        </w:tc>
        <w:tc>
          <w:tcPr>
            <w:tcW w:w="9260" w:type="dxa"/>
          </w:tcPr>
          <w:p w14:paraId="14541931" w14:textId="4A5449F2" w:rsidR="00C660AB" w:rsidRDefault="00C660AB" w:rsidP="00C660AB">
            <w:r w:rsidRPr="00D079EC">
              <w:t>As-fired sampling</w:t>
            </w:r>
          </w:p>
        </w:tc>
      </w:tr>
      <w:tr w:rsidR="00C660AB" w14:paraId="032781D2" w14:textId="77777777" w:rsidTr="00C15627">
        <w:trPr>
          <w:cantSplit/>
          <w:tblHeader/>
        </w:trPr>
        <w:tc>
          <w:tcPr>
            <w:tcW w:w="1530" w:type="dxa"/>
          </w:tcPr>
          <w:p w14:paraId="1E52F768" w14:textId="1EA5A574" w:rsidR="00C660AB" w:rsidRDefault="00C660AB" w:rsidP="00C660AB">
            <w:r w:rsidRPr="00D079EC">
              <w:t>MTH6B</w:t>
            </w:r>
          </w:p>
        </w:tc>
        <w:tc>
          <w:tcPr>
            <w:tcW w:w="9260" w:type="dxa"/>
          </w:tcPr>
          <w:p w14:paraId="6FEA1B55" w14:textId="53C91321" w:rsidR="00C660AB" w:rsidRDefault="00C660AB" w:rsidP="00C660AB">
            <w:r w:rsidRPr="00D079EC">
              <w:t>Method 6B sampling</w:t>
            </w:r>
          </w:p>
        </w:tc>
      </w:tr>
      <w:tr w:rsidR="00C660AB" w14:paraId="55685F04" w14:textId="77777777" w:rsidTr="00C15627">
        <w:trPr>
          <w:cantSplit/>
          <w:tblHeader/>
        </w:trPr>
        <w:tc>
          <w:tcPr>
            <w:tcW w:w="1530" w:type="dxa"/>
          </w:tcPr>
          <w:p w14:paraId="1DAC052C" w14:textId="63EFB779" w:rsidR="00C660AB" w:rsidRDefault="00C660AB" w:rsidP="00C660AB">
            <w:r w:rsidRPr="00D079EC">
              <w:t>FLCRT</w:t>
            </w:r>
          </w:p>
        </w:tc>
        <w:tc>
          <w:tcPr>
            <w:tcW w:w="9260" w:type="dxa"/>
          </w:tcPr>
          <w:p w14:paraId="6B4F1F15" w14:textId="7E5E78AA" w:rsidR="00C660AB" w:rsidRDefault="00C660AB" w:rsidP="00C660AB">
            <w:r w:rsidRPr="00D079EC">
              <w:t xml:space="preserve">Fuel certification (maintaining receipts per § 60.49b(r)(1)) </w:t>
            </w:r>
          </w:p>
        </w:tc>
      </w:tr>
      <w:tr w:rsidR="00C660AB" w14:paraId="469FA533" w14:textId="77777777" w:rsidTr="00C15627">
        <w:trPr>
          <w:cantSplit/>
          <w:tblHeader/>
        </w:trPr>
        <w:tc>
          <w:tcPr>
            <w:tcW w:w="1530" w:type="dxa"/>
          </w:tcPr>
          <w:p w14:paraId="2011F5FF" w14:textId="09481E8D" w:rsidR="00C660AB" w:rsidRDefault="00C660AB" w:rsidP="00C660AB">
            <w:r w:rsidRPr="00D079EC">
              <w:t>FLSMP</w:t>
            </w:r>
          </w:p>
        </w:tc>
        <w:tc>
          <w:tcPr>
            <w:tcW w:w="9260" w:type="dxa"/>
          </w:tcPr>
          <w:p w14:paraId="6C16ED6F" w14:textId="2EC8C663" w:rsidR="00C660AB" w:rsidRDefault="00C660AB" w:rsidP="00C660AB">
            <w:r w:rsidRPr="00D079EC">
              <w:t>Fuel certification (based on fuel analysis per § 60.49b(r)(2))</w:t>
            </w:r>
          </w:p>
        </w:tc>
      </w:tr>
      <w:tr w:rsidR="00C660AB" w14:paraId="7D836AB3" w14:textId="77777777" w:rsidTr="00C15627">
        <w:trPr>
          <w:cantSplit/>
          <w:tblHeader/>
        </w:trPr>
        <w:tc>
          <w:tcPr>
            <w:tcW w:w="1530" w:type="dxa"/>
          </w:tcPr>
          <w:p w14:paraId="75916253" w14:textId="676FA286" w:rsidR="00C660AB" w:rsidRDefault="00C660AB" w:rsidP="00C660AB">
            <w:r w:rsidRPr="00D079EC">
              <w:t>CEM</w:t>
            </w:r>
          </w:p>
        </w:tc>
        <w:tc>
          <w:tcPr>
            <w:tcW w:w="9260" w:type="dxa"/>
          </w:tcPr>
          <w:p w14:paraId="65761152" w14:textId="40BAD15C" w:rsidR="00C660AB" w:rsidRDefault="00C660AB" w:rsidP="00C660AB">
            <w:r w:rsidRPr="00D079EC">
              <w:t>Continuous emission monitoring system</w:t>
            </w:r>
          </w:p>
        </w:tc>
      </w:tr>
      <w:tr w:rsidR="00C660AB" w14:paraId="5D315D0C" w14:textId="77777777" w:rsidTr="00C15627">
        <w:trPr>
          <w:cantSplit/>
          <w:tblHeader/>
        </w:trPr>
        <w:tc>
          <w:tcPr>
            <w:tcW w:w="1530" w:type="dxa"/>
          </w:tcPr>
          <w:p w14:paraId="35A15528" w14:textId="59FE98BA" w:rsidR="00C660AB" w:rsidRDefault="00C660AB" w:rsidP="00C660AB">
            <w:r w:rsidRPr="00D079EC">
              <w:t>NONE</w:t>
            </w:r>
          </w:p>
        </w:tc>
        <w:tc>
          <w:tcPr>
            <w:tcW w:w="9260" w:type="dxa"/>
          </w:tcPr>
          <w:p w14:paraId="094CAA63" w14:textId="1735FD67" w:rsidR="00C660AB" w:rsidRDefault="00C660AB" w:rsidP="00C660AB">
            <w:r w:rsidRPr="00D079EC">
              <w:t>No SO</w:t>
            </w:r>
            <w:r w:rsidRPr="00D079EC">
              <w:rPr>
                <w:vertAlign w:val="subscript"/>
              </w:rPr>
              <w:t>2</w:t>
            </w:r>
            <w:r w:rsidRPr="00D079EC">
              <w:t xml:space="preserve"> monitoring (not applicable if the low sulfur exemption applies)</w:t>
            </w:r>
          </w:p>
        </w:tc>
      </w:tr>
    </w:tbl>
    <w:p w14:paraId="019F32EF" w14:textId="77777777" w:rsidR="00146948" w:rsidRDefault="00146948" w:rsidP="00C660AB">
      <w:pPr>
        <w:sectPr w:rsidR="00146948" w:rsidSect="0031268E">
          <w:pgSz w:w="12240" w:h="15840" w:code="1"/>
          <w:pgMar w:top="720" w:right="720" w:bottom="720" w:left="720" w:header="720" w:footer="720" w:gutter="0"/>
          <w:cols w:space="720"/>
          <w:titlePg/>
          <w:docGrid w:linePitch="360"/>
        </w:sectPr>
      </w:pPr>
    </w:p>
    <w:p w14:paraId="670F85B9" w14:textId="77777777" w:rsidR="00F861CF" w:rsidRPr="00E201AC" w:rsidRDefault="00F861CF" w:rsidP="00E201AC">
      <w:pPr>
        <w:pStyle w:val="APDStrong"/>
      </w:pPr>
      <w:r w:rsidRPr="00E201AC">
        <w:lastRenderedPageBreak/>
        <w:t>Technology Type:</w:t>
      </w:r>
    </w:p>
    <w:p w14:paraId="598A04F0" w14:textId="77777777" w:rsidR="00F861CF" w:rsidRDefault="00F861CF" w:rsidP="00E201AC">
      <w:pPr>
        <w:pStyle w:val="APDBodyText"/>
      </w:pPr>
      <w:r w:rsidRPr="00E201AC">
        <w:t>Select one of the following technology type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C8065F" w14:paraId="2A29457F" w14:textId="77777777" w:rsidTr="00C8065F">
        <w:trPr>
          <w:cantSplit/>
          <w:tblHeader/>
        </w:trPr>
        <w:tc>
          <w:tcPr>
            <w:tcW w:w="1530" w:type="dxa"/>
          </w:tcPr>
          <w:p w14:paraId="7565CEEB" w14:textId="73A54D77" w:rsidR="00C8065F" w:rsidRPr="00C8065F" w:rsidRDefault="00C8065F" w:rsidP="00C8065F">
            <w:pPr>
              <w:rPr>
                <w:b/>
                <w:bCs/>
              </w:rPr>
            </w:pPr>
            <w:r w:rsidRPr="00C8065F">
              <w:rPr>
                <w:b/>
                <w:bCs/>
              </w:rPr>
              <w:t>Code</w:t>
            </w:r>
          </w:p>
        </w:tc>
        <w:tc>
          <w:tcPr>
            <w:tcW w:w="8550" w:type="dxa"/>
          </w:tcPr>
          <w:p w14:paraId="5DC00268" w14:textId="2799D03C" w:rsidR="00C8065F" w:rsidRPr="00C8065F" w:rsidRDefault="00C8065F" w:rsidP="00C8065F">
            <w:pPr>
              <w:rPr>
                <w:b/>
                <w:bCs/>
              </w:rPr>
            </w:pPr>
            <w:r w:rsidRPr="00C8065F">
              <w:rPr>
                <w:b/>
                <w:bCs/>
              </w:rPr>
              <w:t>Description</w:t>
            </w:r>
          </w:p>
        </w:tc>
      </w:tr>
      <w:tr w:rsidR="00C8065F" w14:paraId="5E70CF22" w14:textId="77777777" w:rsidTr="00C8065F">
        <w:trPr>
          <w:cantSplit/>
          <w:tblHeader/>
        </w:trPr>
        <w:tc>
          <w:tcPr>
            <w:tcW w:w="1530" w:type="dxa"/>
          </w:tcPr>
          <w:p w14:paraId="0C5BDA54" w14:textId="52D646F7" w:rsidR="00C8065F" w:rsidRDefault="00C8065F" w:rsidP="00C8065F">
            <w:r w:rsidRPr="001C2521">
              <w:t>FLDBD</w:t>
            </w:r>
          </w:p>
        </w:tc>
        <w:tc>
          <w:tcPr>
            <w:tcW w:w="8550" w:type="dxa"/>
          </w:tcPr>
          <w:p w14:paraId="3AD37D0A" w14:textId="016D6247" w:rsidR="00C8065F" w:rsidRDefault="00C8065F" w:rsidP="00C8065F">
            <w:r w:rsidRPr="001C2521">
              <w:t>Fluidized bed combustion (conventional technology)</w:t>
            </w:r>
          </w:p>
        </w:tc>
      </w:tr>
      <w:tr w:rsidR="00C8065F" w14:paraId="696B823B" w14:textId="77777777" w:rsidTr="00C8065F">
        <w:trPr>
          <w:cantSplit/>
          <w:tblHeader/>
        </w:trPr>
        <w:tc>
          <w:tcPr>
            <w:tcW w:w="1530" w:type="dxa"/>
          </w:tcPr>
          <w:p w14:paraId="28C737C6" w14:textId="5C5FEA86" w:rsidR="00C8065F" w:rsidRDefault="00C8065F" w:rsidP="00C8065F">
            <w:r w:rsidRPr="001C2521">
              <w:t>DESLF</w:t>
            </w:r>
          </w:p>
        </w:tc>
        <w:tc>
          <w:tcPr>
            <w:tcW w:w="8550" w:type="dxa"/>
          </w:tcPr>
          <w:p w14:paraId="7DB37A65" w14:textId="66B50160" w:rsidR="00C8065F" w:rsidRDefault="00C8065F" w:rsidP="00C8065F">
            <w:r w:rsidRPr="001C2521">
              <w:t>Flue gas desulfurization service (conventional technology)</w:t>
            </w:r>
          </w:p>
        </w:tc>
      </w:tr>
      <w:tr w:rsidR="00C8065F" w14:paraId="26AE9A0F" w14:textId="77777777" w:rsidTr="00C8065F">
        <w:trPr>
          <w:cantSplit/>
          <w:tblHeader/>
        </w:trPr>
        <w:tc>
          <w:tcPr>
            <w:tcW w:w="1530" w:type="dxa"/>
          </w:tcPr>
          <w:p w14:paraId="5C6FEFEB" w14:textId="4902BE5B" w:rsidR="00C8065F" w:rsidRDefault="00C8065F" w:rsidP="00C8065F">
            <w:r w:rsidRPr="001C2521">
              <w:t>EMRG+</w:t>
            </w:r>
          </w:p>
        </w:tc>
        <w:tc>
          <w:tcPr>
            <w:tcW w:w="8550" w:type="dxa"/>
          </w:tcPr>
          <w:p w14:paraId="4D53E615" w14:textId="094D73EA" w:rsidR="00C8065F" w:rsidRDefault="00C8065F" w:rsidP="00C8065F">
            <w:r w:rsidRPr="001C2521">
              <w:t>Emerging technology with fuel pretreatment</w:t>
            </w:r>
          </w:p>
        </w:tc>
      </w:tr>
      <w:tr w:rsidR="00C8065F" w14:paraId="5A186102" w14:textId="77777777" w:rsidTr="00C8065F">
        <w:trPr>
          <w:cantSplit/>
          <w:tblHeader/>
        </w:trPr>
        <w:tc>
          <w:tcPr>
            <w:tcW w:w="1530" w:type="dxa"/>
          </w:tcPr>
          <w:p w14:paraId="1358F08B" w14:textId="7B649D17" w:rsidR="00C8065F" w:rsidRDefault="00C8065F" w:rsidP="00C8065F">
            <w:r w:rsidRPr="001C2521">
              <w:t>EMRG-</w:t>
            </w:r>
          </w:p>
        </w:tc>
        <w:tc>
          <w:tcPr>
            <w:tcW w:w="8550" w:type="dxa"/>
          </w:tcPr>
          <w:p w14:paraId="5610B5B9" w14:textId="5DEB6753" w:rsidR="00C8065F" w:rsidRDefault="00C8065F" w:rsidP="00C8065F">
            <w:r w:rsidRPr="001C2521">
              <w:t>Emerging technology without fuel pretreatment</w:t>
            </w:r>
          </w:p>
        </w:tc>
      </w:tr>
      <w:tr w:rsidR="00C8065F" w14:paraId="2AC67311" w14:textId="77777777" w:rsidTr="00C8065F">
        <w:trPr>
          <w:cantSplit/>
          <w:tblHeader/>
        </w:trPr>
        <w:tc>
          <w:tcPr>
            <w:tcW w:w="1530" w:type="dxa"/>
          </w:tcPr>
          <w:p w14:paraId="744E6BA8" w14:textId="2AE7D19E" w:rsidR="00C8065F" w:rsidRDefault="00C8065F" w:rsidP="00C8065F">
            <w:r w:rsidRPr="001C2521">
              <w:t>CONV</w:t>
            </w:r>
          </w:p>
        </w:tc>
        <w:tc>
          <w:tcPr>
            <w:tcW w:w="8550" w:type="dxa"/>
          </w:tcPr>
          <w:p w14:paraId="7F84F560" w14:textId="1A61548C" w:rsidR="00C8065F" w:rsidRDefault="00C8065F" w:rsidP="00C8065F">
            <w:r w:rsidRPr="001C2521">
              <w:t>Other conventional technology</w:t>
            </w:r>
          </w:p>
        </w:tc>
      </w:tr>
      <w:tr w:rsidR="00C8065F" w14:paraId="189DE270" w14:textId="77777777" w:rsidTr="00C8065F">
        <w:trPr>
          <w:cantSplit/>
          <w:tblHeader/>
        </w:trPr>
        <w:tc>
          <w:tcPr>
            <w:tcW w:w="1530" w:type="dxa"/>
          </w:tcPr>
          <w:p w14:paraId="1A390B26" w14:textId="22F5308A" w:rsidR="00C8065F" w:rsidRDefault="00C8065F" w:rsidP="00C8065F">
            <w:r w:rsidRPr="001C2521">
              <w:t>NONE</w:t>
            </w:r>
          </w:p>
        </w:tc>
        <w:tc>
          <w:tcPr>
            <w:tcW w:w="8550" w:type="dxa"/>
          </w:tcPr>
          <w:p w14:paraId="196D7E95" w14:textId="59C68D86" w:rsidR="00C8065F" w:rsidRDefault="00C8065F" w:rsidP="00C8065F">
            <w:r w:rsidRPr="001C2521">
              <w:t>No emerging or conventional technology is used to reduce or control SO</w:t>
            </w:r>
            <w:r w:rsidR="00131C2B" w:rsidRPr="00131C2B">
              <w:rPr>
                <w:vertAlign w:val="subscript"/>
              </w:rPr>
              <w:t>2</w:t>
            </w:r>
            <w:r w:rsidRPr="001C2521">
              <w:t xml:space="preserve"> emissions</w:t>
            </w:r>
          </w:p>
        </w:tc>
      </w:tr>
    </w:tbl>
    <w:p w14:paraId="5F984668" w14:textId="77777777" w:rsidR="00F861CF" w:rsidRPr="00E201AC" w:rsidRDefault="00F861CF" w:rsidP="00520A71">
      <w:pPr>
        <w:pStyle w:val="APDStrong"/>
        <w:spacing w:before="120"/>
      </w:pPr>
      <w:r w:rsidRPr="00E201AC">
        <w:t>Unit Type:</w:t>
      </w:r>
    </w:p>
    <w:p w14:paraId="6FD1DCA5" w14:textId="77777777" w:rsidR="00F861CF" w:rsidRDefault="00F861CF" w:rsidP="00E201AC">
      <w:pPr>
        <w:pStyle w:val="APDBodyText"/>
      </w:pPr>
      <w:r w:rsidRPr="00E201AC">
        <w:t>Select one of the following unit type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021ECC" w14:paraId="7FC9D1C5" w14:textId="77777777" w:rsidTr="00702DE2">
        <w:trPr>
          <w:cantSplit/>
          <w:tblHeader/>
        </w:trPr>
        <w:tc>
          <w:tcPr>
            <w:tcW w:w="1530" w:type="dxa"/>
          </w:tcPr>
          <w:p w14:paraId="284D4D70" w14:textId="565635FF" w:rsidR="00021ECC" w:rsidRDefault="00021ECC" w:rsidP="00021ECC">
            <w:r w:rsidRPr="00D50D47">
              <w:t>Code</w:t>
            </w:r>
          </w:p>
        </w:tc>
        <w:tc>
          <w:tcPr>
            <w:tcW w:w="8550" w:type="dxa"/>
          </w:tcPr>
          <w:p w14:paraId="38A07C35" w14:textId="44626110" w:rsidR="00021ECC" w:rsidRDefault="00021ECC" w:rsidP="00021ECC">
            <w:r w:rsidRPr="00D50D47">
              <w:t>Description</w:t>
            </w:r>
          </w:p>
        </w:tc>
      </w:tr>
      <w:tr w:rsidR="00021ECC" w14:paraId="03C9D09F" w14:textId="77777777" w:rsidTr="00702DE2">
        <w:trPr>
          <w:cantSplit/>
          <w:tblHeader/>
        </w:trPr>
        <w:tc>
          <w:tcPr>
            <w:tcW w:w="1530" w:type="dxa"/>
          </w:tcPr>
          <w:p w14:paraId="7C816E92" w14:textId="0D326C19" w:rsidR="00021ECC" w:rsidRDefault="00021ECC" w:rsidP="00021ECC">
            <w:r w:rsidRPr="00D50D47">
              <w:t>FDSTK</w:t>
            </w:r>
          </w:p>
        </w:tc>
        <w:tc>
          <w:tcPr>
            <w:tcW w:w="8550" w:type="dxa"/>
          </w:tcPr>
          <w:p w14:paraId="0C7BC88F" w14:textId="6269A0EB" w:rsidR="00021ECC" w:rsidRDefault="00021ECC" w:rsidP="00021ECC">
            <w:r w:rsidRPr="00D50D47">
              <w:t>Mass feed stoker</w:t>
            </w:r>
          </w:p>
        </w:tc>
      </w:tr>
      <w:tr w:rsidR="00021ECC" w14:paraId="6BF06644" w14:textId="77777777" w:rsidTr="00702DE2">
        <w:trPr>
          <w:cantSplit/>
          <w:tblHeader/>
        </w:trPr>
        <w:tc>
          <w:tcPr>
            <w:tcW w:w="1530" w:type="dxa"/>
          </w:tcPr>
          <w:p w14:paraId="70551FDA" w14:textId="094F4D29" w:rsidR="00021ECC" w:rsidRDefault="00021ECC" w:rsidP="00021ECC">
            <w:r w:rsidRPr="00D50D47">
              <w:t>SPDSTK</w:t>
            </w:r>
          </w:p>
        </w:tc>
        <w:tc>
          <w:tcPr>
            <w:tcW w:w="8550" w:type="dxa"/>
          </w:tcPr>
          <w:p w14:paraId="0CB3E1F7" w14:textId="424FE60D" w:rsidR="00021ECC" w:rsidRDefault="00021ECC" w:rsidP="00021ECC">
            <w:r w:rsidRPr="00D50D47">
              <w:t>Spreader stoker</w:t>
            </w:r>
          </w:p>
        </w:tc>
      </w:tr>
      <w:tr w:rsidR="00021ECC" w14:paraId="2AE5A2EC" w14:textId="77777777" w:rsidTr="00702DE2">
        <w:trPr>
          <w:cantSplit/>
          <w:tblHeader/>
        </w:trPr>
        <w:tc>
          <w:tcPr>
            <w:tcW w:w="1530" w:type="dxa"/>
          </w:tcPr>
          <w:p w14:paraId="00903EFC" w14:textId="0E39577E" w:rsidR="00021ECC" w:rsidRDefault="00021ECC" w:rsidP="00021ECC">
            <w:r w:rsidRPr="00D50D47">
              <w:t>DCTBRN1</w:t>
            </w:r>
          </w:p>
        </w:tc>
        <w:tc>
          <w:tcPr>
            <w:tcW w:w="8550" w:type="dxa"/>
          </w:tcPr>
          <w:p w14:paraId="38CCFBD3" w14:textId="48DE3D49" w:rsidR="00021ECC" w:rsidRDefault="00021ECC" w:rsidP="00021ECC">
            <w:r w:rsidRPr="00D50D47">
              <w:t>Duct burner as part of combined cycle system (compliance with NOx limitations is determined by conducting a performance test)</w:t>
            </w:r>
          </w:p>
        </w:tc>
      </w:tr>
      <w:tr w:rsidR="00021ECC" w14:paraId="2B441DF7" w14:textId="77777777" w:rsidTr="00702DE2">
        <w:trPr>
          <w:cantSplit/>
          <w:tblHeader/>
        </w:trPr>
        <w:tc>
          <w:tcPr>
            <w:tcW w:w="1530" w:type="dxa"/>
          </w:tcPr>
          <w:p w14:paraId="46A811CC" w14:textId="10E2026C" w:rsidR="00021ECC" w:rsidRDefault="00021ECC" w:rsidP="00021ECC">
            <w:r w:rsidRPr="00D50D47">
              <w:t>DCTBRN2</w:t>
            </w:r>
          </w:p>
        </w:tc>
        <w:tc>
          <w:tcPr>
            <w:tcW w:w="8550" w:type="dxa"/>
          </w:tcPr>
          <w:p w14:paraId="38BFA5B0" w14:textId="4983A819" w:rsidR="00021ECC" w:rsidRDefault="00021ECC" w:rsidP="00021ECC">
            <w:r w:rsidRPr="00D50D47">
              <w:t>Duct burner as part of combined cycle system (compliance on a 30-day rolling average basis determined by using a continuous emission monitoring system)</w:t>
            </w:r>
          </w:p>
        </w:tc>
      </w:tr>
      <w:tr w:rsidR="00021ECC" w14:paraId="51F8F6F6" w14:textId="77777777" w:rsidTr="00702DE2">
        <w:trPr>
          <w:cantSplit/>
          <w:tblHeader/>
        </w:trPr>
        <w:tc>
          <w:tcPr>
            <w:tcW w:w="1530" w:type="dxa"/>
          </w:tcPr>
          <w:p w14:paraId="6F3E5C14" w14:textId="5AD4B021" w:rsidR="00021ECC" w:rsidRDefault="00021ECC" w:rsidP="00021ECC">
            <w:r w:rsidRPr="00D50D47">
              <w:t>SLGTP</w:t>
            </w:r>
          </w:p>
        </w:tc>
        <w:tc>
          <w:tcPr>
            <w:tcW w:w="8550" w:type="dxa"/>
          </w:tcPr>
          <w:p w14:paraId="465F52D1" w14:textId="2C75D528" w:rsidR="00021ECC" w:rsidRDefault="00021ECC" w:rsidP="00021ECC">
            <w:r w:rsidRPr="00D50D47">
              <w:t>Slag tap furnace</w:t>
            </w:r>
          </w:p>
        </w:tc>
      </w:tr>
      <w:tr w:rsidR="00021ECC" w14:paraId="655C2BAC" w14:textId="77777777" w:rsidTr="00702DE2">
        <w:trPr>
          <w:cantSplit/>
          <w:tblHeader/>
        </w:trPr>
        <w:tc>
          <w:tcPr>
            <w:tcW w:w="1530" w:type="dxa"/>
          </w:tcPr>
          <w:p w14:paraId="57272FCE" w14:textId="3F7F19FA" w:rsidR="00021ECC" w:rsidRDefault="00021ECC" w:rsidP="00021ECC">
            <w:r w:rsidRPr="00D50D47">
              <w:t>OTHER</w:t>
            </w:r>
          </w:p>
        </w:tc>
        <w:tc>
          <w:tcPr>
            <w:tcW w:w="8550" w:type="dxa"/>
          </w:tcPr>
          <w:p w14:paraId="1561D605" w14:textId="0A145960" w:rsidR="00021ECC" w:rsidRDefault="00021ECC" w:rsidP="00021ECC">
            <w:r w:rsidRPr="00D50D47">
              <w:t>Other unit type</w:t>
            </w:r>
          </w:p>
        </w:tc>
      </w:tr>
    </w:tbl>
    <w:p w14:paraId="62F5B267" w14:textId="7364554C" w:rsidR="00F861CF" w:rsidRPr="00EF0801" w:rsidRDefault="00F861CF" w:rsidP="008072A8">
      <w:pPr>
        <w:pStyle w:val="APDCompleteStar"/>
      </w:pPr>
      <w:r w:rsidRPr="00EF0801">
        <w:t>Complete “Heat Release Rate” only if “Unit Type” is “FDSTK,” SPDSTK,” “SLGTP,” or “OTHER” and “D</w:t>
      </w:r>
      <w:r w:rsidR="001F6F67">
        <w:t> </w:t>
      </w:r>
      <w:r w:rsidRPr="00EF0801">
        <w:t>series Fuel Type” is, alone or in combination, “NG,” “DOIL,” “DOILLSO3,” “DOILLSO5,” “ROIL,” “ROILLSO3,” “ROILLSO5,” “RO30+,” “RO30+LSO3,” or “RO30+LSO5.”</w:t>
      </w:r>
    </w:p>
    <w:p w14:paraId="06CA156E" w14:textId="77777777" w:rsidR="00F861CF" w:rsidRPr="00E201AC" w:rsidRDefault="00F861CF" w:rsidP="00E201AC">
      <w:pPr>
        <w:pStyle w:val="APDStrong"/>
      </w:pPr>
      <w:r w:rsidRPr="00E201AC">
        <w:t>Heat Release Rate:</w:t>
      </w:r>
    </w:p>
    <w:p w14:paraId="11A4C1AE" w14:textId="77777777" w:rsidR="00F861CF" w:rsidRDefault="00F861CF" w:rsidP="00E201AC">
      <w:pPr>
        <w:pStyle w:val="APDBodyText"/>
      </w:pPr>
      <w:r w:rsidRPr="00E201AC">
        <w:t>Select one of the following options for heat release rate. Enter the code on the form for each fuel-firing option.</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2B06A9" w14:paraId="592798DA" w14:textId="77777777" w:rsidTr="002B06A9">
        <w:trPr>
          <w:cantSplit/>
          <w:tblHeader/>
        </w:trPr>
        <w:tc>
          <w:tcPr>
            <w:tcW w:w="1530" w:type="dxa"/>
          </w:tcPr>
          <w:p w14:paraId="2975E9F8" w14:textId="182404C6" w:rsidR="002B06A9" w:rsidRPr="002B06A9" w:rsidRDefault="002B06A9" w:rsidP="002B06A9">
            <w:pPr>
              <w:rPr>
                <w:b/>
                <w:bCs/>
              </w:rPr>
            </w:pPr>
            <w:r w:rsidRPr="002B06A9">
              <w:rPr>
                <w:b/>
                <w:bCs/>
              </w:rPr>
              <w:t>Code</w:t>
            </w:r>
          </w:p>
        </w:tc>
        <w:tc>
          <w:tcPr>
            <w:tcW w:w="8550" w:type="dxa"/>
          </w:tcPr>
          <w:p w14:paraId="2B9DA09E" w14:textId="38D7F174" w:rsidR="002B06A9" w:rsidRPr="002B06A9" w:rsidRDefault="002B06A9" w:rsidP="002B06A9">
            <w:pPr>
              <w:rPr>
                <w:b/>
                <w:bCs/>
              </w:rPr>
            </w:pPr>
            <w:r w:rsidRPr="002B06A9">
              <w:rPr>
                <w:b/>
                <w:bCs/>
              </w:rPr>
              <w:t>Description</w:t>
            </w:r>
          </w:p>
        </w:tc>
      </w:tr>
      <w:tr w:rsidR="002B06A9" w14:paraId="48A600DC" w14:textId="77777777" w:rsidTr="002B06A9">
        <w:trPr>
          <w:cantSplit/>
          <w:tblHeader/>
        </w:trPr>
        <w:tc>
          <w:tcPr>
            <w:tcW w:w="1530" w:type="dxa"/>
          </w:tcPr>
          <w:p w14:paraId="5F1FB9A9" w14:textId="4F56BA98" w:rsidR="002B06A9" w:rsidRDefault="002B06A9" w:rsidP="002B06A9">
            <w:r w:rsidRPr="00FF59E0">
              <w:t>NGLOW</w:t>
            </w:r>
          </w:p>
        </w:tc>
        <w:tc>
          <w:tcPr>
            <w:tcW w:w="8550" w:type="dxa"/>
          </w:tcPr>
          <w:p w14:paraId="5F2279C2" w14:textId="4D412FAF" w:rsidR="002B06A9" w:rsidRDefault="002B06A9" w:rsidP="002B06A9">
            <w:r w:rsidRPr="00FF59E0">
              <w:t>Natural gas with a heat release rate less than or equal to 70 MBtu/hr/ft3</w:t>
            </w:r>
          </w:p>
        </w:tc>
      </w:tr>
      <w:tr w:rsidR="002B06A9" w14:paraId="47B4CF8C" w14:textId="77777777" w:rsidTr="002B06A9">
        <w:trPr>
          <w:cantSplit/>
          <w:tblHeader/>
        </w:trPr>
        <w:tc>
          <w:tcPr>
            <w:tcW w:w="1530" w:type="dxa"/>
          </w:tcPr>
          <w:p w14:paraId="237BDBA7" w14:textId="58CF3DF1" w:rsidR="002B06A9" w:rsidRDefault="002B06A9" w:rsidP="002B06A9">
            <w:r w:rsidRPr="00FF59E0">
              <w:t>NGHIGH</w:t>
            </w:r>
          </w:p>
        </w:tc>
        <w:tc>
          <w:tcPr>
            <w:tcW w:w="8550" w:type="dxa"/>
          </w:tcPr>
          <w:p w14:paraId="61A66670" w14:textId="21881993" w:rsidR="002B06A9" w:rsidRDefault="002B06A9" w:rsidP="002B06A9">
            <w:r w:rsidRPr="00FF59E0">
              <w:t>Natural gas with a heat release rate greater than 70 MBtu/hr/ft3</w:t>
            </w:r>
          </w:p>
        </w:tc>
      </w:tr>
      <w:tr w:rsidR="002B06A9" w14:paraId="0F4CDA43" w14:textId="77777777" w:rsidTr="002B06A9">
        <w:trPr>
          <w:cantSplit/>
          <w:tblHeader/>
        </w:trPr>
        <w:tc>
          <w:tcPr>
            <w:tcW w:w="1530" w:type="dxa"/>
          </w:tcPr>
          <w:p w14:paraId="7E8B072C" w14:textId="7D49D9C4" w:rsidR="002B06A9" w:rsidRDefault="002B06A9" w:rsidP="002B06A9">
            <w:r w:rsidRPr="00FF59E0">
              <w:t>ROLOW</w:t>
            </w:r>
          </w:p>
        </w:tc>
        <w:tc>
          <w:tcPr>
            <w:tcW w:w="8550" w:type="dxa"/>
          </w:tcPr>
          <w:p w14:paraId="369F109B" w14:textId="15342B58" w:rsidR="002B06A9" w:rsidRDefault="002B06A9" w:rsidP="002B06A9">
            <w:r w:rsidRPr="00FF59E0">
              <w:t>Residual oil with a heat release rate less than or equal to 70 Mbtu/hr/ft3</w:t>
            </w:r>
          </w:p>
        </w:tc>
      </w:tr>
      <w:tr w:rsidR="002B06A9" w14:paraId="54E40594" w14:textId="77777777" w:rsidTr="002B06A9">
        <w:trPr>
          <w:cantSplit/>
          <w:tblHeader/>
        </w:trPr>
        <w:tc>
          <w:tcPr>
            <w:tcW w:w="1530" w:type="dxa"/>
          </w:tcPr>
          <w:p w14:paraId="125DE88D" w14:textId="0D6F7B41" w:rsidR="002B06A9" w:rsidRDefault="002B06A9" w:rsidP="002B06A9">
            <w:r w:rsidRPr="00FF59E0">
              <w:t>ROHIGH</w:t>
            </w:r>
          </w:p>
        </w:tc>
        <w:tc>
          <w:tcPr>
            <w:tcW w:w="8550" w:type="dxa"/>
          </w:tcPr>
          <w:p w14:paraId="37AF2325" w14:textId="08D82D81" w:rsidR="002B06A9" w:rsidRDefault="002B06A9" w:rsidP="002B06A9">
            <w:r w:rsidRPr="00FF59E0">
              <w:t>Residual oil with a heat release rate greater than 70 MBtu/hr/ft3</w:t>
            </w:r>
          </w:p>
        </w:tc>
      </w:tr>
      <w:tr w:rsidR="002B06A9" w14:paraId="7CBF1B91" w14:textId="77777777" w:rsidTr="002B06A9">
        <w:trPr>
          <w:cantSplit/>
          <w:tblHeader/>
        </w:trPr>
        <w:tc>
          <w:tcPr>
            <w:tcW w:w="1530" w:type="dxa"/>
          </w:tcPr>
          <w:p w14:paraId="4AB6CF03" w14:textId="68566CE0" w:rsidR="002B06A9" w:rsidRDefault="002B06A9" w:rsidP="002B06A9">
            <w:r w:rsidRPr="00FF59E0">
              <w:t>DOLOW</w:t>
            </w:r>
          </w:p>
        </w:tc>
        <w:tc>
          <w:tcPr>
            <w:tcW w:w="8550" w:type="dxa"/>
          </w:tcPr>
          <w:p w14:paraId="62309488" w14:textId="569BC45C" w:rsidR="002B06A9" w:rsidRDefault="002B06A9" w:rsidP="002B06A9">
            <w:r w:rsidRPr="00FF59E0">
              <w:t>Distillate oil with a heat release rate less than or equal to 70 Mbtu/hr/ft3</w:t>
            </w:r>
          </w:p>
        </w:tc>
      </w:tr>
      <w:tr w:rsidR="002B06A9" w14:paraId="30ECDC7A" w14:textId="77777777" w:rsidTr="002B06A9">
        <w:trPr>
          <w:cantSplit/>
          <w:tblHeader/>
        </w:trPr>
        <w:tc>
          <w:tcPr>
            <w:tcW w:w="1530" w:type="dxa"/>
          </w:tcPr>
          <w:p w14:paraId="4A9174AC" w14:textId="30C8E859" w:rsidR="002B06A9" w:rsidRDefault="002B06A9" w:rsidP="002B06A9">
            <w:r w:rsidRPr="00FF59E0">
              <w:t>DOHIGH</w:t>
            </w:r>
          </w:p>
        </w:tc>
        <w:tc>
          <w:tcPr>
            <w:tcW w:w="8550" w:type="dxa"/>
          </w:tcPr>
          <w:p w14:paraId="4935D302" w14:textId="26865987" w:rsidR="002B06A9" w:rsidRDefault="002B06A9" w:rsidP="002B06A9">
            <w:r w:rsidRPr="00FF59E0">
              <w:t>Distillate oil with a heat release rate greater than 70 MBtu/hr/ft3</w:t>
            </w:r>
          </w:p>
        </w:tc>
      </w:tr>
    </w:tbl>
    <w:p w14:paraId="649C2518" w14:textId="77777777" w:rsidR="00F861CF" w:rsidRPr="00EF0801" w:rsidRDefault="00F861CF" w:rsidP="00390EE3">
      <w:pPr>
        <w:pStyle w:val="APDCompleteStar"/>
      </w:pPr>
      <w:r w:rsidRPr="00EF0801">
        <w:t>Complete “Heat Input Gas/Oil” only if “Construction/Modification Date” is “97-05CR” or “05+CR.” and “Heat Release Rate” is “NGLOW” or “DOLOW.”</w:t>
      </w:r>
    </w:p>
    <w:p w14:paraId="5547F072" w14:textId="77777777" w:rsidR="00F861CF" w:rsidRPr="007E745E" w:rsidRDefault="00F861CF" w:rsidP="007E745E">
      <w:pPr>
        <w:pStyle w:val="APDStrong"/>
      </w:pPr>
      <w:r w:rsidRPr="007E745E">
        <w:t>Heat Input Gas/Oil:</w:t>
      </w:r>
    </w:p>
    <w:p w14:paraId="43E02061" w14:textId="30104A09" w:rsidR="00F861CF" w:rsidRPr="00B65973" w:rsidRDefault="00F861CF" w:rsidP="00B65973">
      <w:pPr>
        <w:pStyle w:val="APDBodyText"/>
      </w:pPr>
      <w:r w:rsidRPr="00B65973">
        <w:t>Enter “</w:t>
      </w:r>
      <w:r w:rsidR="00B42127">
        <w:t>YES</w:t>
      </w:r>
      <w:r w:rsidRPr="00B65973">
        <w:t>” if the facility combusts natural gas or distillate oil in excess of 30 % of the heat input from the combustion of all fuels. Otherwise, enter “</w:t>
      </w:r>
      <w:r w:rsidR="00B42127">
        <w:t>NO</w:t>
      </w:r>
      <w:r w:rsidRPr="00B65973">
        <w:t>.”</w:t>
      </w:r>
    </w:p>
    <w:p w14:paraId="0846F059" w14:textId="77777777" w:rsidR="00F861CF" w:rsidRPr="00312A89" w:rsidRDefault="00F861CF" w:rsidP="00390EE3">
      <w:pPr>
        <w:pStyle w:val="APDCompleteStar"/>
      </w:pPr>
      <w:r w:rsidRPr="00312A89">
        <w:t>Complete “Heat Input Wood” only if “Construction/Modification Date” is “05+M.”</w:t>
      </w:r>
    </w:p>
    <w:p w14:paraId="247F4845" w14:textId="77777777" w:rsidR="00F861CF" w:rsidRPr="007E745E" w:rsidRDefault="00F861CF" w:rsidP="007E745E">
      <w:pPr>
        <w:pStyle w:val="APDStrong"/>
      </w:pPr>
      <w:r w:rsidRPr="007E745E">
        <w:lastRenderedPageBreak/>
        <w:t>Heat Input Wood:</w:t>
      </w:r>
    </w:p>
    <w:p w14:paraId="420452E9" w14:textId="0434C4FA" w:rsidR="00F861CF" w:rsidRPr="00B65973" w:rsidRDefault="00F861CF" w:rsidP="00B65973">
      <w:pPr>
        <w:pStyle w:val="APDBodyText"/>
      </w:pPr>
      <w:r w:rsidRPr="00B65973">
        <w:t>Enter “</w:t>
      </w:r>
      <w:r w:rsidR="00B42127">
        <w:t>YES</w:t>
      </w:r>
      <w:r w:rsidRPr="00B65973">
        <w:t xml:space="preserve">” if the facility </w:t>
      </w:r>
      <w:r w:rsidR="00550F41" w:rsidRPr="00B65973">
        <w:t>combusts</w:t>
      </w:r>
      <w:r w:rsidRPr="00B65973">
        <w:t xml:space="preserve"> over 30% wood by heat input. Otherwise, enter “</w:t>
      </w:r>
      <w:r w:rsidR="00B42127">
        <w:t>NO</w:t>
      </w:r>
      <w:r w:rsidRPr="00B65973">
        <w:t>.”</w:t>
      </w:r>
    </w:p>
    <w:p w14:paraId="3AED984D" w14:textId="77777777" w:rsidR="00F861CF" w:rsidRPr="00312A89" w:rsidRDefault="00F861CF" w:rsidP="00390EE3">
      <w:pPr>
        <w:pStyle w:val="APDCompleteStar"/>
      </w:pPr>
      <w:r w:rsidRPr="00312A89">
        <w:t>Complete “Fuel Heat Input” only if “Unit Type” is “DCTBRN1” or “DCTBRN2” and combusting coal or oil.</w:t>
      </w:r>
    </w:p>
    <w:p w14:paraId="47F88BC7" w14:textId="77777777" w:rsidR="00F861CF" w:rsidRPr="007E745E" w:rsidRDefault="00F861CF" w:rsidP="007E745E">
      <w:pPr>
        <w:pStyle w:val="APDStrong"/>
      </w:pPr>
      <w:r w:rsidRPr="007E745E">
        <w:t>Fuel Heat Input:</w:t>
      </w:r>
    </w:p>
    <w:p w14:paraId="0DA138AC" w14:textId="77777777" w:rsidR="000376C1" w:rsidRDefault="00F861CF" w:rsidP="009301C8">
      <w:pPr>
        <w:pStyle w:val="APDBodyText"/>
        <w:spacing w:after="0"/>
      </w:pPr>
      <w:r w:rsidRPr="00B65973">
        <w:t>Enter “</w:t>
      </w:r>
      <w:r w:rsidR="00B42127">
        <w:t>YES</w:t>
      </w:r>
      <w:r w:rsidRPr="00B65973">
        <w:t xml:space="preserve">” if the heat input is less than or equal to 30% from combustion of coal and oil in the duct burner and heat input is greater than or equal to 70% of the steam generating </w:t>
      </w:r>
      <w:r w:rsidR="000B7D42" w:rsidRPr="00B65973">
        <w:t>unit and</w:t>
      </w:r>
      <w:r w:rsidRPr="00B65973">
        <w:t xml:space="preserve"> is from the exhaust gases entering the duct burner. Otherwise, enter “</w:t>
      </w:r>
      <w:r w:rsidR="00B42127">
        <w:t>NO</w:t>
      </w:r>
      <w:r w:rsidRPr="00B65973">
        <w:t>.”</w:t>
      </w:r>
    </w:p>
    <w:p w14:paraId="6267BB45" w14:textId="77777777" w:rsidR="00F861CF" w:rsidRPr="00EF0801" w:rsidRDefault="00F861CF" w:rsidP="00F861CF">
      <w:pPr>
        <w:pBdr>
          <w:bottom w:val="double" w:sz="6" w:space="1" w:color="auto"/>
        </w:pBdr>
      </w:pPr>
    </w:p>
    <w:bookmarkStart w:id="42" w:name="Table_3e"/>
    <w:p w14:paraId="016A9E82" w14:textId="4F2BDC45" w:rsidR="00F861CF" w:rsidRPr="00EC7EA3" w:rsidRDefault="005F7C62" w:rsidP="00256939">
      <w:pPr>
        <w:pStyle w:val="APDChapterTitles"/>
        <w:rPr>
          <w:rFonts w:eastAsia="Calibri"/>
          <w:szCs w:val="20"/>
        </w:rPr>
      </w:pPr>
      <w:r w:rsidRPr="00336685">
        <w:rPr>
          <w:rStyle w:val="Hyperlink"/>
          <w:rFonts w:eastAsia="Calibri"/>
          <w:b/>
          <w:bCs w:val="0"/>
        </w:rPr>
        <w:fldChar w:fldCharType="begin"/>
      </w:r>
      <w:r w:rsidR="00AB6ED7" w:rsidRPr="00336685">
        <w:rPr>
          <w:rStyle w:val="Hyperlink"/>
          <w:b/>
          <w:bCs w:val="0"/>
        </w:rPr>
        <w:instrText>HYPERLINK  \l "TBL_3e" \o "Table 3e"</w:instrText>
      </w:r>
      <w:r w:rsidRPr="00336685">
        <w:rPr>
          <w:rStyle w:val="Hyperlink"/>
          <w:rFonts w:eastAsia="Calibri"/>
          <w:b/>
          <w:bCs w:val="0"/>
        </w:rPr>
      </w:r>
      <w:r w:rsidRPr="00336685">
        <w:rPr>
          <w:rStyle w:val="Hyperlink"/>
          <w:rFonts w:eastAsia="Calibri"/>
          <w:b/>
          <w:bCs w:val="0"/>
        </w:rPr>
        <w:fldChar w:fldCharType="separate"/>
      </w:r>
      <w:bookmarkStart w:id="43" w:name="_Toc180398497"/>
      <w:bookmarkStart w:id="44" w:name="_Toc180398551"/>
      <w:r w:rsidR="00F861CF" w:rsidRPr="00336685">
        <w:rPr>
          <w:rStyle w:val="Hyperlink"/>
          <w:rFonts w:eastAsia="Calibri"/>
          <w:b/>
          <w:bCs w:val="0"/>
        </w:rPr>
        <w:t>Table 3e</w:t>
      </w:r>
      <w:r w:rsidRPr="00336685">
        <w:rPr>
          <w:rStyle w:val="Hyperlink"/>
          <w:rFonts w:eastAsia="Calibri"/>
          <w:b/>
          <w:bCs w:val="0"/>
        </w:rPr>
        <w:fldChar w:fldCharType="end"/>
      </w:r>
      <w:bookmarkEnd w:id="42"/>
      <w:r w:rsidR="00F861CF" w:rsidRPr="00336685">
        <w:rPr>
          <w:rStyle w:val="Hyperlink"/>
          <w:rFonts w:eastAsia="Calibri"/>
          <w:b/>
          <w:bCs w:val="0"/>
        </w:rPr>
        <w:t>:</w:t>
      </w:r>
      <w:r w:rsidR="00F861CF" w:rsidRPr="00EF0801">
        <w:rPr>
          <w:rFonts w:eastAsia="Calibri"/>
          <w:szCs w:val="20"/>
        </w:rPr>
        <w:tab/>
      </w:r>
      <w:r w:rsidR="00F861CF" w:rsidRPr="00EC7EA3">
        <w:rPr>
          <w:rStyle w:val="APDTableChapterChar"/>
          <w:rFonts w:eastAsia="Calibri"/>
          <w:b/>
        </w:rPr>
        <w:t>Title 40 Code of Federal Regulations Part 60 (40 CFR Part 60)</w:t>
      </w:r>
      <w:r w:rsidR="007B00E9" w:rsidRPr="00EC7EA3">
        <w:rPr>
          <w:rStyle w:val="APDTableChapterChar"/>
          <w:rFonts w:eastAsia="Calibri"/>
          <w:b/>
        </w:rPr>
        <w:t xml:space="preserve">, </w:t>
      </w:r>
      <w:r w:rsidR="00F861CF" w:rsidRPr="00EC7EA3">
        <w:rPr>
          <w:rStyle w:val="APDTableChapterChar"/>
          <w:rFonts w:eastAsia="Calibri"/>
          <w:b/>
        </w:rPr>
        <w:t>Subpart Db: Standards of Performance for Industrial-Commercial-Institutional Steam Generating</w:t>
      </w:r>
      <w:r w:rsidR="007B296C" w:rsidRPr="00EC7EA3">
        <w:rPr>
          <w:rStyle w:val="APDTableChapterChar"/>
          <w:rFonts w:eastAsia="Calibri"/>
          <w:b/>
        </w:rPr>
        <w:t xml:space="preserve"> Units</w:t>
      </w:r>
      <w:bookmarkEnd w:id="43"/>
      <w:bookmarkEnd w:id="44"/>
    </w:p>
    <w:p w14:paraId="724F97EC" w14:textId="5018C03F" w:rsidR="00F861CF" w:rsidRPr="007E745E" w:rsidRDefault="00F861CF" w:rsidP="007E745E">
      <w:pPr>
        <w:pStyle w:val="APDStrong"/>
      </w:pPr>
      <w:r w:rsidRPr="007E745E">
        <w:t xml:space="preserve">Unit ID </w:t>
      </w:r>
      <w:r w:rsidR="00B42127">
        <w:t>N</w:t>
      </w:r>
      <w:r w:rsidR="00DB742C">
        <w:t>o</w:t>
      </w:r>
      <w:r w:rsidRPr="007E745E">
        <w:t>.:</w:t>
      </w:r>
    </w:p>
    <w:p w14:paraId="72842980" w14:textId="6CDB08B6" w:rsidR="00F861CF" w:rsidRPr="00B65973" w:rsidRDefault="00F861CF" w:rsidP="00B65973">
      <w:pPr>
        <w:pStyle w:val="APDBodyText"/>
      </w:pPr>
      <w:r w:rsidRPr="00B65973">
        <w:t xml:space="preserve">Enter the identification number (ID </w:t>
      </w:r>
      <w:r w:rsidR="00B42127">
        <w:t>N</w:t>
      </w:r>
      <w:r w:rsidR="005667BA">
        <w:t>o</w:t>
      </w:r>
      <w:r w:rsidRPr="00B65973">
        <w:t>.) for the unit (maximum 10 characters) as li</w:t>
      </w:r>
      <w:r w:rsidR="00727363" w:rsidRPr="00B65973">
        <w:t>sted on Form OP</w:t>
      </w:r>
      <w:r w:rsidR="00727363" w:rsidRPr="00B65973">
        <w:noBreakHyphen/>
        <w:t>SUM (Individual</w:t>
      </w:r>
      <w:r w:rsidR="00312A89" w:rsidRPr="00B65973">
        <w:t> </w:t>
      </w:r>
      <w:r w:rsidRPr="00B65973">
        <w:t>Unit Summary).</w:t>
      </w:r>
    </w:p>
    <w:p w14:paraId="5339071D" w14:textId="2A41352F" w:rsidR="00F861CF" w:rsidRPr="007E745E" w:rsidRDefault="00F861CF" w:rsidP="007E745E">
      <w:pPr>
        <w:pStyle w:val="APDStrong"/>
      </w:pPr>
      <w:r w:rsidRPr="007E745E">
        <w:t xml:space="preserve">SOP Index </w:t>
      </w:r>
      <w:r w:rsidR="00B42127">
        <w:t>N</w:t>
      </w:r>
      <w:r w:rsidR="00DB742C">
        <w:t>o</w:t>
      </w:r>
      <w:r w:rsidRPr="007E745E">
        <w:t>.:</w:t>
      </w:r>
    </w:p>
    <w:p w14:paraId="58AAD5F7" w14:textId="708198B5" w:rsidR="00775600" w:rsidRPr="00EF0801" w:rsidRDefault="00F861CF" w:rsidP="00B65973">
      <w:pPr>
        <w:pStyle w:val="APDBodyText"/>
      </w:pPr>
      <w:r w:rsidRPr="00B65973">
        <w:t xml:space="preserve">Site operating permit (SOP) applicants should indicate the SOP index number for the </w:t>
      </w:r>
      <w:r w:rsidR="00727363" w:rsidRPr="00B65973">
        <w:t>unit or group of units (maximum</w:t>
      </w:r>
      <w:r w:rsidR="00FB050E" w:rsidRPr="00B65973">
        <w:t> </w:t>
      </w:r>
      <w:r w:rsidR="00727363" w:rsidRPr="00B65973">
        <w:t>15</w:t>
      </w:r>
      <w:r w:rsidR="00FB050E" w:rsidRPr="00B65973">
        <w:t> </w:t>
      </w:r>
      <w:r w:rsidRPr="00B65973">
        <w:t xml:space="preserve">characters consisting of numeric, alphanumeric characters, and/or dashes prefixed by a code for the applicable regulation [i.e., 60KB-XXXX]). For additional information relating to SOP index numbers, </w:t>
      </w:r>
      <w:r w:rsidR="00775600" w:rsidRPr="00B65973">
        <w:t>please see the Completing FOP Applications – Additional Guidance on the TCEQ website at</w:t>
      </w:r>
      <w:r w:rsidR="00775600" w:rsidRPr="00EF0801">
        <w:t xml:space="preserve"> </w:t>
      </w:r>
      <w:hyperlink r:id="rId23" w:tooltip="TCEQ - Completing FOP Applications - Additional Guidance" w:history="1">
        <w:r w:rsidR="00775600" w:rsidRPr="00F47022">
          <w:rPr>
            <w:rStyle w:val="Hyperlink"/>
          </w:rPr>
          <w:t>www.tceq.texas.gov/permitting/air/guidance/titlev/tv_fop_guidance.html</w:t>
        </w:r>
      </w:hyperlink>
      <w:r w:rsidR="00775600" w:rsidRPr="00EF0801">
        <w:t>.</w:t>
      </w:r>
    </w:p>
    <w:p w14:paraId="2A4A4B71" w14:textId="77777777" w:rsidR="00F861CF" w:rsidRPr="00312A89" w:rsidRDefault="00F861CF" w:rsidP="00390EE3">
      <w:pPr>
        <w:pStyle w:val="APDCompleteStar"/>
      </w:pPr>
      <w:r w:rsidRPr="00312A89">
        <w:t>Complete “Alternate Emission Limit” only if “D-Series Fuel Type” is “BPW.”</w:t>
      </w:r>
    </w:p>
    <w:p w14:paraId="7F3D05F0" w14:textId="77777777" w:rsidR="00F861CF" w:rsidRPr="007E745E" w:rsidRDefault="00F861CF" w:rsidP="007E745E">
      <w:pPr>
        <w:pStyle w:val="APDStrong"/>
      </w:pPr>
      <w:r w:rsidRPr="007E745E">
        <w:t>Alternate Emission Limit (AEL):</w:t>
      </w:r>
    </w:p>
    <w:p w14:paraId="6319CADC" w14:textId="60B12FB5" w:rsidR="00F861CF" w:rsidRPr="00B65973" w:rsidRDefault="00F861CF" w:rsidP="00B65973">
      <w:pPr>
        <w:pStyle w:val="APDBodyText"/>
      </w:pPr>
      <w:r w:rsidRPr="00B65973">
        <w:t>Enter “</w:t>
      </w:r>
      <w:r w:rsidR="00B42127">
        <w:t>YES</w:t>
      </w:r>
      <w:r w:rsidRPr="00B65973">
        <w:t>” if the facility combusts byproduct/waste with either natural gas or oil and petitioned the EPA Administrator to establish a NOx emission limit that applies specifically when the byproduct/waste is combusted. Otherwise, enter “</w:t>
      </w:r>
      <w:r w:rsidR="00B42127">
        <w:t>NO</w:t>
      </w:r>
      <w:r w:rsidRPr="00B65973">
        <w:t>.”</w:t>
      </w:r>
    </w:p>
    <w:p w14:paraId="6F8851BB" w14:textId="3F480E31" w:rsidR="00F861CF" w:rsidRPr="007E745E" w:rsidRDefault="00F861CF" w:rsidP="007E745E">
      <w:pPr>
        <w:pStyle w:val="APDStrong"/>
      </w:pPr>
      <w:r w:rsidRPr="007E745E">
        <w:t xml:space="preserve">AEL ID </w:t>
      </w:r>
      <w:r w:rsidR="00B42127">
        <w:t>N</w:t>
      </w:r>
      <w:r w:rsidR="00DB742C">
        <w:t>o</w:t>
      </w:r>
      <w:r w:rsidRPr="007E745E">
        <w:t>.:</w:t>
      </w:r>
    </w:p>
    <w:p w14:paraId="5BB45DC8" w14:textId="1536F19D" w:rsidR="00F861CF" w:rsidRPr="00B65973" w:rsidRDefault="00F861CF" w:rsidP="00B65973">
      <w:pPr>
        <w:pStyle w:val="APDBodyText"/>
      </w:pPr>
      <w:r w:rsidRPr="00B65973">
        <w:t>If an alternate emission limit has been approved, then enter the correspondin</w:t>
      </w:r>
      <w:r w:rsidR="000C31CE" w:rsidRPr="00B65973">
        <w:t>g AEL identification number (ID </w:t>
      </w:r>
      <w:r w:rsidR="00B42127">
        <w:t>N</w:t>
      </w:r>
      <w:r w:rsidR="005667BA">
        <w:t>o</w:t>
      </w:r>
      <w:r w:rsidRPr="00B65973">
        <w:t>.) for each unit or process (maximum 10 characters). If the AEL identification number is unavailable, then enter the date of the approval letter. The identification number and/or the date of the approval letter is contained in the compliance file under the appropriate regulated entity number. Otherwise, leave this column blank.</w:t>
      </w:r>
    </w:p>
    <w:p w14:paraId="2B73EA8B" w14:textId="77777777" w:rsidR="00F861CF" w:rsidRPr="00EF0801" w:rsidRDefault="00F861CF" w:rsidP="00F861CF">
      <w:pPr>
        <w:pBdr>
          <w:bottom w:val="double" w:sz="6" w:space="1" w:color="auto"/>
        </w:pBdr>
      </w:pPr>
    </w:p>
    <w:bookmarkStart w:id="45" w:name="Table_4a"/>
    <w:p w14:paraId="5412BD3D" w14:textId="6E321173" w:rsidR="00F861CF" w:rsidRPr="009845A2" w:rsidRDefault="008B1D7F" w:rsidP="00A85DB6">
      <w:pPr>
        <w:pStyle w:val="APDChapterTitles"/>
      </w:pPr>
      <w:r w:rsidRPr="00336685">
        <w:rPr>
          <w:rStyle w:val="Hyperlink"/>
          <w:b/>
          <w:bCs w:val="0"/>
        </w:rPr>
        <w:fldChar w:fldCharType="begin"/>
      </w:r>
      <w:r w:rsidR="00AB6ED7" w:rsidRPr="00336685">
        <w:rPr>
          <w:rStyle w:val="Hyperlink"/>
          <w:b/>
          <w:bCs w:val="0"/>
        </w:rPr>
        <w:instrText>HYPERLINK  \l "TBL_4a" \o "Table 4a"</w:instrText>
      </w:r>
      <w:r w:rsidRPr="00336685">
        <w:rPr>
          <w:rStyle w:val="Hyperlink"/>
          <w:b/>
          <w:bCs w:val="0"/>
        </w:rPr>
      </w:r>
      <w:r w:rsidRPr="00336685">
        <w:rPr>
          <w:rStyle w:val="Hyperlink"/>
          <w:b/>
          <w:bCs w:val="0"/>
        </w:rPr>
        <w:fldChar w:fldCharType="separate"/>
      </w:r>
      <w:bookmarkStart w:id="46" w:name="_Toc180398498"/>
      <w:bookmarkStart w:id="47" w:name="_Toc180398552"/>
      <w:r w:rsidR="00F861CF" w:rsidRPr="00336685">
        <w:rPr>
          <w:rStyle w:val="Hyperlink"/>
          <w:b/>
          <w:bCs w:val="0"/>
        </w:rPr>
        <w:t>Table 4a</w:t>
      </w:r>
      <w:r w:rsidRPr="00336685">
        <w:rPr>
          <w:rStyle w:val="Hyperlink"/>
          <w:b/>
          <w:bCs w:val="0"/>
        </w:rPr>
        <w:fldChar w:fldCharType="end"/>
      </w:r>
      <w:bookmarkEnd w:id="45"/>
      <w:r w:rsidR="00F861CF" w:rsidRPr="00336685">
        <w:rPr>
          <w:rStyle w:val="Hyperlink"/>
          <w:b/>
          <w:bCs w:val="0"/>
        </w:rPr>
        <w:t>:</w:t>
      </w:r>
      <w:r w:rsidR="00F861CF" w:rsidRPr="00EF0801">
        <w:rPr>
          <w:szCs w:val="20"/>
        </w:rPr>
        <w:tab/>
      </w:r>
      <w:r w:rsidR="00F861CF" w:rsidRPr="009845A2">
        <w:t>Title 40 Code of Federal Regulations Part 60 (40 CFR Part 60)</w:t>
      </w:r>
      <w:r w:rsidR="004062A6" w:rsidRPr="009845A2">
        <w:t xml:space="preserve">, </w:t>
      </w:r>
      <w:r w:rsidR="00F861CF" w:rsidRPr="009845A2">
        <w:t>Subpart Dc:  Standards of Performance for Small Industrial-Commercial-Institutional Steam Generating Units</w:t>
      </w:r>
      <w:bookmarkEnd w:id="46"/>
      <w:bookmarkEnd w:id="47"/>
    </w:p>
    <w:p w14:paraId="6DF2B801" w14:textId="44B88F9A" w:rsidR="00F861CF" w:rsidRPr="00A905D7" w:rsidRDefault="00F861CF" w:rsidP="00A905D7">
      <w:pPr>
        <w:pStyle w:val="APDStrong"/>
      </w:pPr>
      <w:r w:rsidRPr="00A905D7">
        <w:t xml:space="preserve">Unit ID </w:t>
      </w:r>
      <w:r w:rsidR="00B42127">
        <w:t>N</w:t>
      </w:r>
      <w:r w:rsidR="00DB742C">
        <w:t>o</w:t>
      </w:r>
      <w:r w:rsidRPr="00A905D7">
        <w:t>.:</w:t>
      </w:r>
    </w:p>
    <w:p w14:paraId="1389FF51" w14:textId="5DDEEACE" w:rsidR="00F861CF" w:rsidRPr="00A905D7" w:rsidRDefault="00F861CF" w:rsidP="00A905D7">
      <w:pPr>
        <w:pStyle w:val="APDBodyText"/>
      </w:pPr>
      <w:r w:rsidRPr="00A905D7">
        <w:t xml:space="preserve">Enter the identification number (ID </w:t>
      </w:r>
      <w:r w:rsidR="00B42127">
        <w:t>N</w:t>
      </w:r>
      <w:r w:rsidR="005667BA">
        <w:t>o</w:t>
      </w:r>
      <w:r w:rsidRPr="00A905D7">
        <w:t>.) for the unit (maximum 10 characters) as li</w:t>
      </w:r>
      <w:r w:rsidR="00727363" w:rsidRPr="00A905D7">
        <w:t>sted on Form OP</w:t>
      </w:r>
      <w:r w:rsidR="00727363" w:rsidRPr="00A905D7">
        <w:noBreakHyphen/>
        <w:t>SUM (Individual</w:t>
      </w:r>
      <w:r w:rsidR="00FB050E" w:rsidRPr="00A905D7">
        <w:t> </w:t>
      </w:r>
      <w:r w:rsidRPr="00A905D7">
        <w:t>Unit Summary).</w:t>
      </w:r>
    </w:p>
    <w:p w14:paraId="30149121" w14:textId="367952D1" w:rsidR="00F861CF" w:rsidRPr="00A905D7" w:rsidRDefault="00F861CF" w:rsidP="00A905D7">
      <w:pPr>
        <w:pStyle w:val="APDStrong"/>
      </w:pPr>
      <w:r w:rsidRPr="00A905D7">
        <w:t xml:space="preserve">SOP/GOP Index </w:t>
      </w:r>
      <w:r w:rsidR="00B42127">
        <w:t>N</w:t>
      </w:r>
      <w:r w:rsidR="00DB742C">
        <w:t>o</w:t>
      </w:r>
      <w:r w:rsidRPr="00A905D7">
        <w:t>.:</w:t>
      </w:r>
    </w:p>
    <w:p w14:paraId="11A9B0EF" w14:textId="0AB2F302" w:rsidR="00775600" w:rsidRPr="00EF0801" w:rsidRDefault="00F861CF" w:rsidP="00A905D7">
      <w:pPr>
        <w:pStyle w:val="APDBodyText"/>
      </w:pPr>
      <w:bookmarkStart w:id="48" w:name="_Hlk528311033"/>
      <w:r w:rsidRPr="00A905D7">
        <w:t xml:space="preserve">Site operating permit (SOP) applicants should indicate the SOP index number for the </w:t>
      </w:r>
      <w:r w:rsidR="00727363" w:rsidRPr="00A905D7">
        <w:t>unit or group of units (maximum</w:t>
      </w:r>
      <w:r w:rsidR="00FB050E" w:rsidRPr="00A905D7">
        <w:t> </w:t>
      </w:r>
      <w:r w:rsidR="00727363" w:rsidRPr="00A905D7">
        <w:t>15</w:t>
      </w:r>
      <w:r w:rsidR="00FB050E" w:rsidRPr="00A905D7">
        <w:t> </w:t>
      </w:r>
      <w:r w:rsidRPr="00A905D7">
        <w:t xml:space="preserve">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For additional information relating to SOP and GOP index numbers, </w:t>
      </w:r>
      <w:r w:rsidR="00775600" w:rsidRPr="00A905D7">
        <w:t>please see the Completing FOP Applications – Additional Guidance on the TCEQ website at</w:t>
      </w:r>
      <w:r w:rsidR="00775600" w:rsidRPr="00EF0801">
        <w:t xml:space="preserve"> </w:t>
      </w:r>
      <w:hyperlink r:id="rId24" w:tooltip="TCEQ - Completing FOP Applications - Additional Guidance" w:history="1">
        <w:r w:rsidR="00775600" w:rsidRPr="00F47022">
          <w:rPr>
            <w:rStyle w:val="Hyperlink"/>
          </w:rPr>
          <w:t>www.tceq.texas.gov/permitting/air/guidance/titlev/tv_fop_guidance.html</w:t>
        </w:r>
      </w:hyperlink>
      <w:r w:rsidR="00775600" w:rsidRPr="00EF0801">
        <w:t>.</w:t>
      </w:r>
    </w:p>
    <w:bookmarkEnd w:id="48"/>
    <w:p w14:paraId="571FFFDE" w14:textId="77777777" w:rsidR="003C5890" w:rsidRDefault="003C5890" w:rsidP="00A905D7">
      <w:pPr>
        <w:pStyle w:val="APDStrong"/>
        <w:sectPr w:rsidR="003C5890" w:rsidSect="0031268E">
          <w:pgSz w:w="12240" w:h="15840" w:code="1"/>
          <w:pgMar w:top="720" w:right="720" w:bottom="720" w:left="720" w:header="720" w:footer="720" w:gutter="0"/>
          <w:cols w:space="720"/>
          <w:titlePg/>
          <w:docGrid w:linePitch="360"/>
        </w:sectPr>
      </w:pPr>
    </w:p>
    <w:p w14:paraId="3385085A" w14:textId="77777777" w:rsidR="00F861CF" w:rsidRPr="00A905D7" w:rsidRDefault="00F861CF" w:rsidP="00A905D7">
      <w:pPr>
        <w:pStyle w:val="APDStrong"/>
      </w:pPr>
      <w:r w:rsidRPr="00A905D7">
        <w:lastRenderedPageBreak/>
        <w:t>Construction/Modification Date:</w:t>
      </w:r>
    </w:p>
    <w:p w14:paraId="119E33F9" w14:textId="77777777" w:rsidR="00F861CF" w:rsidRDefault="00F861CF" w:rsidP="00A905D7">
      <w:pPr>
        <w:pStyle w:val="APDBodyText"/>
      </w:pPr>
      <w:r w:rsidRPr="00A905D7">
        <w:t>Select one of the following options that describe the date of commencement of the most recent construction, modification, or reconstruction.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CA1901" w14:paraId="72FF2365" w14:textId="77777777" w:rsidTr="003E6E74">
        <w:trPr>
          <w:cantSplit/>
          <w:tblHeader/>
        </w:trPr>
        <w:tc>
          <w:tcPr>
            <w:tcW w:w="1530" w:type="dxa"/>
          </w:tcPr>
          <w:p w14:paraId="2380E415" w14:textId="3081ACA3" w:rsidR="00CA1901" w:rsidRPr="00CA1901" w:rsidRDefault="00CA1901" w:rsidP="00CA1901">
            <w:pPr>
              <w:rPr>
                <w:b/>
                <w:bCs/>
              </w:rPr>
            </w:pPr>
            <w:r w:rsidRPr="00CA1901">
              <w:rPr>
                <w:b/>
                <w:bCs/>
              </w:rPr>
              <w:t>Code</w:t>
            </w:r>
          </w:p>
        </w:tc>
        <w:tc>
          <w:tcPr>
            <w:tcW w:w="8550" w:type="dxa"/>
          </w:tcPr>
          <w:p w14:paraId="22BACAB4" w14:textId="79C8AC92" w:rsidR="00CA1901" w:rsidRPr="00CA1901" w:rsidRDefault="00CA1901" w:rsidP="00CA1901">
            <w:pPr>
              <w:rPr>
                <w:b/>
                <w:bCs/>
              </w:rPr>
            </w:pPr>
            <w:r w:rsidRPr="00CA1901">
              <w:rPr>
                <w:b/>
                <w:bCs/>
              </w:rPr>
              <w:t>Description</w:t>
            </w:r>
          </w:p>
        </w:tc>
      </w:tr>
      <w:tr w:rsidR="00CA1901" w14:paraId="096DCD7F" w14:textId="77777777" w:rsidTr="003E6E74">
        <w:trPr>
          <w:cantSplit/>
          <w:tblHeader/>
        </w:trPr>
        <w:tc>
          <w:tcPr>
            <w:tcW w:w="1530" w:type="dxa"/>
          </w:tcPr>
          <w:p w14:paraId="40FDC8E3" w14:textId="2291688F" w:rsidR="00CA1901" w:rsidRDefault="00CA1901" w:rsidP="00CA1901">
            <w:r w:rsidRPr="00D86DD6">
              <w:t>89-</w:t>
            </w:r>
          </w:p>
        </w:tc>
        <w:tc>
          <w:tcPr>
            <w:tcW w:w="8550" w:type="dxa"/>
          </w:tcPr>
          <w:p w14:paraId="63107538" w14:textId="3F64F1D1" w:rsidR="00CA1901" w:rsidRDefault="00CA1901" w:rsidP="00CA1901">
            <w:r w:rsidRPr="00D86DD6">
              <w:t>On or before June 9, 1989</w:t>
            </w:r>
          </w:p>
        </w:tc>
      </w:tr>
      <w:tr w:rsidR="00CA1901" w14:paraId="005B8640" w14:textId="77777777" w:rsidTr="003E6E74">
        <w:trPr>
          <w:cantSplit/>
          <w:tblHeader/>
        </w:trPr>
        <w:tc>
          <w:tcPr>
            <w:tcW w:w="1530" w:type="dxa"/>
          </w:tcPr>
          <w:p w14:paraId="5471470B" w14:textId="1E9DBDCA" w:rsidR="00CA1901" w:rsidRDefault="00CA1901" w:rsidP="00CA1901">
            <w:r w:rsidRPr="00D86DD6">
              <w:t>89-05</w:t>
            </w:r>
          </w:p>
        </w:tc>
        <w:tc>
          <w:tcPr>
            <w:tcW w:w="8550" w:type="dxa"/>
          </w:tcPr>
          <w:p w14:paraId="18BF5CE5" w14:textId="2486A036" w:rsidR="00CA1901" w:rsidRDefault="00CA1901" w:rsidP="00CA1901">
            <w:r w:rsidRPr="00D86DD6">
              <w:t>After June 9, 1989, but on or before February 28, 2005</w:t>
            </w:r>
          </w:p>
        </w:tc>
      </w:tr>
      <w:tr w:rsidR="00CA1901" w14:paraId="5EC74FB9" w14:textId="77777777" w:rsidTr="003E6E74">
        <w:trPr>
          <w:cantSplit/>
          <w:tblHeader/>
        </w:trPr>
        <w:tc>
          <w:tcPr>
            <w:tcW w:w="1530" w:type="dxa"/>
          </w:tcPr>
          <w:p w14:paraId="5239FC8C" w14:textId="5BBD0970" w:rsidR="00CA1901" w:rsidRDefault="00CA1901" w:rsidP="00CA1901">
            <w:r w:rsidRPr="00D86DD6">
              <w:t>05+</w:t>
            </w:r>
          </w:p>
        </w:tc>
        <w:tc>
          <w:tcPr>
            <w:tcW w:w="8550" w:type="dxa"/>
          </w:tcPr>
          <w:p w14:paraId="159A62A7" w14:textId="7E1FF503" w:rsidR="00CA1901" w:rsidRDefault="00CA1901" w:rsidP="00CA1901">
            <w:r w:rsidRPr="00D86DD6">
              <w:t>After February 28, 2005</w:t>
            </w:r>
          </w:p>
        </w:tc>
      </w:tr>
    </w:tbl>
    <w:p w14:paraId="4C939C2E" w14:textId="77777777" w:rsidR="00F861CF" w:rsidRPr="004F14CB" w:rsidRDefault="00F861CF" w:rsidP="00FD7888">
      <w:pPr>
        <w:pStyle w:val="APDContinueTriangle"/>
      </w:pPr>
      <w:r w:rsidRPr="004F14CB">
        <w:t>Continue only if “Construction/Modification Date” is “89-05” or “05+.”</w:t>
      </w:r>
    </w:p>
    <w:p w14:paraId="55DB5DA9" w14:textId="77777777" w:rsidR="00F861CF" w:rsidRPr="00A905D7" w:rsidRDefault="00F861CF" w:rsidP="00A905D7">
      <w:pPr>
        <w:pStyle w:val="APDStrong"/>
      </w:pPr>
      <w:r w:rsidRPr="00A905D7">
        <w:t>Maximum Design Heat Input Capacity:</w:t>
      </w:r>
    </w:p>
    <w:p w14:paraId="5BA50B23" w14:textId="77777777" w:rsidR="00F861CF" w:rsidRDefault="00F861CF" w:rsidP="00A905D7">
      <w:pPr>
        <w:pStyle w:val="APDBodyText"/>
      </w:pPr>
      <w:r w:rsidRPr="00A905D7">
        <w:t>Select one of the following options for the maximum design heat input capacity.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13E07" w14:paraId="0B18BC47" w14:textId="77777777" w:rsidTr="00A13E07">
        <w:trPr>
          <w:cantSplit/>
          <w:tblHeader/>
        </w:trPr>
        <w:tc>
          <w:tcPr>
            <w:tcW w:w="1530" w:type="dxa"/>
          </w:tcPr>
          <w:p w14:paraId="3D2B6CF7" w14:textId="51C43A47" w:rsidR="00A13E07" w:rsidRPr="00A13E07" w:rsidRDefault="00A13E07" w:rsidP="00A13E07">
            <w:pPr>
              <w:rPr>
                <w:b/>
                <w:bCs/>
              </w:rPr>
            </w:pPr>
            <w:r w:rsidRPr="00A13E07">
              <w:rPr>
                <w:b/>
                <w:bCs/>
              </w:rPr>
              <w:t>Code</w:t>
            </w:r>
          </w:p>
        </w:tc>
        <w:tc>
          <w:tcPr>
            <w:tcW w:w="8550" w:type="dxa"/>
          </w:tcPr>
          <w:p w14:paraId="46000DA8" w14:textId="6FFC9BEB" w:rsidR="00A13E07" w:rsidRPr="00A13E07" w:rsidRDefault="00A13E07" w:rsidP="00A13E07">
            <w:pPr>
              <w:rPr>
                <w:b/>
                <w:bCs/>
              </w:rPr>
            </w:pPr>
            <w:r w:rsidRPr="00A13E07">
              <w:rPr>
                <w:b/>
                <w:bCs/>
              </w:rPr>
              <w:t>Description</w:t>
            </w:r>
          </w:p>
        </w:tc>
      </w:tr>
      <w:tr w:rsidR="00A13E07" w14:paraId="5E0D2939" w14:textId="77777777" w:rsidTr="00A13E07">
        <w:trPr>
          <w:cantSplit/>
          <w:tblHeader/>
        </w:trPr>
        <w:tc>
          <w:tcPr>
            <w:tcW w:w="1530" w:type="dxa"/>
          </w:tcPr>
          <w:p w14:paraId="4EFBA5E4" w14:textId="48F67650" w:rsidR="00A13E07" w:rsidRDefault="00A13E07" w:rsidP="00A13E07">
            <w:r w:rsidRPr="00216D2F">
              <w:t>10-</w:t>
            </w:r>
          </w:p>
        </w:tc>
        <w:tc>
          <w:tcPr>
            <w:tcW w:w="8550" w:type="dxa"/>
          </w:tcPr>
          <w:p w14:paraId="2717FB37" w14:textId="3225C34A" w:rsidR="00A13E07" w:rsidRDefault="00A13E07" w:rsidP="00A13E07">
            <w:r w:rsidRPr="00216D2F">
              <w:t>Maximum design heat input capacity is less than 10 MMBtu/hr (2.9 MW)</w:t>
            </w:r>
          </w:p>
        </w:tc>
      </w:tr>
      <w:tr w:rsidR="00A13E07" w14:paraId="2C19ED9C" w14:textId="77777777" w:rsidTr="00A13E07">
        <w:trPr>
          <w:cantSplit/>
          <w:tblHeader/>
        </w:trPr>
        <w:tc>
          <w:tcPr>
            <w:tcW w:w="1530" w:type="dxa"/>
          </w:tcPr>
          <w:p w14:paraId="39F34B0C" w14:textId="6DC1BAC2" w:rsidR="00A13E07" w:rsidRDefault="00A13E07" w:rsidP="00A13E07">
            <w:r w:rsidRPr="00216D2F">
              <w:t>10-100</w:t>
            </w:r>
          </w:p>
        </w:tc>
        <w:tc>
          <w:tcPr>
            <w:tcW w:w="8550" w:type="dxa"/>
          </w:tcPr>
          <w:p w14:paraId="4592CEF2" w14:textId="3C268C41" w:rsidR="00A13E07" w:rsidRDefault="00A13E07" w:rsidP="00A13E07">
            <w:r w:rsidRPr="00216D2F">
              <w:t>Maximum design heat input capacity is greater than or equal to 10 MMBtu/hr (2.9 MW) but less than or equal to 100 MMBtu (29 MW)</w:t>
            </w:r>
          </w:p>
        </w:tc>
      </w:tr>
      <w:tr w:rsidR="00A13E07" w14:paraId="5EBF15D1" w14:textId="77777777" w:rsidTr="00A13E07">
        <w:trPr>
          <w:cantSplit/>
          <w:tblHeader/>
        </w:trPr>
        <w:tc>
          <w:tcPr>
            <w:tcW w:w="1530" w:type="dxa"/>
          </w:tcPr>
          <w:p w14:paraId="79BD4F63" w14:textId="2DDF631F" w:rsidR="00A13E07" w:rsidRDefault="00A13E07" w:rsidP="00A13E07">
            <w:r w:rsidRPr="00216D2F">
              <w:t>100+</w:t>
            </w:r>
          </w:p>
        </w:tc>
        <w:tc>
          <w:tcPr>
            <w:tcW w:w="8550" w:type="dxa"/>
          </w:tcPr>
          <w:p w14:paraId="6E9B815F" w14:textId="6DEA5701" w:rsidR="00A13E07" w:rsidRDefault="00A13E07" w:rsidP="00A13E07">
            <w:r w:rsidRPr="00216D2F">
              <w:t>Maximum design heat input capacity is greater than 100 MMBtu/hr (29 MW) (for SOP applications only)</w:t>
            </w:r>
          </w:p>
        </w:tc>
      </w:tr>
    </w:tbl>
    <w:p w14:paraId="5A22E572" w14:textId="4E39BBED" w:rsidR="006B014D" w:rsidRPr="004F14CB" w:rsidRDefault="00F861CF" w:rsidP="003441FF">
      <w:pPr>
        <w:pStyle w:val="APDContinueTriangle"/>
      </w:pPr>
      <w:r w:rsidRPr="004F14CB">
        <w:t>Continue only if “Maximum Design Heat Input Capacity” is “10-100.”</w:t>
      </w:r>
    </w:p>
    <w:p w14:paraId="07C93F34" w14:textId="01485704" w:rsidR="00F861CF" w:rsidRPr="004F14CB" w:rsidRDefault="00031389" w:rsidP="00BD2B68">
      <w:pPr>
        <w:pStyle w:val="APDStrong"/>
      </w:pPr>
      <w:r w:rsidRPr="004F14CB">
        <w:t>Applicability</w:t>
      </w:r>
      <w:r w:rsidR="00F861CF" w:rsidRPr="004F14CB">
        <w:t>:</w:t>
      </w:r>
    </w:p>
    <w:p w14:paraId="4E8A59DF" w14:textId="2B04C6B9" w:rsidR="00F861CF" w:rsidRDefault="00F861CF" w:rsidP="00BD2B68">
      <w:pPr>
        <w:pStyle w:val="APDBodyText"/>
      </w:pPr>
      <w:r w:rsidRPr="00BD2B68">
        <w:t>Select one of the following options for the applicability of other 40 CFR Part 60 Subparts.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FB046D" w14:paraId="312113EC" w14:textId="77777777" w:rsidTr="006F4C38">
        <w:tc>
          <w:tcPr>
            <w:tcW w:w="1530" w:type="dxa"/>
          </w:tcPr>
          <w:p w14:paraId="780DF263" w14:textId="5D382785" w:rsidR="00FB046D" w:rsidRPr="00FB046D" w:rsidRDefault="00FB046D" w:rsidP="00FB046D">
            <w:pPr>
              <w:rPr>
                <w:b/>
                <w:bCs/>
              </w:rPr>
            </w:pPr>
            <w:r w:rsidRPr="00FB046D">
              <w:rPr>
                <w:b/>
                <w:bCs/>
              </w:rPr>
              <w:t>Code</w:t>
            </w:r>
          </w:p>
        </w:tc>
        <w:tc>
          <w:tcPr>
            <w:tcW w:w="8550" w:type="dxa"/>
          </w:tcPr>
          <w:p w14:paraId="4A18B693" w14:textId="4E50F7F3" w:rsidR="00FB046D" w:rsidRPr="00FB046D" w:rsidRDefault="00FB046D" w:rsidP="00FB046D">
            <w:pPr>
              <w:rPr>
                <w:b/>
                <w:bCs/>
              </w:rPr>
            </w:pPr>
            <w:r w:rsidRPr="00FB046D">
              <w:rPr>
                <w:b/>
                <w:bCs/>
              </w:rPr>
              <w:t>Description</w:t>
            </w:r>
          </w:p>
        </w:tc>
      </w:tr>
      <w:tr w:rsidR="00FB046D" w14:paraId="699B1FC6" w14:textId="77777777" w:rsidTr="006F4C38">
        <w:tc>
          <w:tcPr>
            <w:tcW w:w="1530" w:type="dxa"/>
          </w:tcPr>
          <w:p w14:paraId="5D061B80" w14:textId="13450EEE" w:rsidR="00FB046D" w:rsidRDefault="00FB046D" w:rsidP="00FB046D">
            <w:r w:rsidRPr="00007319">
              <w:t>KKKK</w:t>
            </w:r>
          </w:p>
        </w:tc>
        <w:tc>
          <w:tcPr>
            <w:tcW w:w="8550" w:type="dxa"/>
          </w:tcPr>
          <w:p w14:paraId="4E59E460" w14:textId="5B5A7848" w:rsidR="00FB046D" w:rsidRDefault="00FB046D" w:rsidP="00FB046D">
            <w:r w:rsidRPr="00007319">
              <w:t>A heat recovery steam generator associated with a stationary combustion turbine that meets the applicability requirements of 40 CFR Part 60, Subpart KKKK.</w:t>
            </w:r>
          </w:p>
        </w:tc>
      </w:tr>
      <w:tr w:rsidR="00FB046D" w14:paraId="7D038014" w14:textId="77777777" w:rsidTr="006F4C38">
        <w:tc>
          <w:tcPr>
            <w:tcW w:w="1530" w:type="dxa"/>
          </w:tcPr>
          <w:p w14:paraId="7F1ED427" w14:textId="38C5485C" w:rsidR="00FB046D" w:rsidRDefault="00FB046D" w:rsidP="00FB046D">
            <w:r w:rsidRPr="00007319">
              <w:t>AAAA</w:t>
            </w:r>
          </w:p>
        </w:tc>
        <w:tc>
          <w:tcPr>
            <w:tcW w:w="8550" w:type="dxa"/>
          </w:tcPr>
          <w:p w14:paraId="5CBDEB94" w14:textId="0375C1F9" w:rsidR="00FB046D" w:rsidRDefault="00FB046D" w:rsidP="00FB046D">
            <w:r w:rsidRPr="00007319">
              <w:t>Steam generating unit that meets the applicability requirements of and is subject to 40 CFR Part 60, Subpart AAAA.</w:t>
            </w:r>
          </w:p>
        </w:tc>
      </w:tr>
      <w:tr w:rsidR="00FB046D" w14:paraId="26889950" w14:textId="77777777" w:rsidTr="006F4C38">
        <w:tc>
          <w:tcPr>
            <w:tcW w:w="1530" w:type="dxa"/>
          </w:tcPr>
          <w:p w14:paraId="0A556E03" w14:textId="579F2B0C" w:rsidR="00FB046D" w:rsidRDefault="00FB046D" w:rsidP="00FB046D">
            <w:r w:rsidRPr="00007319">
              <w:t>CCCC</w:t>
            </w:r>
          </w:p>
        </w:tc>
        <w:tc>
          <w:tcPr>
            <w:tcW w:w="8550" w:type="dxa"/>
          </w:tcPr>
          <w:p w14:paraId="0A6A2E8D" w14:textId="1043510A" w:rsidR="00FB046D" w:rsidRDefault="00FB046D" w:rsidP="00FB046D">
            <w:r w:rsidRPr="00007319">
              <w:t>Steam generating unit that meets the applicability requirements of and is subject to 40 CFR Part 60, Subpart CCCC</w:t>
            </w:r>
          </w:p>
        </w:tc>
      </w:tr>
      <w:tr w:rsidR="00FB046D" w14:paraId="7BDDE0A2" w14:textId="77777777" w:rsidTr="006F4C38">
        <w:tc>
          <w:tcPr>
            <w:tcW w:w="1530" w:type="dxa"/>
          </w:tcPr>
          <w:p w14:paraId="616E4D7B" w14:textId="0188B2C5" w:rsidR="00FB046D" w:rsidRDefault="00FB046D" w:rsidP="00FB046D">
            <w:r w:rsidRPr="00007319">
              <w:t>BBBB</w:t>
            </w:r>
          </w:p>
        </w:tc>
        <w:tc>
          <w:tcPr>
            <w:tcW w:w="8550" w:type="dxa"/>
          </w:tcPr>
          <w:p w14:paraId="5F9F4318" w14:textId="743EE3A4" w:rsidR="00FB046D" w:rsidRDefault="00FB046D" w:rsidP="00FB046D">
            <w:r w:rsidRPr="00007319">
              <w:t>Steam generating unit that meets the applicability requirements of and is subject to an EPA approved State or Federal section 111(d)/129 plan implementing 40 CFR Part 60, subpart BBBB.</w:t>
            </w:r>
          </w:p>
        </w:tc>
      </w:tr>
      <w:tr w:rsidR="00FB046D" w14:paraId="53AD2196" w14:textId="77777777" w:rsidTr="006F4C38">
        <w:tc>
          <w:tcPr>
            <w:tcW w:w="1530" w:type="dxa"/>
          </w:tcPr>
          <w:p w14:paraId="09FF9CCB" w14:textId="2BAFEDA3" w:rsidR="00FB046D" w:rsidRDefault="00FB046D" w:rsidP="00FB046D">
            <w:r w:rsidRPr="00007319">
              <w:t>J/JA</w:t>
            </w:r>
          </w:p>
        </w:tc>
        <w:tc>
          <w:tcPr>
            <w:tcW w:w="8550" w:type="dxa"/>
          </w:tcPr>
          <w:p w14:paraId="2E2EC7A0" w14:textId="173C4A2D" w:rsidR="00FB046D" w:rsidRDefault="00FB046D" w:rsidP="00FB046D">
            <w:r w:rsidRPr="00007319">
              <w:t>A boiler or steam generating unit located at a refinery that meets the applicability requirements of and is subject to 40 CFR Part 60, Subpart J or Ja.</w:t>
            </w:r>
          </w:p>
        </w:tc>
      </w:tr>
      <w:tr w:rsidR="00FB046D" w14:paraId="45C3C585" w14:textId="77777777" w:rsidTr="006F4C38">
        <w:tc>
          <w:tcPr>
            <w:tcW w:w="1530" w:type="dxa"/>
          </w:tcPr>
          <w:p w14:paraId="33EE56E1" w14:textId="7EF67084" w:rsidR="00FB046D" w:rsidRDefault="00FB046D" w:rsidP="00FB046D">
            <w:r w:rsidRPr="00007319">
              <w:t>TEMP</w:t>
            </w:r>
          </w:p>
        </w:tc>
        <w:tc>
          <w:tcPr>
            <w:tcW w:w="8550" w:type="dxa"/>
          </w:tcPr>
          <w:p w14:paraId="5987B1FB" w14:textId="4F4785CB" w:rsidR="00FB046D" w:rsidRDefault="00FB046D" w:rsidP="00FB046D">
            <w:r w:rsidRPr="00007319">
              <w:t>The unit is a temporary boiler.</w:t>
            </w:r>
          </w:p>
        </w:tc>
      </w:tr>
      <w:tr w:rsidR="00FB046D" w14:paraId="3F0D03C6" w14:textId="77777777" w:rsidTr="006F4C38">
        <w:tc>
          <w:tcPr>
            <w:tcW w:w="1530" w:type="dxa"/>
          </w:tcPr>
          <w:p w14:paraId="027D6945" w14:textId="05E490BF" w:rsidR="00FB046D" w:rsidRDefault="00FB046D" w:rsidP="00FB046D">
            <w:r w:rsidRPr="00007319">
              <w:t>NONE</w:t>
            </w:r>
          </w:p>
        </w:tc>
        <w:tc>
          <w:tcPr>
            <w:tcW w:w="8550" w:type="dxa"/>
          </w:tcPr>
          <w:p w14:paraId="203C2966" w14:textId="2C919441" w:rsidR="00FB046D" w:rsidRDefault="00FB046D" w:rsidP="00FB046D">
            <w:r w:rsidRPr="00007319">
              <w:t>Unit is not subject to other 40 CFR Part 60 subparts.</w:t>
            </w:r>
          </w:p>
        </w:tc>
      </w:tr>
    </w:tbl>
    <w:p w14:paraId="302DDAFB" w14:textId="03614CFF" w:rsidR="00F861CF" w:rsidRPr="00EF0801" w:rsidRDefault="00F861CF" w:rsidP="00FD7888">
      <w:pPr>
        <w:pStyle w:val="APDContinueTriangle"/>
      </w:pPr>
      <w:r w:rsidRPr="00EF0801">
        <w:t>Continue only if “</w:t>
      </w:r>
      <w:r w:rsidR="00C72732">
        <w:t>Applicability</w:t>
      </w:r>
      <w:r w:rsidRPr="00EF0801">
        <w:t>” is “NONE</w:t>
      </w:r>
      <w:r w:rsidR="00C72732">
        <w:t>” or “J/JA</w:t>
      </w:r>
      <w:r w:rsidRPr="00EF0801">
        <w:t>.</w:t>
      </w:r>
      <w:r w:rsidR="00C72732">
        <w:t>”</w:t>
      </w:r>
    </w:p>
    <w:p w14:paraId="4EC853CC" w14:textId="77777777" w:rsidR="00F861CF" w:rsidRPr="004F14CB" w:rsidRDefault="00F861CF" w:rsidP="00BD2B68">
      <w:pPr>
        <w:pStyle w:val="APDStrong"/>
      </w:pPr>
      <w:r w:rsidRPr="004F14CB">
        <w:t>Heat Input Capacity:</w:t>
      </w:r>
    </w:p>
    <w:p w14:paraId="7643A4EE" w14:textId="77777777" w:rsidR="00F861CF" w:rsidRPr="00BD2B68" w:rsidRDefault="00F861CF" w:rsidP="00042EFA">
      <w:pPr>
        <w:pStyle w:val="APDBodyText"/>
      </w:pPr>
      <w:r w:rsidRPr="00BD2B68">
        <w:t>Select one of the following options for the heat input capacity. Enter the code on the form.</w:t>
      </w:r>
    </w:p>
    <w:p w14:paraId="1C1B26EA" w14:textId="77777777" w:rsidR="00F861CF" w:rsidRDefault="00F861CF" w:rsidP="00266D56">
      <w:pPr>
        <w:pStyle w:val="APDCodeIdentifiers"/>
      </w:pPr>
      <w:r w:rsidRPr="00266D56">
        <w:t>For units in GOP applications: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10;"/>
      </w:tblPr>
      <w:tblGrid>
        <w:gridCol w:w="1525"/>
        <w:gridCol w:w="8555"/>
      </w:tblGrid>
      <w:tr w:rsidR="00916D47" w14:paraId="3AF3BF6C" w14:textId="77777777" w:rsidTr="00831115">
        <w:trPr>
          <w:cantSplit/>
          <w:tblHeader/>
        </w:trPr>
        <w:tc>
          <w:tcPr>
            <w:tcW w:w="1525" w:type="dxa"/>
          </w:tcPr>
          <w:p w14:paraId="66C894D0" w14:textId="43AAE078" w:rsidR="00916D47" w:rsidRDefault="00916D47" w:rsidP="00916D47">
            <w:r w:rsidRPr="006D2477">
              <w:lastRenderedPageBreak/>
              <w:t>Code</w:t>
            </w:r>
          </w:p>
        </w:tc>
        <w:tc>
          <w:tcPr>
            <w:tcW w:w="8555" w:type="dxa"/>
          </w:tcPr>
          <w:p w14:paraId="3801DFCE" w14:textId="0D722BD8" w:rsidR="00916D47" w:rsidRDefault="00916D47" w:rsidP="00916D47">
            <w:r w:rsidRPr="006D2477">
              <w:t>Description</w:t>
            </w:r>
          </w:p>
        </w:tc>
      </w:tr>
      <w:tr w:rsidR="00916D47" w14:paraId="580DB81E" w14:textId="77777777" w:rsidTr="00831115">
        <w:trPr>
          <w:cantSplit/>
          <w:tblHeader/>
        </w:trPr>
        <w:tc>
          <w:tcPr>
            <w:tcW w:w="1525" w:type="dxa"/>
          </w:tcPr>
          <w:p w14:paraId="3403670E" w14:textId="7008C58C" w:rsidR="00916D47" w:rsidRDefault="00916D47" w:rsidP="00916D47">
            <w:r w:rsidRPr="006D2477">
              <w:t>NA</w:t>
            </w:r>
          </w:p>
        </w:tc>
        <w:tc>
          <w:tcPr>
            <w:tcW w:w="8555" w:type="dxa"/>
          </w:tcPr>
          <w:p w14:paraId="01954F3E" w14:textId="1B8F8206" w:rsidR="00916D47" w:rsidRDefault="00916D47" w:rsidP="00916D47">
            <w:r w:rsidRPr="006D2477">
              <w:t>Not applicable</w:t>
            </w:r>
          </w:p>
        </w:tc>
      </w:tr>
    </w:tbl>
    <w:p w14:paraId="10D5C86E" w14:textId="77777777" w:rsidR="00F861CF" w:rsidRDefault="00F861CF" w:rsidP="00347598">
      <w:pPr>
        <w:pStyle w:val="APDCodeIdentifiers"/>
        <w:spacing w:before="120"/>
      </w:pPr>
      <w:r w:rsidRPr="00266D56">
        <w:t>For units in SOP applications: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7C42BD" w14:paraId="7E55F3C2" w14:textId="77777777" w:rsidTr="007C42BD">
        <w:trPr>
          <w:cantSplit/>
          <w:tblHeader/>
        </w:trPr>
        <w:tc>
          <w:tcPr>
            <w:tcW w:w="1530" w:type="dxa"/>
          </w:tcPr>
          <w:p w14:paraId="0B5710B5" w14:textId="5D6E39A5" w:rsidR="007C42BD" w:rsidRPr="007C42BD" w:rsidRDefault="007C42BD" w:rsidP="007C42BD">
            <w:pPr>
              <w:rPr>
                <w:b/>
                <w:bCs/>
              </w:rPr>
            </w:pPr>
            <w:r w:rsidRPr="007C42BD">
              <w:rPr>
                <w:b/>
                <w:bCs/>
              </w:rPr>
              <w:t>Code</w:t>
            </w:r>
          </w:p>
        </w:tc>
        <w:tc>
          <w:tcPr>
            <w:tcW w:w="8550" w:type="dxa"/>
          </w:tcPr>
          <w:p w14:paraId="262897D8" w14:textId="68A64C60" w:rsidR="007C42BD" w:rsidRPr="007C42BD" w:rsidRDefault="007C42BD" w:rsidP="007C42BD">
            <w:pPr>
              <w:rPr>
                <w:b/>
                <w:bCs/>
              </w:rPr>
            </w:pPr>
            <w:r w:rsidRPr="007C42BD">
              <w:rPr>
                <w:b/>
                <w:bCs/>
              </w:rPr>
              <w:t>Description</w:t>
            </w:r>
          </w:p>
        </w:tc>
      </w:tr>
      <w:tr w:rsidR="007C42BD" w14:paraId="3E914EA6" w14:textId="77777777" w:rsidTr="007C42BD">
        <w:trPr>
          <w:cantSplit/>
          <w:tblHeader/>
        </w:trPr>
        <w:tc>
          <w:tcPr>
            <w:tcW w:w="1530" w:type="dxa"/>
          </w:tcPr>
          <w:p w14:paraId="427565D1" w14:textId="4ECCEC1F" w:rsidR="007C42BD" w:rsidRDefault="007C42BD" w:rsidP="007C42BD">
            <w:r w:rsidRPr="008C779C">
              <w:t>10-</w:t>
            </w:r>
          </w:p>
        </w:tc>
        <w:tc>
          <w:tcPr>
            <w:tcW w:w="8550" w:type="dxa"/>
          </w:tcPr>
          <w:p w14:paraId="2CCFE502" w14:textId="268B34A9" w:rsidR="007C42BD" w:rsidRDefault="007C42BD" w:rsidP="007C42BD">
            <w:r w:rsidRPr="008C779C">
              <w:t>Heat input capacity is less than or equal to 10 MMBtu/hr (2.9 MW)</w:t>
            </w:r>
          </w:p>
        </w:tc>
      </w:tr>
      <w:tr w:rsidR="007C42BD" w14:paraId="0B76F14E" w14:textId="77777777" w:rsidTr="007C42BD">
        <w:trPr>
          <w:cantSplit/>
          <w:tblHeader/>
        </w:trPr>
        <w:tc>
          <w:tcPr>
            <w:tcW w:w="1530" w:type="dxa"/>
          </w:tcPr>
          <w:p w14:paraId="678316BC" w14:textId="456FF13D" w:rsidR="007C42BD" w:rsidRDefault="007C42BD" w:rsidP="007C42BD">
            <w:r w:rsidRPr="008C779C">
              <w:t>10-30</w:t>
            </w:r>
          </w:p>
        </w:tc>
        <w:tc>
          <w:tcPr>
            <w:tcW w:w="8550" w:type="dxa"/>
          </w:tcPr>
          <w:p w14:paraId="2B0C21BC" w14:textId="728693B0" w:rsidR="007C42BD" w:rsidRDefault="007C42BD" w:rsidP="007C42BD">
            <w:r w:rsidRPr="008C779C">
              <w:t>Heat input capacity is greater than 10 MMBtu/hr (2.9 MW) but less than 30 MMBtu/hr (8.7 MW)</w:t>
            </w:r>
          </w:p>
        </w:tc>
      </w:tr>
      <w:tr w:rsidR="007C42BD" w14:paraId="32DA131A" w14:textId="77777777" w:rsidTr="007C42BD">
        <w:trPr>
          <w:cantSplit/>
          <w:tblHeader/>
        </w:trPr>
        <w:tc>
          <w:tcPr>
            <w:tcW w:w="1530" w:type="dxa"/>
          </w:tcPr>
          <w:p w14:paraId="6D14062A" w14:textId="2FDCC1AC" w:rsidR="007C42BD" w:rsidRDefault="007C42BD" w:rsidP="007C42BD">
            <w:r w:rsidRPr="008C779C">
              <w:t>30-75</w:t>
            </w:r>
          </w:p>
        </w:tc>
        <w:tc>
          <w:tcPr>
            <w:tcW w:w="8550" w:type="dxa"/>
          </w:tcPr>
          <w:p w14:paraId="343D6861" w14:textId="42FEAB57" w:rsidR="007C42BD" w:rsidRDefault="007C42BD" w:rsidP="007C42BD">
            <w:r w:rsidRPr="008C779C">
              <w:t>Heat input capacity is greater than or equal to 30 MMBtu/hr (8.7 MW) but less than or equal to 75 MMBtu/hr (22 MW)</w:t>
            </w:r>
          </w:p>
        </w:tc>
      </w:tr>
      <w:tr w:rsidR="007C42BD" w14:paraId="182F722F" w14:textId="77777777" w:rsidTr="007C42BD">
        <w:trPr>
          <w:cantSplit/>
          <w:tblHeader/>
        </w:trPr>
        <w:tc>
          <w:tcPr>
            <w:tcW w:w="1530" w:type="dxa"/>
          </w:tcPr>
          <w:p w14:paraId="731B9952" w14:textId="3F0009DD" w:rsidR="007C42BD" w:rsidRDefault="007C42BD" w:rsidP="007C42BD">
            <w:r w:rsidRPr="008C779C">
              <w:t>75-100</w:t>
            </w:r>
          </w:p>
        </w:tc>
        <w:tc>
          <w:tcPr>
            <w:tcW w:w="8550" w:type="dxa"/>
          </w:tcPr>
          <w:p w14:paraId="04D5C692" w14:textId="7F873447" w:rsidR="007C42BD" w:rsidRDefault="007C42BD" w:rsidP="007C42BD">
            <w:r w:rsidRPr="008C779C">
              <w:t>Heat input capacity is greater than 75 MMBtu/hr (22 MW)</w:t>
            </w:r>
          </w:p>
        </w:tc>
      </w:tr>
    </w:tbl>
    <w:p w14:paraId="6C48C6C6" w14:textId="77777777" w:rsidR="00F861CF" w:rsidRPr="004F14CB" w:rsidRDefault="00F861CF" w:rsidP="009D6520">
      <w:pPr>
        <w:pStyle w:val="APDStrong"/>
        <w:spacing w:before="120"/>
      </w:pPr>
      <w:r w:rsidRPr="004F14CB">
        <w:t>D-Series Fuel Type:</w:t>
      </w:r>
    </w:p>
    <w:p w14:paraId="3EFE95F0" w14:textId="77777777" w:rsidR="00F861CF" w:rsidRDefault="00F861CF" w:rsidP="00BD2B68">
      <w:pPr>
        <w:pStyle w:val="APDBodyText"/>
      </w:pPr>
      <w:r w:rsidRPr="00BD2B68">
        <w:t>Select one or more of the following options for the fuel type(s) used to fire the boiler, steam generator, or steam generating unit. Enter the code(s) on the form. In some cases, several fuel type code options could appropriately describe a single fuel being combusted (e.g., distillate oil). In these instances, select one fuel type code which best represents the fuel being combusted.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485690" w14:paraId="3BB66461" w14:textId="77777777" w:rsidTr="00485690">
        <w:trPr>
          <w:cantSplit/>
          <w:tblHeader/>
        </w:trPr>
        <w:tc>
          <w:tcPr>
            <w:tcW w:w="1530" w:type="dxa"/>
          </w:tcPr>
          <w:p w14:paraId="259F3D50" w14:textId="4C8F9E1E" w:rsidR="00485690" w:rsidRPr="00485690" w:rsidRDefault="00485690" w:rsidP="00485690">
            <w:pPr>
              <w:rPr>
                <w:b/>
                <w:bCs/>
              </w:rPr>
            </w:pPr>
            <w:r w:rsidRPr="00485690">
              <w:rPr>
                <w:b/>
                <w:bCs/>
              </w:rPr>
              <w:t>Code</w:t>
            </w:r>
          </w:p>
        </w:tc>
        <w:tc>
          <w:tcPr>
            <w:tcW w:w="8550" w:type="dxa"/>
          </w:tcPr>
          <w:p w14:paraId="68FFE30D" w14:textId="3CB1CFAC" w:rsidR="00485690" w:rsidRPr="00485690" w:rsidRDefault="00485690" w:rsidP="00485690">
            <w:pPr>
              <w:rPr>
                <w:b/>
                <w:bCs/>
              </w:rPr>
            </w:pPr>
            <w:r w:rsidRPr="00485690">
              <w:rPr>
                <w:b/>
                <w:bCs/>
              </w:rPr>
              <w:t>Description</w:t>
            </w:r>
          </w:p>
        </w:tc>
      </w:tr>
      <w:tr w:rsidR="00485690" w14:paraId="79C64639" w14:textId="77777777" w:rsidTr="00485690">
        <w:trPr>
          <w:cantSplit/>
          <w:tblHeader/>
        </w:trPr>
        <w:tc>
          <w:tcPr>
            <w:tcW w:w="1530" w:type="dxa"/>
          </w:tcPr>
          <w:p w14:paraId="5F35C457" w14:textId="0C78CD1C" w:rsidR="00485690" w:rsidRDefault="00485690" w:rsidP="00485690">
            <w:r w:rsidRPr="0057792B">
              <w:t>NG</w:t>
            </w:r>
          </w:p>
        </w:tc>
        <w:tc>
          <w:tcPr>
            <w:tcW w:w="8550" w:type="dxa"/>
          </w:tcPr>
          <w:p w14:paraId="2CBA150C" w14:textId="11615390" w:rsidR="00485690" w:rsidRDefault="00485690" w:rsidP="00485690">
            <w:r w:rsidRPr="0057792B">
              <w:t>Natural gas (GOP applicants may only fire natural gas)</w:t>
            </w:r>
          </w:p>
        </w:tc>
      </w:tr>
      <w:tr w:rsidR="00485690" w14:paraId="06D844D6" w14:textId="77777777" w:rsidTr="00485690">
        <w:trPr>
          <w:cantSplit/>
          <w:tblHeader/>
        </w:trPr>
        <w:tc>
          <w:tcPr>
            <w:tcW w:w="1530" w:type="dxa"/>
          </w:tcPr>
          <w:p w14:paraId="4680E2E1" w14:textId="5DCF6B1E" w:rsidR="00485690" w:rsidRDefault="00485690" w:rsidP="00485690">
            <w:r w:rsidRPr="0057792B">
              <w:t>DOIL</w:t>
            </w:r>
          </w:p>
        </w:tc>
        <w:tc>
          <w:tcPr>
            <w:tcW w:w="8550" w:type="dxa"/>
          </w:tcPr>
          <w:p w14:paraId="598CBA69" w14:textId="794D3363" w:rsidR="00485690" w:rsidRDefault="00485690" w:rsidP="00485690">
            <w:r w:rsidRPr="0057792B">
              <w:t>Distillate oil</w:t>
            </w:r>
          </w:p>
        </w:tc>
      </w:tr>
      <w:tr w:rsidR="00485690" w14:paraId="121B8197" w14:textId="77777777" w:rsidTr="00485690">
        <w:trPr>
          <w:cantSplit/>
          <w:tblHeader/>
        </w:trPr>
        <w:tc>
          <w:tcPr>
            <w:tcW w:w="1530" w:type="dxa"/>
          </w:tcPr>
          <w:p w14:paraId="31D56E6E" w14:textId="21B966D6" w:rsidR="00485690" w:rsidRDefault="00485690" w:rsidP="00485690">
            <w:r w:rsidRPr="0057792B">
              <w:t>ROIL</w:t>
            </w:r>
          </w:p>
        </w:tc>
        <w:tc>
          <w:tcPr>
            <w:tcW w:w="8550" w:type="dxa"/>
          </w:tcPr>
          <w:p w14:paraId="63FA3DA3" w14:textId="60AADB9C" w:rsidR="00485690" w:rsidRDefault="00485690" w:rsidP="00485690">
            <w:r w:rsidRPr="0057792B">
              <w:t>Residual oil</w:t>
            </w:r>
          </w:p>
        </w:tc>
      </w:tr>
      <w:tr w:rsidR="00485690" w14:paraId="278CAB53" w14:textId="77777777" w:rsidTr="00485690">
        <w:trPr>
          <w:cantSplit/>
          <w:tblHeader/>
        </w:trPr>
        <w:tc>
          <w:tcPr>
            <w:tcW w:w="1530" w:type="dxa"/>
          </w:tcPr>
          <w:p w14:paraId="44473C7F" w14:textId="15B7CE89" w:rsidR="00485690" w:rsidRDefault="00485690" w:rsidP="00485690">
            <w:r w:rsidRPr="0057792B">
              <w:t>WD</w:t>
            </w:r>
          </w:p>
        </w:tc>
        <w:tc>
          <w:tcPr>
            <w:tcW w:w="8550" w:type="dxa"/>
          </w:tcPr>
          <w:p w14:paraId="7BE8A847" w14:textId="477B0F99" w:rsidR="00485690" w:rsidRDefault="00485690" w:rsidP="00485690">
            <w:r w:rsidRPr="0057792B">
              <w:t>Wood</w:t>
            </w:r>
          </w:p>
        </w:tc>
      </w:tr>
      <w:tr w:rsidR="00485690" w14:paraId="7856D189" w14:textId="77777777" w:rsidTr="00485690">
        <w:trPr>
          <w:cantSplit/>
          <w:tblHeader/>
        </w:trPr>
        <w:tc>
          <w:tcPr>
            <w:tcW w:w="1530" w:type="dxa"/>
          </w:tcPr>
          <w:p w14:paraId="5A95489F" w14:textId="57123267" w:rsidR="00485690" w:rsidRDefault="00485690" w:rsidP="00485690">
            <w:r w:rsidRPr="0057792B">
              <w:t>OIL</w:t>
            </w:r>
          </w:p>
        </w:tc>
        <w:tc>
          <w:tcPr>
            <w:tcW w:w="8550" w:type="dxa"/>
          </w:tcPr>
          <w:p w14:paraId="2C0FE1D1" w14:textId="702480BE" w:rsidR="00485690" w:rsidRDefault="00485690" w:rsidP="00485690">
            <w:r w:rsidRPr="0057792B">
              <w:t>Crude oil, petroleum, or liquid fuel derived from crude oil or petroleum other than distillate or residual oil</w:t>
            </w:r>
          </w:p>
        </w:tc>
      </w:tr>
      <w:tr w:rsidR="00485690" w14:paraId="20DBC893" w14:textId="77777777" w:rsidTr="00485690">
        <w:trPr>
          <w:cantSplit/>
          <w:tblHeader/>
        </w:trPr>
        <w:tc>
          <w:tcPr>
            <w:tcW w:w="1530" w:type="dxa"/>
          </w:tcPr>
          <w:p w14:paraId="35B160F8" w14:textId="436BE55F" w:rsidR="00485690" w:rsidRDefault="00485690" w:rsidP="00485690">
            <w:r w:rsidRPr="0057792B">
              <w:t>COAL</w:t>
            </w:r>
          </w:p>
        </w:tc>
        <w:tc>
          <w:tcPr>
            <w:tcW w:w="8550" w:type="dxa"/>
          </w:tcPr>
          <w:p w14:paraId="70E1C8A8" w14:textId="1D4B3A2A" w:rsidR="00485690" w:rsidRDefault="00485690" w:rsidP="00485690">
            <w:r w:rsidRPr="0057792B">
              <w:t>Coal, lignite, petroleum coke, or synthetic fuels derived from coal</w:t>
            </w:r>
          </w:p>
        </w:tc>
      </w:tr>
      <w:tr w:rsidR="00485690" w14:paraId="78AF2748" w14:textId="77777777" w:rsidTr="00485690">
        <w:trPr>
          <w:cantSplit/>
          <w:tblHeader/>
        </w:trPr>
        <w:tc>
          <w:tcPr>
            <w:tcW w:w="1530" w:type="dxa"/>
          </w:tcPr>
          <w:p w14:paraId="2AAA667A" w14:textId="6A033020" w:rsidR="00485690" w:rsidRDefault="00485690" w:rsidP="00485690">
            <w:r w:rsidRPr="0057792B">
              <w:t>OTHER</w:t>
            </w:r>
          </w:p>
        </w:tc>
        <w:tc>
          <w:tcPr>
            <w:tcW w:w="8550" w:type="dxa"/>
          </w:tcPr>
          <w:p w14:paraId="662A1D33" w14:textId="175A37C9" w:rsidR="00485690" w:rsidRDefault="00485690" w:rsidP="00485690">
            <w:r w:rsidRPr="0057792B">
              <w:t>Other fuel</w:t>
            </w:r>
          </w:p>
        </w:tc>
      </w:tr>
      <w:tr w:rsidR="00485690" w14:paraId="66D146E3" w14:textId="77777777" w:rsidTr="00485690">
        <w:trPr>
          <w:cantSplit/>
          <w:tblHeader/>
        </w:trPr>
        <w:tc>
          <w:tcPr>
            <w:tcW w:w="1530" w:type="dxa"/>
          </w:tcPr>
          <w:p w14:paraId="7282FBBA" w14:textId="7B1ACCAB" w:rsidR="00485690" w:rsidRDefault="00485690" w:rsidP="00485690">
            <w:r w:rsidRPr="0057792B">
              <w:t>CLR</w:t>
            </w:r>
          </w:p>
        </w:tc>
        <w:tc>
          <w:tcPr>
            <w:tcW w:w="8550" w:type="dxa"/>
          </w:tcPr>
          <w:p w14:paraId="25FFF11A" w14:textId="4E2AB43B" w:rsidR="00485690" w:rsidRDefault="00485690" w:rsidP="00485690">
            <w:r w:rsidRPr="0057792B">
              <w:t>Coal Refuse</w:t>
            </w:r>
          </w:p>
        </w:tc>
      </w:tr>
    </w:tbl>
    <w:p w14:paraId="1A88F34F" w14:textId="77777777" w:rsidR="00EA6B88" w:rsidRPr="00EA6B88" w:rsidRDefault="00EA6B88" w:rsidP="00EA6B88"/>
    <w:p w14:paraId="728AEF4C" w14:textId="499D4747" w:rsidR="009C0F72" w:rsidRPr="00B020E6" w:rsidRDefault="00CF3260" w:rsidP="00B020E6">
      <w:pPr>
        <w:pStyle w:val="APDBodyText"/>
      </w:pPr>
      <w:r w:rsidRPr="00B020E6">
        <w:t>If a fuel-firing option consists of multiple fuel types being combusted simultaneously, enter the D-Series fuel type code for each fuel in a separate column on the same line, with a single SOP index number. If there are more than three fuels being combusted simultaneously, use multiple lines, and start each line with a different SOP index number. Start each additional fuel-firing option on a different line with a different SOP index number. If multiple fuels that use the same code are simultaneously combusted, then enter the code once for each fuel (See Fuel-firing Option A: for an example of multiple types of coal fired simultaneously).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 Fuel-firing Option A:  for an example of multiple petroleum fuels fired simultaneously."/>
      </w:tblPr>
      <w:tblGrid>
        <w:gridCol w:w="1747"/>
        <w:gridCol w:w="1403"/>
        <w:gridCol w:w="1789"/>
        <w:gridCol w:w="1811"/>
        <w:gridCol w:w="1890"/>
        <w:gridCol w:w="1080"/>
        <w:gridCol w:w="1080"/>
      </w:tblGrid>
      <w:tr w:rsidR="005350F3" w:rsidRPr="00E81689" w14:paraId="581FB5F7" w14:textId="77777777" w:rsidTr="00E81689">
        <w:trPr>
          <w:cantSplit/>
          <w:tblHeader/>
        </w:trPr>
        <w:tc>
          <w:tcPr>
            <w:tcW w:w="1747" w:type="dxa"/>
            <w:tcBorders>
              <w:top w:val="nil"/>
              <w:left w:val="nil"/>
              <w:bottom w:val="nil"/>
              <w:right w:val="double" w:sz="6" w:space="0" w:color="auto"/>
            </w:tcBorders>
            <w:shd w:val="clear" w:color="auto" w:fill="FFFFFF" w:themeFill="background1"/>
          </w:tcPr>
          <w:p w14:paraId="00418894" w14:textId="570B3C81" w:rsidR="005350F3" w:rsidRPr="00E81689" w:rsidRDefault="005350F3" w:rsidP="00205EAC">
            <w:pPr>
              <w:keepNext/>
              <w:keepLines/>
              <w:rPr>
                <w:sz w:val="20"/>
                <w:szCs w:val="20"/>
              </w:rPr>
            </w:pPr>
            <w:r w:rsidRPr="00E81689">
              <w:rPr>
                <w:i/>
                <w:sz w:val="20"/>
                <w:szCs w:val="20"/>
              </w:rPr>
              <w:lastRenderedPageBreak/>
              <w:t>Example:</w:t>
            </w:r>
          </w:p>
        </w:tc>
        <w:tc>
          <w:tcPr>
            <w:tcW w:w="1403" w:type="dxa"/>
            <w:tcBorders>
              <w:top w:val="double" w:sz="6" w:space="0" w:color="auto"/>
              <w:left w:val="double" w:sz="6" w:space="0" w:color="auto"/>
              <w:bottom w:val="nil"/>
              <w:right w:val="single" w:sz="6" w:space="0" w:color="auto"/>
            </w:tcBorders>
            <w:shd w:val="clear" w:color="auto" w:fill="D9D9D9" w:themeFill="background1" w:themeFillShade="D9"/>
          </w:tcPr>
          <w:p w14:paraId="6D2158AD" w14:textId="0E65E63D" w:rsidR="005350F3" w:rsidRPr="00E81689" w:rsidRDefault="005350F3" w:rsidP="00205EAC">
            <w:pPr>
              <w:keepNext/>
              <w:keepLines/>
              <w:rPr>
                <w:sz w:val="20"/>
                <w:szCs w:val="20"/>
              </w:rPr>
            </w:pPr>
            <w:r w:rsidRPr="00E81689">
              <w:rPr>
                <w:b/>
                <w:sz w:val="20"/>
                <w:szCs w:val="20"/>
              </w:rPr>
              <w:t xml:space="preserve">SOP Index </w:t>
            </w:r>
            <w:r w:rsidR="00B42127">
              <w:rPr>
                <w:b/>
                <w:sz w:val="20"/>
                <w:szCs w:val="20"/>
              </w:rPr>
              <w:t>N</w:t>
            </w:r>
            <w:r w:rsidR="00DB742C">
              <w:rPr>
                <w:b/>
                <w:sz w:val="20"/>
                <w:szCs w:val="20"/>
              </w:rPr>
              <w:t>o</w:t>
            </w:r>
            <w:r w:rsidRPr="00E81689">
              <w:rPr>
                <w:b/>
                <w:sz w:val="20"/>
                <w:szCs w:val="20"/>
              </w:rPr>
              <w:t>.</w:t>
            </w:r>
          </w:p>
        </w:tc>
        <w:tc>
          <w:tcPr>
            <w:tcW w:w="1789" w:type="dxa"/>
            <w:tcBorders>
              <w:top w:val="double" w:sz="6" w:space="0" w:color="auto"/>
              <w:left w:val="single" w:sz="6" w:space="0" w:color="auto"/>
              <w:bottom w:val="nil"/>
              <w:right w:val="single" w:sz="6" w:space="0" w:color="auto"/>
            </w:tcBorders>
            <w:shd w:val="clear" w:color="auto" w:fill="D9D9D9" w:themeFill="background1" w:themeFillShade="D9"/>
          </w:tcPr>
          <w:p w14:paraId="3353C68F" w14:textId="10103C1B" w:rsidR="005350F3" w:rsidRPr="00E81689" w:rsidRDefault="005350F3" w:rsidP="00E81689">
            <w:pPr>
              <w:keepNext/>
              <w:keepLines/>
              <w:rPr>
                <w:sz w:val="20"/>
                <w:szCs w:val="20"/>
              </w:rPr>
            </w:pPr>
            <w:r w:rsidRPr="00E81689">
              <w:rPr>
                <w:b/>
                <w:sz w:val="20"/>
                <w:szCs w:val="20"/>
              </w:rPr>
              <w:t>D-Series</w:t>
            </w:r>
            <w:r w:rsidR="00E81689">
              <w:rPr>
                <w:b/>
                <w:sz w:val="20"/>
                <w:szCs w:val="20"/>
              </w:rPr>
              <w:t xml:space="preserve"> </w:t>
            </w:r>
            <w:r w:rsidRPr="00E81689">
              <w:rPr>
                <w:b/>
                <w:sz w:val="20"/>
                <w:szCs w:val="20"/>
              </w:rPr>
              <w:t>Fuel Type</w:t>
            </w:r>
          </w:p>
        </w:tc>
        <w:tc>
          <w:tcPr>
            <w:tcW w:w="1811" w:type="dxa"/>
            <w:tcBorders>
              <w:top w:val="double" w:sz="6" w:space="0" w:color="auto"/>
              <w:left w:val="single" w:sz="6" w:space="0" w:color="auto"/>
              <w:bottom w:val="nil"/>
              <w:right w:val="single" w:sz="6" w:space="0" w:color="auto"/>
            </w:tcBorders>
            <w:shd w:val="clear" w:color="auto" w:fill="D9D9D9" w:themeFill="background1" w:themeFillShade="D9"/>
          </w:tcPr>
          <w:p w14:paraId="6E9D973C" w14:textId="48E2E914" w:rsidR="005350F3" w:rsidRPr="00E81689" w:rsidRDefault="005350F3" w:rsidP="00E81689">
            <w:pPr>
              <w:keepNext/>
              <w:keepLines/>
              <w:rPr>
                <w:b/>
                <w:sz w:val="20"/>
                <w:szCs w:val="20"/>
              </w:rPr>
            </w:pPr>
            <w:r w:rsidRPr="00E81689">
              <w:rPr>
                <w:b/>
                <w:sz w:val="20"/>
                <w:szCs w:val="20"/>
              </w:rPr>
              <w:t>D-Series</w:t>
            </w:r>
            <w:r w:rsidR="00E81689">
              <w:rPr>
                <w:b/>
                <w:sz w:val="20"/>
                <w:szCs w:val="20"/>
              </w:rPr>
              <w:t xml:space="preserve"> </w:t>
            </w:r>
            <w:r w:rsidRPr="00E81689">
              <w:rPr>
                <w:b/>
                <w:sz w:val="20"/>
                <w:szCs w:val="20"/>
              </w:rPr>
              <w:t>Fuel Type</w:t>
            </w:r>
          </w:p>
        </w:tc>
        <w:tc>
          <w:tcPr>
            <w:tcW w:w="1890" w:type="dxa"/>
            <w:tcBorders>
              <w:top w:val="double" w:sz="6" w:space="0" w:color="auto"/>
              <w:left w:val="single" w:sz="6" w:space="0" w:color="auto"/>
              <w:bottom w:val="nil"/>
              <w:right w:val="single" w:sz="6" w:space="0" w:color="auto"/>
            </w:tcBorders>
            <w:shd w:val="clear" w:color="auto" w:fill="D9D9D9" w:themeFill="background1" w:themeFillShade="D9"/>
          </w:tcPr>
          <w:p w14:paraId="2FF5186B" w14:textId="43FC701E" w:rsidR="005350F3" w:rsidRPr="00E81689" w:rsidRDefault="005350F3" w:rsidP="00E81689">
            <w:pPr>
              <w:keepNext/>
              <w:keepLines/>
              <w:rPr>
                <w:sz w:val="20"/>
                <w:szCs w:val="20"/>
              </w:rPr>
            </w:pPr>
            <w:r w:rsidRPr="00E81689">
              <w:rPr>
                <w:b/>
                <w:sz w:val="20"/>
                <w:szCs w:val="20"/>
              </w:rPr>
              <w:t>D-Series</w:t>
            </w:r>
            <w:r w:rsidR="00E81689">
              <w:rPr>
                <w:b/>
                <w:sz w:val="20"/>
                <w:szCs w:val="20"/>
              </w:rPr>
              <w:t xml:space="preserve"> </w:t>
            </w:r>
            <w:r w:rsidRPr="00E81689">
              <w:rPr>
                <w:b/>
                <w:sz w:val="20"/>
                <w:szCs w:val="20"/>
              </w:rPr>
              <w:t>Fuel Type</w:t>
            </w:r>
          </w:p>
        </w:tc>
        <w:tc>
          <w:tcPr>
            <w:tcW w:w="1080" w:type="dxa"/>
            <w:tcBorders>
              <w:top w:val="double" w:sz="6" w:space="0" w:color="auto"/>
              <w:left w:val="single" w:sz="6" w:space="0" w:color="auto"/>
              <w:bottom w:val="single" w:sz="6" w:space="0" w:color="auto"/>
              <w:right w:val="nil"/>
            </w:tcBorders>
            <w:shd w:val="clear" w:color="auto" w:fill="D9D9D9" w:themeFill="background1" w:themeFillShade="D9"/>
          </w:tcPr>
          <w:p w14:paraId="68B68AC0" w14:textId="7AC01038" w:rsidR="005350F3" w:rsidRPr="00E81689" w:rsidRDefault="005350F3" w:rsidP="00205EAC">
            <w:pPr>
              <w:keepNext/>
              <w:keepLines/>
              <w:rPr>
                <w:sz w:val="20"/>
                <w:szCs w:val="20"/>
              </w:rPr>
            </w:pPr>
            <w:r w:rsidRPr="00E81689">
              <w:rPr>
                <w:b/>
                <w:sz w:val="20"/>
                <w:szCs w:val="20"/>
              </w:rPr>
              <w:t>ACF</w:t>
            </w:r>
          </w:p>
        </w:tc>
        <w:tc>
          <w:tcPr>
            <w:tcW w:w="1080" w:type="dxa"/>
            <w:tcBorders>
              <w:top w:val="double" w:sz="6" w:space="0" w:color="auto"/>
              <w:left w:val="nil"/>
              <w:bottom w:val="single" w:sz="6" w:space="0" w:color="auto"/>
              <w:right w:val="double" w:sz="6" w:space="0" w:color="auto"/>
            </w:tcBorders>
            <w:shd w:val="clear" w:color="auto" w:fill="D9D9D9" w:themeFill="background1" w:themeFillShade="D9"/>
          </w:tcPr>
          <w:p w14:paraId="3DF5C556" w14:textId="303D09AF" w:rsidR="005350F3" w:rsidRPr="00E81689" w:rsidRDefault="00E81689" w:rsidP="00205EAC">
            <w:pPr>
              <w:keepNext/>
              <w:keepLines/>
              <w:rPr>
                <w:sz w:val="20"/>
                <w:szCs w:val="20"/>
              </w:rPr>
            </w:pPr>
            <w:r w:rsidRPr="00E81689">
              <w:rPr>
                <w:b/>
                <w:sz w:val="20"/>
                <w:szCs w:val="20"/>
              </w:rPr>
              <w:t>Option</w:t>
            </w:r>
          </w:p>
        </w:tc>
      </w:tr>
      <w:tr w:rsidR="005350F3" w:rsidRPr="00E81689" w14:paraId="17E16914" w14:textId="77777777" w:rsidTr="00E81689">
        <w:trPr>
          <w:cantSplit/>
          <w:tblHeader/>
        </w:trPr>
        <w:tc>
          <w:tcPr>
            <w:tcW w:w="1747" w:type="dxa"/>
            <w:tcBorders>
              <w:top w:val="nil"/>
              <w:left w:val="nil"/>
              <w:bottom w:val="nil"/>
              <w:right w:val="double" w:sz="6" w:space="0" w:color="auto"/>
            </w:tcBorders>
            <w:shd w:val="clear" w:color="auto" w:fill="FFFFFF" w:themeFill="background1"/>
          </w:tcPr>
          <w:p w14:paraId="5394A5B0" w14:textId="77777777" w:rsidR="005350F3" w:rsidRPr="00E81689" w:rsidRDefault="005350F3" w:rsidP="00205EAC">
            <w:pPr>
              <w:keepNext/>
              <w:keepLines/>
              <w:rPr>
                <w:sz w:val="20"/>
                <w:szCs w:val="20"/>
              </w:rPr>
            </w:pPr>
          </w:p>
        </w:tc>
        <w:tc>
          <w:tcPr>
            <w:tcW w:w="1403" w:type="dxa"/>
            <w:tcBorders>
              <w:top w:val="nil"/>
              <w:left w:val="double" w:sz="6" w:space="0" w:color="auto"/>
              <w:bottom w:val="single" w:sz="6" w:space="0" w:color="auto"/>
              <w:right w:val="single" w:sz="6" w:space="0" w:color="auto"/>
            </w:tcBorders>
            <w:shd w:val="clear" w:color="auto" w:fill="D9D9D9" w:themeFill="background1" w:themeFillShade="D9"/>
          </w:tcPr>
          <w:p w14:paraId="08A52C6E" w14:textId="77777777" w:rsidR="005350F3" w:rsidRPr="00E81689" w:rsidRDefault="005350F3" w:rsidP="00205EAC">
            <w:pPr>
              <w:keepNext/>
              <w:keepLines/>
              <w:rPr>
                <w:sz w:val="20"/>
                <w:szCs w:val="20"/>
              </w:rPr>
            </w:pPr>
          </w:p>
        </w:tc>
        <w:tc>
          <w:tcPr>
            <w:tcW w:w="1789" w:type="dxa"/>
            <w:tcBorders>
              <w:top w:val="nil"/>
              <w:left w:val="single" w:sz="6" w:space="0" w:color="auto"/>
              <w:bottom w:val="single" w:sz="6" w:space="0" w:color="auto"/>
              <w:right w:val="single" w:sz="6" w:space="0" w:color="auto"/>
            </w:tcBorders>
            <w:shd w:val="clear" w:color="auto" w:fill="D9D9D9" w:themeFill="background1" w:themeFillShade="D9"/>
          </w:tcPr>
          <w:p w14:paraId="43A6231F" w14:textId="77777777" w:rsidR="005350F3" w:rsidRPr="00E81689" w:rsidRDefault="005350F3" w:rsidP="00205EAC">
            <w:pPr>
              <w:keepNext/>
              <w:keepLines/>
              <w:rPr>
                <w:sz w:val="20"/>
                <w:szCs w:val="20"/>
              </w:rPr>
            </w:pPr>
          </w:p>
        </w:tc>
        <w:tc>
          <w:tcPr>
            <w:tcW w:w="1811" w:type="dxa"/>
            <w:tcBorders>
              <w:top w:val="nil"/>
              <w:left w:val="single" w:sz="6" w:space="0" w:color="auto"/>
              <w:bottom w:val="single" w:sz="6" w:space="0" w:color="auto"/>
              <w:right w:val="single" w:sz="6" w:space="0" w:color="auto"/>
            </w:tcBorders>
            <w:shd w:val="clear" w:color="auto" w:fill="D9D9D9" w:themeFill="background1" w:themeFillShade="D9"/>
          </w:tcPr>
          <w:p w14:paraId="0F4B39E4" w14:textId="77777777" w:rsidR="005350F3" w:rsidRPr="00E81689" w:rsidRDefault="005350F3" w:rsidP="00205EAC">
            <w:pPr>
              <w:keepNext/>
              <w:keepLines/>
              <w:rPr>
                <w:sz w:val="20"/>
                <w:szCs w:val="20"/>
              </w:rPr>
            </w:pPr>
          </w:p>
        </w:tc>
        <w:tc>
          <w:tcPr>
            <w:tcW w:w="1890" w:type="dxa"/>
            <w:tcBorders>
              <w:top w:val="nil"/>
              <w:left w:val="single" w:sz="6" w:space="0" w:color="auto"/>
              <w:bottom w:val="single" w:sz="6" w:space="0" w:color="auto"/>
              <w:right w:val="single" w:sz="6" w:space="0" w:color="auto"/>
            </w:tcBorders>
            <w:shd w:val="clear" w:color="auto" w:fill="D9D9D9" w:themeFill="background1" w:themeFillShade="D9"/>
          </w:tcPr>
          <w:p w14:paraId="579E27B7" w14:textId="2EBFCDE9" w:rsidR="005350F3" w:rsidRPr="00E81689" w:rsidRDefault="005350F3" w:rsidP="00205EAC">
            <w:pPr>
              <w:keepNext/>
              <w:keepLines/>
              <w:rPr>
                <w:sz w:val="20"/>
                <w:szCs w:val="20"/>
              </w:rPr>
            </w:pPr>
          </w:p>
        </w:tc>
        <w:tc>
          <w:tcPr>
            <w:tcW w:w="1080" w:type="dxa"/>
            <w:tcBorders>
              <w:top w:val="single" w:sz="6" w:space="0" w:color="auto"/>
              <w:left w:val="single" w:sz="6" w:space="0" w:color="auto"/>
              <w:right w:val="single" w:sz="6" w:space="0" w:color="auto"/>
            </w:tcBorders>
            <w:shd w:val="clear" w:color="auto" w:fill="D9D9D9" w:themeFill="background1" w:themeFillShade="D9"/>
          </w:tcPr>
          <w:p w14:paraId="69666DF2" w14:textId="77777777" w:rsidR="005350F3" w:rsidRPr="00E81689" w:rsidRDefault="005350F3" w:rsidP="00205EAC">
            <w:pPr>
              <w:keepNext/>
              <w:keepLines/>
              <w:rPr>
                <w:sz w:val="20"/>
                <w:szCs w:val="20"/>
              </w:rPr>
            </w:pPr>
            <w:r w:rsidRPr="00E81689">
              <w:rPr>
                <w:b/>
                <w:sz w:val="20"/>
                <w:szCs w:val="20"/>
              </w:rPr>
              <w:t>S0</w:t>
            </w:r>
            <w:r w:rsidRPr="00E81689">
              <w:rPr>
                <w:b/>
                <w:sz w:val="20"/>
                <w:szCs w:val="20"/>
                <w:vertAlign w:val="subscript"/>
              </w:rPr>
              <w:t>2</w:t>
            </w:r>
          </w:p>
        </w:tc>
        <w:tc>
          <w:tcPr>
            <w:tcW w:w="1080" w:type="dxa"/>
            <w:tcBorders>
              <w:top w:val="single" w:sz="6" w:space="0" w:color="auto"/>
              <w:left w:val="single" w:sz="6" w:space="0" w:color="auto"/>
            </w:tcBorders>
            <w:shd w:val="clear" w:color="auto" w:fill="D9D9D9" w:themeFill="background1" w:themeFillShade="D9"/>
          </w:tcPr>
          <w:p w14:paraId="1994CE49" w14:textId="77777777" w:rsidR="005350F3" w:rsidRPr="00E81689" w:rsidRDefault="005350F3" w:rsidP="00205EAC">
            <w:pPr>
              <w:keepNext/>
              <w:keepLines/>
              <w:rPr>
                <w:sz w:val="20"/>
                <w:szCs w:val="20"/>
              </w:rPr>
            </w:pPr>
            <w:r w:rsidRPr="00E81689">
              <w:rPr>
                <w:b/>
                <w:sz w:val="20"/>
                <w:szCs w:val="20"/>
              </w:rPr>
              <w:t>PM</w:t>
            </w:r>
          </w:p>
        </w:tc>
      </w:tr>
      <w:tr w:rsidR="005350F3" w:rsidRPr="00E81689" w14:paraId="5DBE4BD9" w14:textId="77777777" w:rsidTr="00E81689">
        <w:trPr>
          <w:cantSplit/>
          <w:tblHeader/>
        </w:trPr>
        <w:tc>
          <w:tcPr>
            <w:tcW w:w="1747" w:type="dxa"/>
            <w:tcBorders>
              <w:top w:val="nil"/>
              <w:left w:val="nil"/>
              <w:bottom w:val="nil"/>
              <w:right w:val="double" w:sz="6" w:space="0" w:color="auto"/>
            </w:tcBorders>
          </w:tcPr>
          <w:p w14:paraId="3D88F51D" w14:textId="32C097C1" w:rsidR="005350F3" w:rsidRPr="00E81689" w:rsidRDefault="005350F3" w:rsidP="008E115E">
            <w:pPr>
              <w:keepNext/>
              <w:keepLines/>
              <w:rPr>
                <w:sz w:val="20"/>
                <w:szCs w:val="20"/>
              </w:rPr>
            </w:pPr>
            <w:r w:rsidRPr="00E81689">
              <w:rPr>
                <w:sz w:val="20"/>
                <w:szCs w:val="20"/>
              </w:rPr>
              <w:t>Fuel-firing Option A</w:t>
            </w:r>
          </w:p>
        </w:tc>
        <w:tc>
          <w:tcPr>
            <w:tcW w:w="1403" w:type="dxa"/>
            <w:tcBorders>
              <w:top w:val="single" w:sz="6" w:space="0" w:color="auto"/>
              <w:left w:val="double" w:sz="6" w:space="0" w:color="auto"/>
              <w:right w:val="single" w:sz="6" w:space="0" w:color="auto"/>
            </w:tcBorders>
          </w:tcPr>
          <w:p w14:paraId="4A303300" w14:textId="218A87A1" w:rsidR="005350F3" w:rsidRPr="00E81689" w:rsidRDefault="005350F3" w:rsidP="008E115E">
            <w:pPr>
              <w:keepNext/>
              <w:keepLines/>
              <w:rPr>
                <w:sz w:val="20"/>
                <w:szCs w:val="20"/>
              </w:rPr>
            </w:pPr>
            <w:r w:rsidRPr="00E81689">
              <w:rPr>
                <w:sz w:val="20"/>
                <w:szCs w:val="20"/>
              </w:rPr>
              <w:t>60DC-1A</w:t>
            </w:r>
          </w:p>
        </w:tc>
        <w:tc>
          <w:tcPr>
            <w:tcW w:w="1789" w:type="dxa"/>
            <w:tcBorders>
              <w:top w:val="single" w:sz="6" w:space="0" w:color="auto"/>
              <w:left w:val="single" w:sz="6" w:space="0" w:color="auto"/>
              <w:right w:val="single" w:sz="6" w:space="0" w:color="auto"/>
            </w:tcBorders>
          </w:tcPr>
          <w:p w14:paraId="36215C32" w14:textId="5A81EE06" w:rsidR="005350F3" w:rsidRPr="00E81689" w:rsidRDefault="005350F3" w:rsidP="008E115E">
            <w:pPr>
              <w:keepNext/>
              <w:keepLines/>
              <w:rPr>
                <w:sz w:val="20"/>
                <w:szCs w:val="20"/>
              </w:rPr>
            </w:pPr>
            <w:r w:rsidRPr="00E81689">
              <w:rPr>
                <w:sz w:val="20"/>
                <w:szCs w:val="20"/>
              </w:rPr>
              <w:t>COAL</w:t>
            </w:r>
          </w:p>
        </w:tc>
        <w:tc>
          <w:tcPr>
            <w:tcW w:w="1811" w:type="dxa"/>
            <w:tcBorders>
              <w:top w:val="single" w:sz="6" w:space="0" w:color="auto"/>
              <w:left w:val="single" w:sz="6" w:space="0" w:color="auto"/>
              <w:right w:val="single" w:sz="6" w:space="0" w:color="auto"/>
            </w:tcBorders>
          </w:tcPr>
          <w:p w14:paraId="029C847C" w14:textId="3B003817" w:rsidR="005350F3" w:rsidRPr="00E81689" w:rsidRDefault="00C30510" w:rsidP="008E115E">
            <w:pPr>
              <w:keepNext/>
              <w:keepLines/>
              <w:rPr>
                <w:sz w:val="20"/>
                <w:szCs w:val="20"/>
              </w:rPr>
            </w:pPr>
            <w:r w:rsidRPr="00E81689">
              <w:rPr>
                <w:sz w:val="20"/>
                <w:szCs w:val="20"/>
              </w:rPr>
              <w:t>COAL</w:t>
            </w:r>
          </w:p>
        </w:tc>
        <w:tc>
          <w:tcPr>
            <w:tcW w:w="1890" w:type="dxa"/>
            <w:tcBorders>
              <w:top w:val="single" w:sz="6" w:space="0" w:color="auto"/>
              <w:left w:val="single" w:sz="6" w:space="0" w:color="auto"/>
              <w:right w:val="single" w:sz="6" w:space="0" w:color="auto"/>
            </w:tcBorders>
          </w:tcPr>
          <w:p w14:paraId="38DAB1CC" w14:textId="53F895ED" w:rsidR="005350F3" w:rsidRPr="00E81689" w:rsidRDefault="005350F3" w:rsidP="008E115E">
            <w:pPr>
              <w:keepNext/>
              <w:keepLines/>
              <w:rPr>
                <w:sz w:val="20"/>
                <w:szCs w:val="20"/>
              </w:rPr>
            </w:pPr>
            <w:r w:rsidRPr="00E81689">
              <w:rPr>
                <w:sz w:val="20"/>
                <w:szCs w:val="20"/>
              </w:rPr>
              <w:t>COAL</w:t>
            </w:r>
          </w:p>
        </w:tc>
        <w:tc>
          <w:tcPr>
            <w:tcW w:w="1080" w:type="dxa"/>
            <w:tcBorders>
              <w:left w:val="single" w:sz="6" w:space="0" w:color="auto"/>
              <w:right w:val="single" w:sz="6" w:space="0" w:color="auto"/>
            </w:tcBorders>
          </w:tcPr>
          <w:p w14:paraId="38E3AB76" w14:textId="25AEA96A" w:rsidR="005350F3" w:rsidRPr="00E81689" w:rsidRDefault="00C30510" w:rsidP="008E115E">
            <w:pPr>
              <w:keepNext/>
              <w:keepLines/>
              <w:rPr>
                <w:sz w:val="20"/>
                <w:szCs w:val="20"/>
              </w:rPr>
            </w:pPr>
            <w:r w:rsidRPr="00E81689">
              <w:rPr>
                <w:sz w:val="20"/>
                <w:szCs w:val="20"/>
              </w:rPr>
              <w:t>55-CL</w:t>
            </w:r>
          </w:p>
        </w:tc>
        <w:tc>
          <w:tcPr>
            <w:tcW w:w="1080" w:type="dxa"/>
            <w:tcBorders>
              <w:left w:val="single" w:sz="6" w:space="0" w:color="auto"/>
            </w:tcBorders>
          </w:tcPr>
          <w:p w14:paraId="1135AB3B" w14:textId="77777777" w:rsidR="005350F3" w:rsidRPr="00E81689" w:rsidRDefault="005350F3" w:rsidP="008E115E">
            <w:pPr>
              <w:keepNext/>
              <w:keepLines/>
              <w:rPr>
                <w:sz w:val="20"/>
                <w:szCs w:val="20"/>
              </w:rPr>
            </w:pPr>
          </w:p>
        </w:tc>
      </w:tr>
      <w:tr w:rsidR="005350F3" w:rsidRPr="00E81689" w14:paraId="02C0FA1C" w14:textId="77777777" w:rsidTr="00E81689">
        <w:trPr>
          <w:cantSplit/>
          <w:tblHeader/>
        </w:trPr>
        <w:tc>
          <w:tcPr>
            <w:tcW w:w="1747" w:type="dxa"/>
            <w:tcBorders>
              <w:top w:val="nil"/>
              <w:left w:val="nil"/>
              <w:bottom w:val="nil"/>
              <w:right w:val="double" w:sz="6" w:space="0" w:color="auto"/>
            </w:tcBorders>
          </w:tcPr>
          <w:p w14:paraId="6870A3AA" w14:textId="4B90A1E1" w:rsidR="005350F3" w:rsidRPr="00E81689" w:rsidRDefault="005350F3" w:rsidP="008E115E">
            <w:pPr>
              <w:keepNext/>
              <w:keepLines/>
              <w:rPr>
                <w:sz w:val="20"/>
                <w:szCs w:val="20"/>
              </w:rPr>
            </w:pPr>
          </w:p>
        </w:tc>
        <w:tc>
          <w:tcPr>
            <w:tcW w:w="1403" w:type="dxa"/>
            <w:tcBorders>
              <w:left w:val="double" w:sz="6" w:space="0" w:color="auto"/>
              <w:right w:val="single" w:sz="6" w:space="0" w:color="auto"/>
            </w:tcBorders>
          </w:tcPr>
          <w:p w14:paraId="444396CF" w14:textId="77D3C526" w:rsidR="005350F3" w:rsidRPr="00E81689" w:rsidRDefault="005350F3" w:rsidP="008E115E">
            <w:pPr>
              <w:keepNext/>
              <w:keepLines/>
              <w:rPr>
                <w:sz w:val="20"/>
                <w:szCs w:val="20"/>
              </w:rPr>
            </w:pPr>
            <w:r w:rsidRPr="00E81689">
              <w:rPr>
                <w:sz w:val="20"/>
                <w:szCs w:val="20"/>
              </w:rPr>
              <w:t>60DC-1B</w:t>
            </w:r>
          </w:p>
        </w:tc>
        <w:tc>
          <w:tcPr>
            <w:tcW w:w="1789" w:type="dxa"/>
            <w:tcBorders>
              <w:left w:val="single" w:sz="6" w:space="0" w:color="auto"/>
              <w:right w:val="single" w:sz="6" w:space="0" w:color="auto"/>
            </w:tcBorders>
          </w:tcPr>
          <w:p w14:paraId="6FFD6C2C" w14:textId="123F421C" w:rsidR="005350F3" w:rsidRPr="00E81689" w:rsidRDefault="005350F3" w:rsidP="008E115E">
            <w:pPr>
              <w:keepNext/>
              <w:keepLines/>
              <w:rPr>
                <w:sz w:val="20"/>
                <w:szCs w:val="20"/>
              </w:rPr>
            </w:pPr>
            <w:r w:rsidRPr="00E81689">
              <w:rPr>
                <w:sz w:val="20"/>
                <w:szCs w:val="20"/>
              </w:rPr>
              <w:t>COAL</w:t>
            </w:r>
          </w:p>
        </w:tc>
        <w:tc>
          <w:tcPr>
            <w:tcW w:w="1811" w:type="dxa"/>
            <w:tcBorders>
              <w:left w:val="single" w:sz="6" w:space="0" w:color="auto"/>
              <w:right w:val="single" w:sz="6" w:space="0" w:color="auto"/>
            </w:tcBorders>
          </w:tcPr>
          <w:p w14:paraId="31D60339" w14:textId="77777777" w:rsidR="005350F3" w:rsidRPr="00E81689" w:rsidRDefault="005350F3" w:rsidP="008E115E">
            <w:pPr>
              <w:keepNext/>
              <w:keepLines/>
              <w:rPr>
                <w:sz w:val="20"/>
                <w:szCs w:val="20"/>
              </w:rPr>
            </w:pPr>
          </w:p>
        </w:tc>
        <w:tc>
          <w:tcPr>
            <w:tcW w:w="1890" w:type="dxa"/>
            <w:tcBorders>
              <w:left w:val="single" w:sz="6" w:space="0" w:color="auto"/>
              <w:right w:val="single" w:sz="6" w:space="0" w:color="auto"/>
            </w:tcBorders>
          </w:tcPr>
          <w:p w14:paraId="682BC02E" w14:textId="4993454A" w:rsidR="005350F3" w:rsidRPr="00E81689" w:rsidRDefault="005350F3" w:rsidP="008E115E">
            <w:pPr>
              <w:keepNext/>
              <w:keepLines/>
              <w:rPr>
                <w:sz w:val="20"/>
                <w:szCs w:val="20"/>
              </w:rPr>
            </w:pPr>
          </w:p>
        </w:tc>
        <w:tc>
          <w:tcPr>
            <w:tcW w:w="1080" w:type="dxa"/>
            <w:tcBorders>
              <w:left w:val="single" w:sz="6" w:space="0" w:color="auto"/>
              <w:right w:val="single" w:sz="6" w:space="0" w:color="auto"/>
            </w:tcBorders>
          </w:tcPr>
          <w:p w14:paraId="717889A3" w14:textId="77777777" w:rsidR="005350F3" w:rsidRPr="00E81689" w:rsidRDefault="005350F3" w:rsidP="008E115E">
            <w:pPr>
              <w:keepNext/>
              <w:keepLines/>
              <w:rPr>
                <w:sz w:val="20"/>
                <w:szCs w:val="20"/>
              </w:rPr>
            </w:pPr>
          </w:p>
        </w:tc>
        <w:tc>
          <w:tcPr>
            <w:tcW w:w="1080" w:type="dxa"/>
            <w:tcBorders>
              <w:left w:val="single" w:sz="6" w:space="0" w:color="auto"/>
            </w:tcBorders>
          </w:tcPr>
          <w:p w14:paraId="384525C1" w14:textId="77777777" w:rsidR="005350F3" w:rsidRPr="00E81689" w:rsidRDefault="005350F3" w:rsidP="008E115E">
            <w:pPr>
              <w:keepNext/>
              <w:keepLines/>
              <w:rPr>
                <w:sz w:val="20"/>
                <w:szCs w:val="20"/>
              </w:rPr>
            </w:pPr>
          </w:p>
        </w:tc>
      </w:tr>
      <w:tr w:rsidR="005350F3" w:rsidRPr="00E81689" w14:paraId="4928ED1E" w14:textId="77777777" w:rsidTr="00E81689">
        <w:trPr>
          <w:cantSplit/>
          <w:tblHeader/>
        </w:trPr>
        <w:tc>
          <w:tcPr>
            <w:tcW w:w="1747" w:type="dxa"/>
            <w:tcBorders>
              <w:top w:val="nil"/>
              <w:left w:val="nil"/>
              <w:bottom w:val="nil"/>
              <w:right w:val="double" w:sz="6" w:space="0" w:color="auto"/>
            </w:tcBorders>
          </w:tcPr>
          <w:p w14:paraId="4047B134" w14:textId="01C9C64B" w:rsidR="005350F3" w:rsidRPr="00E81689" w:rsidRDefault="005350F3" w:rsidP="008E115E">
            <w:pPr>
              <w:keepNext/>
              <w:keepLines/>
              <w:rPr>
                <w:sz w:val="20"/>
                <w:szCs w:val="20"/>
              </w:rPr>
            </w:pPr>
            <w:r w:rsidRPr="00E81689">
              <w:rPr>
                <w:sz w:val="20"/>
                <w:szCs w:val="20"/>
              </w:rPr>
              <w:t>Fuel-firing Option B</w:t>
            </w:r>
          </w:p>
        </w:tc>
        <w:tc>
          <w:tcPr>
            <w:tcW w:w="1403" w:type="dxa"/>
            <w:tcBorders>
              <w:left w:val="double" w:sz="6" w:space="0" w:color="auto"/>
              <w:right w:val="single" w:sz="6" w:space="0" w:color="auto"/>
            </w:tcBorders>
          </w:tcPr>
          <w:p w14:paraId="1965F81B" w14:textId="1D5C462C" w:rsidR="005350F3" w:rsidRPr="00E81689" w:rsidRDefault="005350F3" w:rsidP="008E115E">
            <w:pPr>
              <w:keepNext/>
              <w:keepLines/>
              <w:rPr>
                <w:sz w:val="20"/>
                <w:szCs w:val="20"/>
              </w:rPr>
            </w:pPr>
            <w:r w:rsidRPr="00E81689">
              <w:rPr>
                <w:sz w:val="20"/>
                <w:szCs w:val="20"/>
              </w:rPr>
              <w:t>60DC-2</w:t>
            </w:r>
          </w:p>
        </w:tc>
        <w:tc>
          <w:tcPr>
            <w:tcW w:w="1789" w:type="dxa"/>
            <w:tcBorders>
              <w:left w:val="single" w:sz="6" w:space="0" w:color="auto"/>
              <w:right w:val="single" w:sz="6" w:space="0" w:color="auto"/>
            </w:tcBorders>
          </w:tcPr>
          <w:p w14:paraId="77EBD09D" w14:textId="77FCCFC9" w:rsidR="005350F3" w:rsidRPr="00E81689" w:rsidRDefault="005350F3" w:rsidP="008E115E">
            <w:pPr>
              <w:keepNext/>
              <w:keepLines/>
              <w:rPr>
                <w:sz w:val="20"/>
                <w:szCs w:val="20"/>
              </w:rPr>
            </w:pPr>
            <w:r w:rsidRPr="00E81689">
              <w:rPr>
                <w:sz w:val="20"/>
                <w:szCs w:val="20"/>
              </w:rPr>
              <w:t>WD</w:t>
            </w:r>
          </w:p>
        </w:tc>
        <w:tc>
          <w:tcPr>
            <w:tcW w:w="1811" w:type="dxa"/>
            <w:tcBorders>
              <w:left w:val="single" w:sz="6" w:space="0" w:color="auto"/>
              <w:right w:val="single" w:sz="6" w:space="0" w:color="auto"/>
            </w:tcBorders>
          </w:tcPr>
          <w:p w14:paraId="7D1B3A3C" w14:textId="77777777" w:rsidR="005350F3" w:rsidRPr="00E81689" w:rsidRDefault="005350F3" w:rsidP="008E115E">
            <w:pPr>
              <w:keepNext/>
              <w:keepLines/>
              <w:rPr>
                <w:sz w:val="20"/>
                <w:szCs w:val="20"/>
              </w:rPr>
            </w:pPr>
          </w:p>
        </w:tc>
        <w:tc>
          <w:tcPr>
            <w:tcW w:w="1890" w:type="dxa"/>
            <w:tcBorders>
              <w:left w:val="single" w:sz="6" w:space="0" w:color="auto"/>
              <w:right w:val="single" w:sz="6" w:space="0" w:color="auto"/>
            </w:tcBorders>
          </w:tcPr>
          <w:p w14:paraId="2CAF08B4" w14:textId="7A467C4B" w:rsidR="005350F3" w:rsidRPr="00E81689" w:rsidRDefault="005350F3" w:rsidP="008E115E">
            <w:pPr>
              <w:keepNext/>
              <w:keepLines/>
              <w:rPr>
                <w:sz w:val="20"/>
                <w:szCs w:val="20"/>
              </w:rPr>
            </w:pPr>
          </w:p>
        </w:tc>
        <w:tc>
          <w:tcPr>
            <w:tcW w:w="1080" w:type="dxa"/>
            <w:tcBorders>
              <w:left w:val="single" w:sz="6" w:space="0" w:color="auto"/>
              <w:right w:val="single" w:sz="6" w:space="0" w:color="auto"/>
            </w:tcBorders>
          </w:tcPr>
          <w:p w14:paraId="51EDA9FF" w14:textId="77777777" w:rsidR="005350F3" w:rsidRPr="00E81689" w:rsidRDefault="005350F3" w:rsidP="008E115E">
            <w:pPr>
              <w:keepNext/>
              <w:keepLines/>
              <w:rPr>
                <w:sz w:val="20"/>
                <w:szCs w:val="20"/>
              </w:rPr>
            </w:pPr>
          </w:p>
        </w:tc>
        <w:tc>
          <w:tcPr>
            <w:tcW w:w="1080" w:type="dxa"/>
            <w:tcBorders>
              <w:left w:val="single" w:sz="6" w:space="0" w:color="auto"/>
            </w:tcBorders>
          </w:tcPr>
          <w:p w14:paraId="259F75DA" w14:textId="5C845FD5" w:rsidR="005350F3" w:rsidRPr="00E81689" w:rsidRDefault="005350F3" w:rsidP="008E115E">
            <w:pPr>
              <w:keepNext/>
              <w:keepLines/>
              <w:rPr>
                <w:sz w:val="20"/>
                <w:szCs w:val="20"/>
              </w:rPr>
            </w:pPr>
            <w:r w:rsidRPr="00E81689">
              <w:rPr>
                <w:sz w:val="20"/>
                <w:szCs w:val="20"/>
              </w:rPr>
              <w:t>30+WD</w:t>
            </w:r>
          </w:p>
        </w:tc>
      </w:tr>
      <w:tr w:rsidR="005350F3" w:rsidRPr="00E81689" w14:paraId="7EC115FD" w14:textId="77777777" w:rsidTr="00E81689">
        <w:trPr>
          <w:cantSplit/>
          <w:tblHeader/>
        </w:trPr>
        <w:tc>
          <w:tcPr>
            <w:tcW w:w="1747" w:type="dxa"/>
            <w:tcBorders>
              <w:top w:val="nil"/>
              <w:left w:val="nil"/>
              <w:bottom w:val="nil"/>
              <w:right w:val="double" w:sz="6" w:space="0" w:color="auto"/>
            </w:tcBorders>
          </w:tcPr>
          <w:p w14:paraId="421D6826" w14:textId="7E99338D" w:rsidR="005350F3" w:rsidRPr="00E81689" w:rsidRDefault="005350F3" w:rsidP="008E115E">
            <w:pPr>
              <w:keepNext/>
              <w:keepLines/>
              <w:rPr>
                <w:sz w:val="20"/>
                <w:szCs w:val="20"/>
              </w:rPr>
            </w:pPr>
            <w:r w:rsidRPr="00E81689">
              <w:rPr>
                <w:sz w:val="20"/>
                <w:szCs w:val="20"/>
              </w:rPr>
              <w:t>Fuel-firing Option C</w:t>
            </w:r>
          </w:p>
        </w:tc>
        <w:tc>
          <w:tcPr>
            <w:tcW w:w="1403" w:type="dxa"/>
            <w:tcBorders>
              <w:left w:val="double" w:sz="6" w:space="0" w:color="auto"/>
              <w:bottom w:val="double" w:sz="6" w:space="0" w:color="auto"/>
              <w:right w:val="single" w:sz="6" w:space="0" w:color="auto"/>
            </w:tcBorders>
          </w:tcPr>
          <w:p w14:paraId="7D3141E2" w14:textId="565BACC5" w:rsidR="005350F3" w:rsidRPr="00E81689" w:rsidRDefault="005350F3" w:rsidP="008E115E">
            <w:pPr>
              <w:keepNext/>
              <w:keepLines/>
              <w:rPr>
                <w:sz w:val="20"/>
                <w:szCs w:val="20"/>
              </w:rPr>
            </w:pPr>
            <w:r w:rsidRPr="00E81689">
              <w:rPr>
                <w:sz w:val="20"/>
                <w:szCs w:val="20"/>
              </w:rPr>
              <w:t>60DC-3</w:t>
            </w:r>
          </w:p>
        </w:tc>
        <w:tc>
          <w:tcPr>
            <w:tcW w:w="1789" w:type="dxa"/>
            <w:tcBorders>
              <w:left w:val="single" w:sz="6" w:space="0" w:color="auto"/>
              <w:right w:val="single" w:sz="6" w:space="0" w:color="auto"/>
            </w:tcBorders>
          </w:tcPr>
          <w:p w14:paraId="65B97143" w14:textId="15FFE7D9" w:rsidR="005350F3" w:rsidRPr="00E81689" w:rsidRDefault="005350F3" w:rsidP="008E115E">
            <w:pPr>
              <w:keepNext/>
              <w:keepLines/>
              <w:rPr>
                <w:sz w:val="20"/>
                <w:szCs w:val="20"/>
              </w:rPr>
            </w:pPr>
            <w:r w:rsidRPr="00E81689">
              <w:rPr>
                <w:sz w:val="20"/>
                <w:szCs w:val="20"/>
              </w:rPr>
              <w:t>COAL</w:t>
            </w:r>
          </w:p>
        </w:tc>
        <w:tc>
          <w:tcPr>
            <w:tcW w:w="1811" w:type="dxa"/>
            <w:tcBorders>
              <w:left w:val="single" w:sz="6" w:space="0" w:color="auto"/>
              <w:right w:val="single" w:sz="6" w:space="0" w:color="auto"/>
            </w:tcBorders>
          </w:tcPr>
          <w:p w14:paraId="4F722770" w14:textId="73B9BEEF" w:rsidR="005350F3" w:rsidRPr="00E81689" w:rsidRDefault="00C30510" w:rsidP="008E115E">
            <w:pPr>
              <w:keepNext/>
              <w:keepLines/>
              <w:rPr>
                <w:sz w:val="20"/>
                <w:szCs w:val="20"/>
              </w:rPr>
            </w:pPr>
            <w:r w:rsidRPr="00E81689">
              <w:rPr>
                <w:sz w:val="20"/>
                <w:szCs w:val="20"/>
              </w:rPr>
              <w:t>OIL</w:t>
            </w:r>
          </w:p>
        </w:tc>
        <w:tc>
          <w:tcPr>
            <w:tcW w:w="1890" w:type="dxa"/>
            <w:tcBorders>
              <w:left w:val="single" w:sz="6" w:space="0" w:color="auto"/>
              <w:right w:val="single" w:sz="6" w:space="0" w:color="auto"/>
            </w:tcBorders>
          </w:tcPr>
          <w:p w14:paraId="163B026A" w14:textId="18960CB4" w:rsidR="005350F3" w:rsidRPr="00E81689" w:rsidRDefault="005350F3" w:rsidP="008E115E">
            <w:pPr>
              <w:keepNext/>
              <w:keepLines/>
              <w:rPr>
                <w:sz w:val="20"/>
                <w:szCs w:val="20"/>
              </w:rPr>
            </w:pPr>
          </w:p>
        </w:tc>
        <w:tc>
          <w:tcPr>
            <w:tcW w:w="1080" w:type="dxa"/>
            <w:tcBorders>
              <w:left w:val="single" w:sz="6" w:space="0" w:color="auto"/>
              <w:right w:val="single" w:sz="6" w:space="0" w:color="auto"/>
            </w:tcBorders>
          </w:tcPr>
          <w:p w14:paraId="70D865A3" w14:textId="77777777" w:rsidR="005350F3" w:rsidRPr="00E81689" w:rsidRDefault="005350F3" w:rsidP="008E115E">
            <w:pPr>
              <w:keepNext/>
              <w:keepLines/>
              <w:rPr>
                <w:sz w:val="20"/>
                <w:szCs w:val="20"/>
              </w:rPr>
            </w:pPr>
          </w:p>
        </w:tc>
        <w:tc>
          <w:tcPr>
            <w:tcW w:w="1080" w:type="dxa"/>
            <w:tcBorders>
              <w:left w:val="single" w:sz="6" w:space="0" w:color="auto"/>
            </w:tcBorders>
          </w:tcPr>
          <w:p w14:paraId="38C002D8" w14:textId="5D5D5D32" w:rsidR="005350F3" w:rsidRPr="00E81689" w:rsidRDefault="005350F3" w:rsidP="008E115E">
            <w:pPr>
              <w:keepNext/>
              <w:keepLines/>
              <w:rPr>
                <w:sz w:val="20"/>
                <w:szCs w:val="20"/>
              </w:rPr>
            </w:pPr>
            <w:r w:rsidRPr="00E81689">
              <w:rPr>
                <w:sz w:val="20"/>
                <w:szCs w:val="20"/>
              </w:rPr>
              <w:t>10-OTH</w:t>
            </w:r>
          </w:p>
        </w:tc>
      </w:tr>
    </w:tbl>
    <w:p w14:paraId="422F1CEA" w14:textId="77777777" w:rsidR="00F861CF" w:rsidRPr="0060367D" w:rsidRDefault="00F861CF" w:rsidP="00FD7888">
      <w:pPr>
        <w:pStyle w:val="APDContinueTriangle"/>
      </w:pPr>
      <w:r w:rsidRPr="0060367D">
        <w:t>Continue only for SOP Applications.</w:t>
      </w:r>
    </w:p>
    <w:p w14:paraId="24750F82" w14:textId="77777777" w:rsidR="00F861CF" w:rsidRPr="0060367D" w:rsidRDefault="00F861CF" w:rsidP="0060367D">
      <w:pPr>
        <w:pStyle w:val="APDStrong"/>
      </w:pPr>
      <w:r w:rsidRPr="0060367D">
        <w:t>ACF Option:</w:t>
      </w:r>
    </w:p>
    <w:p w14:paraId="39E0A12E" w14:textId="77777777" w:rsidR="00F861CF" w:rsidRDefault="00F861CF" w:rsidP="0060367D">
      <w:pPr>
        <w:pStyle w:val="APDBodyText"/>
      </w:pPr>
      <w:r w:rsidRPr="0060367D">
        <w:t>Select one of the following ACF options. Enter the code on the form in the space next to the “D-Series Fuel Type” code (FE = Federally Enforceable).</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
      </w:tblPr>
      <w:tblGrid>
        <w:gridCol w:w="1530"/>
        <w:gridCol w:w="2160"/>
        <w:gridCol w:w="4410"/>
        <w:gridCol w:w="2700"/>
      </w:tblGrid>
      <w:tr w:rsidR="00733EA7" w14:paraId="6C2BD64A" w14:textId="77777777" w:rsidTr="009D77C0">
        <w:trPr>
          <w:cantSplit/>
          <w:tblHeader/>
        </w:trPr>
        <w:tc>
          <w:tcPr>
            <w:tcW w:w="1530" w:type="dxa"/>
          </w:tcPr>
          <w:p w14:paraId="2DAB3DDE" w14:textId="6E7DF061" w:rsidR="00733EA7" w:rsidRPr="00A53269" w:rsidRDefault="00733EA7" w:rsidP="00A53269">
            <w:pPr>
              <w:rPr>
                <w:b/>
                <w:bCs/>
              </w:rPr>
            </w:pPr>
            <w:r>
              <w:rPr>
                <w:b/>
                <w:bCs/>
              </w:rPr>
              <w:t>Pollutant</w:t>
            </w:r>
          </w:p>
        </w:tc>
        <w:tc>
          <w:tcPr>
            <w:tcW w:w="2160" w:type="dxa"/>
          </w:tcPr>
          <w:p w14:paraId="410D405D" w14:textId="2254E393" w:rsidR="00733EA7" w:rsidRPr="00A53269" w:rsidRDefault="00733EA7" w:rsidP="00A53269">
            <w:pPr>
              <w:rPr>
                <w:b/>
                <w:bCs/>
              </w:rPr>
            </w:pPr>
            <w:r w:rsidRPr="00A53269">
              <w:rPr>
                <w:b/>
                <w:bCs/>
              </w:rPr>
              <w:t xml:space="preserve">Code </w:t>
            </w:r>
          </w:p>
        </w:tc>
        <w:tc>
          <w:tcPr>
            <w:tcW w:w="4410" w:type="dxa"/>
          </w:tcPr>
          <w:p w14:paraId="346B00DC" w14:textId="02F0188C" w:rsidR="00733EA7" w:rsidRPr="00A53269" w:rsidRDefault="00733EA7" w:rsidP="00A53269">
            <w:pPr>
              <w:rPr>
                <w:b/>
                <w:bCs/>
              </w:rPr>
            </w:pPr>
            <w:r w:rsidRPr="00A53269">
              <w:rPr>
                <w:b/>
                <w:bCs/>
              </w:rPr>
              <w:t>Description</w:t>
            </w:r>
          </w:p>
        </w:tc>
        <w:tc>
          <w:tcPr>
            <w:tcW w:w="2700" w:type="dxa"/>
          </w:tcPr>
          <w:p w14:paraId="080CBFEF" w14:textId="1B018EF7" w:rsidR="00733EA7" w:rsidRPr="00A53269" w:rsidRDefault="00733EA7" w:rsidP="00A53269">
            <w:pPr>
              <w:rPr>
                <w:b/>
                <w:bCs/>
              </w:rPr>
            </w:pPr>
            <w:r w:rsidRPr="00A53269">
              <w:rPr>
                <w:b/>
                <w:bCs/>
              </w:rPr>
              <w:t>Citation</w:t>
            </w:r>
          </w:p>
        </w:tc>
      </w:tr>
      <w:tr w:rsidR="00733EA7" w14:paraId="700390D6" w14:textId="77777777" w:rsidTr="009D77C0">
        <w:trPr>
          <w:cantSplit/>
          <w:tblHeader/>
        </w:trPr>
        <w:tc>
          <w:tcPr>
            <w:tcW w:w="1530" w:type="dxa"/>
          </w:tcPr>
          <w:p w14:paraId="1CF3020B" w14:textId="53CB49B6" w:rsidR="00733EA7" w:rsidRDefault="00733EA7" w:rsidP="00A53269">
            <w:r>
              <w:t>SO</w:t>
            </w:r>
            <w:r w:rsidRPr="00CD2293">
              <w:rPr>
                <w:vertAlign w:val="subscript"/>
              </w:rPr>
              <w:t>2</w:t>
            </w:r>
          </w:p>
        </w:tc>
        <w:tc>
          <w:tcPr>
            <w:tcW w:w="2160" w:type="dxa"/>
          </w:tcPr>
          <w:p w14:paraId="68C8C400" w14:textId="144C869A" w:rsidR="00733EA7" w:rsidRDefault="00733EA7" w:rsidP="00A53269">
            <w:r w:rsidRPr="0060367D">
              <w:t>F55-CL</w:t>
            </w:r>
          </w:p>
        </w:tc>
        <w:tc>
          <w:tcPr>
            <w:tcW w:w="4410" w:type="dxa"/>
          </w:tcPr>
          <w:p w14:paraId="79141C39" w14:textId="5FE64686" w:rsidR="00733EA7" w:rsidRDefault="00733EA7" w:rsidP="00A53269">
            <w:r w:rsidRPr="0060367D">
              <w:t>Coal ACF less than or equal to 55% (FE)</w:t>
            </w:r>
          </w:p>
        </w:tc>
        <w:tc>
          <w:tcPr>
            <w:tcW w:w="2700" w:type="dxa"/>
          </w:tcPr>
          <w:p w14:paraId="138BA9F3" w14:textId="7F04E0EE" w:rsidR="00733EA7" w:rsidRDefault="00733EA7" w:rsidP="00A53269">
            <w:r w:rsidRPr="0060367D">
              <w:t>[60.42c(c)(2)]</w:t>
            </w:r>
          </w:p>
        </w:tc>
      </w:tr>
      <w:tr w:rsidR="00733EA7" w14:paraId="0818B26C" w14:textId="77777777" w:rsidTr="009D77C0">
        <w:trPr>
          <w:cantSplit/>
          <w:tblHeader/>
        </w:trPr>
        <w:tc>
          <w:tcPr>
            <w:tcW w:w="1530" w:type="dxa"/>
          </w:tcPr>
          <w:p w14:paraId="3350296E" w14:textId="77777777" w:rsidR="00733EA7" w:rsidRDefault="00733EA7" w:rsidP="00A53269"/>
        </w:tc>
        <w:tc>
          <w:tcPr>
            <w:tcW w:w="2160" w:type="dxa"/>
          </w:tcPr>
          <w:p w14:paraId="53D85F79" w14:textId="48F4C379" w:rsidR="00733EA7" w:rsidRDefault="00733EA7" w:rsidP="00A53269">
            <w:r w:rsidRPr="0060367D">
              <w:t>55+CL</w:t>
            </w:r>
          </w:p>
        </w:tc>
        <w:tc>
          <w:tcPr>
            <w:tcW w:w="4410" w:type="dxa"/>
          </w:tcPr>
          <w:p w14:paraId="2ED37701" w14:textId="202C6690" w:rsidR="00733EA7" w:rsidRDefault="00733EA7" w:rsidP="00A53269">
            <w:r w:rsidRPr="0060367D">
              <w:t>Coal ACF greater than 55%</w:t>
            </w:r>
          </w:p>
        </w:tc>
        <w:tc>
          <w:tcPr>
            <w:tcW w:w="2700" w:type="dxa"/>
          </w:tcPr>
          <w:p w14:paraId="0189373C" w14:textId="74E1A6BB" w:rsidR="00733EA7" w:rsidRDefault="00733EA7" w:rsidP="00A53269">
            <w:r w:rsidRPr="0060367D">
              <w:t>[60.42c(e)(1)(iii)]</w:t>
            </w:r>
          </w:p>
        </w:tc>
      </w:tr>
      <w:tr w:rsidR="00733EA7" w14:paraId="24480842" w14:textId="77777777" w:rsidTr="009D77C0">
        <w:trPr>
          <w:cantSplit/>
          <w:tblHeader/>
        </w:trPr>
        <w:tc>
          <w:tcPr>
            <w:tcW w:w="1530" w:type="dxa"/>
          </w:tcPr>
          <w:p w14:paraId="5CEECFEE" w14:textId="77777777" w:rsidR="00733EA7" w:rsidRDefault="00733EA7" w:rsidP="00A53269"/>
        </w:tc>
        <w:tc>
          <w:tcPr>
            <w:tcW w:w="2160" w:type="dxa"/>
          </w:tcPr>
          <w:p w14:paraId="36818080" w14:textId="3A86C953" w:rsidR="00733EA7" w:rsidRDefault="00733EA7" w:rsidP="00A53269">
            <w:r w:rsidRPr="0060367D">
              <w:t>55+CL</w:t>
            </w:r>
          </w:p>
        </w:tc>
        <w:tc>
          <w:tcPr>
            <w:tcW w:w="4410" w:type="dxa"/>
          </w:tcPr>
          <w:p w14:paraId="212B745F" w14:textId="62675AA8" w:rsidR="00733EA7" w:rsidRDefault="00733EA7" w:rsidP="00A53269">
            <w:r w:rsidRPr="0060367D">
              <w:t>Other ACF or no ACF</w:t>
            </w:r>
          </w:p>
        </w:tc>
        <w:tc>
          <w:tcPr>
            <w:tcW w:w="2700" w:type="dxa"/>
          </w:tcPr>
          <w:p w14:paraId="1B1C35C8" w14:textId="77777777" w:rsidR="00733EA7" w:rsidRDefault="00733EA7" w:rsidP="00A53269"/>
        </w:tc>
      </w:tr>
    </w:tbl>
    <w:p w14:paraId="6E7F6B46" w14:textId="77777777" w:rsidR="00A53269" w:rsidRPr="00A53269" w:rsidRDefault="00A53269" w:rsidP="00A532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2160"/>
        <w:gridCol w:w="4402"/>
        <w:gridCol w:w="2698"/>
      </w:tblGrid>
      <w:tr w:rsidR="005717E3" w14:paraId="5A2D6D2B" w14:textId="77777777" w:rsidTr="005717E3">
        <w:tc>
          <w:tcPr>
            <w:tcW w:w="1530" w:type="dxa"/>
          </w:tcPr>
          <w:p w14:paraId="46115113" w14:textId="2A9F494C" w:rsidR="005717E3" w:rsidRPr="005717E3" w:rsidRDefault="00733EA7" w:rsidP="005717E3">
            <w:pPr>
              <w:rPr>
                <w:b/>
                <w:bCs/>
              </w:rPr>
            </w:pPr>
            <w:r>
              <w:rPr>
                <w:b/>
                <w:bCs/>
              </w:rPr>
              <w:t>Pollutant</w:t>
            </w:r>
          </w:p>
        </w:tc>
        <w:tc>
          <w:tcPr>
            <w:tcW w:w="2160" w:type="dxa"/>
          </w:tcPr>
          <w:p w14:paraId="216026B6" w14:textId="3EFA5E38" w:rsidR="005717E3" w:rsidRPr="005717E3" w:rsidRDefault="005717E3" w:rsidP="005717E3">
            <w:pPr>
              <w:rPr>
                <w:b/>
                <w:bCs/>
              </w:rPr>
            </w:pPr>
            <w:r w:rsidRPr="005717E3">
              <w:rPr>
                <w:b/>
                <w:bCs/>
              </w:rPr>
              <w:t>Code</w:t>
            </w:r>
          </w:p>
        </w:tc>
        <w:tc>
          <w:tcPr>
            <w:tcW w:w="4402" w:type="dxa"/>
          </w:tcPr>
          <w:p w14:paraId="00B9E1AC" w14:textId="6706B8B5" w:rsidR="005717E3" w:rsidRPr="005717E3" w:rsidRDefault="005717E3" w:rsidP="005717E3">
            <w:pPr>
              <w:rPr>
                <w:b/>
                <w:bCs/>
              </w:rPr>
            </w:pPr>
            <w:r w:rsidRPr="005717E3">
              <w:rPr>
                <w:b/>
                <w:bCs/>
              </w:rPr>
              <w:t>Description</w:t>
            </w:r>
          </w:p>
        </w:tc>
        <w:tc>
          <w:tcPr>
            <w:tcW w:w="2698" w:type="dxa"/>
          </w:tcPr>
          <w:p w14:paraId="761336E2" w14:textId="176996E3" w:rsidR="005717E3" w:rsidRPr="005717E3" w:rsidRDefault="005717E3" w:rsidP="005717E3">
            <w:pPr>
              <w:rPr>
                <w:b/>
                <w:bCs/>
              </w:rPr>
            </w:pPr>
            <w:r w:rsidRPr="005717E3">
              <w:rPr>
                <w:b/>
                <w:bCs/>
              </w:rPr>
              <w:t>Citation</w:t>
            </w:r>
          </w:p>
        </w:tc>
      </w:tr>
      <w:tr w:rsidR="005717E3" w14:paraId="6E79CC2D" w14:textId="77777777" w:rsidTr="00E61E29">
        <w:tc>
          <w:tcPr>
            <w:tcW w:w="1530" w:type="dxa"/>
          </w:tcPr>
          <w:p w14:paraId="1BC1F3BF" w14:textId="0F0FD412" w:rsidR="005717E3" w:rsidRDefault="00733EA7" w:rsidP="005717E3">
            <w:r>
              <w:t>PM</w:t>
            </w:r>
          </w:p>
        </w:tc>
        <w:tc>
          <w:tcPr>
            <w:tcW w:w="2160" w:type="dxa"/>
          </w:tcPr>
          <w:p w14:paraId="7AB0BA27" w14:textId="111990F6" w:rsidR="005717E3" w:rsidRDefault="005717E3" w:rsidP="005717E3">
            <w:r w:rsidRPr="0060367D">
              <w:t>10-OTH</w:t>
            </w:r>
          </w:p>
        </w:tc>
        <w:tc>
          <w:tcPr>
            <w:tcW w:w="4402" w:type="dxa"/>
          </w:tcPr>
          <w:p w14:paraId="68E26D37" w14:textId="1CDAE843" w:rsidR="005717E3" w:rsidRDefault="005717E3" w:rsidP="005717E3">
            <w:r w:rsidRPr="0060367D">
              <w:t>Coal with other fuels and other fuels ACF is less than or equal to 10%</w:t>
            </w:r>
          </w:p>
        </w:tc>
        <w:tc>
          <w:tcPr>
            <w:tcW w:w="2698" w:type="dxa"/>
            <w:vAlign w:val="bottom"/>
          </w:tcPr>
          <w:p w14:paraId="5184CB58" w14:textId="07D77E78" w:rsidR="005717E3" w:rsidRDefault="005717E3" w:rsidP="005717E3">
            <w:r w:rsidRPr="0060367D">
              <w:t>[60.43c(a)(1)]</w:t>
            </w:r>
          </w:p>
        </w:tc>
      </w:tr>
      <w:tr w:rsidR="005717E3" w14:paraId="5C8AF3B5" w14:textId="77777777" w:rsidTr="00E61E29">
        <w:tc>
          <w:tcPr>
            <w:tcW w:w="1530" w:type="dxa"/>
          </w:tcPr>
          <w:p w14:paraId="519AD90D" w14:textId="77777777" w:rsidR="005717E3" w:rsidRDefault="005717E3" w:rsidP="005717E3"/>
        </w:tc>
        <w:tc>
          <w:tcPr>
            <w:tcW w:w="2160" w:type="dxa"/>
          </w:tcPr>
          <w:p w14:paraId="3C85A78E" w14:textId="1EA763E5" w:rsidR="005717E3" w:rsidRDefault="005717E3" w:rsidP="005717E3">
            <w:r w:rsidRPr="0060367D">
              <w:t>F10+OTH</w:t>
            </w:r>
          </w:p>
        </w:tc>
        <w:tc>
          <w:tcPr>
            <w:tcW w:w="4402" w:type="dxa"/>
          </w:tcPr>
          <w:p w14:paraId="6E79D8A3" w14:textId="06F1F70B" w:rsidR="005717E3" w:rsidRDefault="005717E3" w:rsidP="005717E3">
            <w:r w:rsidRPr="0060367D">
              <w:t>Coal with other fuels and other fuels ACF is</w:t>
            </w:r>
            <w:r>
              <w:t xml:space="preserve"> </w:t>
            </w:r>
            <w:r w:rsidRPr="0060367D">
              <w:t>greater than 10% (FE)</w:t>
            </w:r>
          </w:p>
        </w:tc>
        <w:tc>
          <w:tcPr>
            <w:tcW w:w="2698" w:type="dxa"/>
            <w:vAlign w:val="bottom"/>
          </w:tcPr>
          <w:p w14:paraId="5378CE30" w14:textId="4DFA4AF9" w:rsidR="005717E3" w:rsidRDefault="005717E3" w:rsidP="005717E3">
            <w:r w:rsidRPr="0060367D">
              <w:t>[60.43c(a)(2)]</w:t>
            </w:r>
          </w:p>
        </w:tc>
      </w:tr>
      <w:tr w:rsidR="005717E3" w14:paraId="3EEAB276" w14:textId="77777777" w:rsidTr="005717E3">
        <w:tc>
          <w:tcPr>
            <w:tcW w:w="1530" w:type="dxa"/>
          </w:tcPr>
          <w:p w14:paraId="59B452A6" w14:textId="77777777" w:rsidR="005717E3" w:rsidRDefault="005717E3" w:rsidP="005717E3"/>
        </w:tc>
        <w:tc>
          <w:tcPr>
            <w:tcW w:w="2160" w:type="dxa"/>
          </w:tcPr>
          <w:p w14:paraId="75D399B8" w14:textId="38D8AF98" w:rsidR="005717E3" w:rsidRDefault="005717E3" w:rsidP="005717E3">
            <w:r w:rsidRPr="0060367D">
              <w:t>30+WD</w:t>
            </w:r>
          </w:p>
        </w:tc>
        <w:tc>
          <w:tcPr>
            <w:tcW w:w="4402" w:type="dxa"/>
          </w:tcPr>
          <w:p w14:paraId="51BD2BDE" w14:textId="5C8787DE" w:rsidR="005717E3" w:rsidRDefault="005717E3" w:rsidP="005717E3">
            <w:r w:rsidRPr="0060367D">
              <w:t>Wood ACF greater than 30%</w:t>
            </w:r>
          </w:p>
        </w:tc>
        <w:tc>
          <w:tcPr>
            <w:tcW w:w="2698" w:type="dxa"/>
          </w:tcPr>
          <w:p w14:paraId="6148BF95" w14:textId="6EEA6F7B" w:rsidR="005717E3" w:rsidRDefault="005717E3" w:rsidP="005717E3">
            <w:r w:rsidRPr="0060367D">
              <w:t>[60.43c(b)(1)]</w:t>
            </w:r>
          </w:p>
        </w:tc>
      </w:tr>
      <w:tr w:rsidR="005717E3" w14:paraId="4EF9AFE6" w14:textId="77777777" w:rsidTr="005717E3">
        <w:tc>
          <w:tcPr>
            <w:tcW w:w="1530" w:type="dxa"/>
          </w:tcPr>
          <w:p w14:paraId="42FE9E75" w14:textId="77777777" w:rsidR="005717E3" w:rsidRDefault="005717E3" w:rsidP="005717E3"/>
        </w:tc>
        <w:tc>
          <w:tcPr>
            <w:tcW w:w="2160" w:type="dxa"/>
          </w:tcPr>
          <w:p w14:paraId="3D11C067" w14:textId="460A428F" w:rsidR="005717E3" w:rsidRPr="0060367D" w:rsidRDefault="005717E3" w:rsidP="005717E3">
            <w:r w:rsidRPr="0060367D">
              <w:t>F30-WD</w:t>
            </w:r>
          </w:p>
        </w:tc>
        <w:tc>
          <w:tcPr>
            <w:tcW w:w="4402" w:type="dxa"/>
          </w:tcPr>
          <w:p w14:paraId="6D0EF759" w14:textId="258223D8" w:rsidR="005717E3" w:rsidRPr="0060367D" w:rsidRDefault="005717E3" w:rsidP="005717E3">
            <w:r w:rsidRPr="0060367D">
              <w:t>Wood ACF less than or equal to 30%</w:t>
            </w:r>
            <w:r w:rsidR="003D41F5">
              <w:t xml:space="preserve"> (FE)</w:t>
            </w:r>
          </w:p>
        </w:tc>
        <w:tc>
          <w:tcPr>
            <w:tcW w:w="2698" w:type="dxa"/>
          </w:tcPr>
          <w:p w14:paraId="7233F98E" w14:textId="4B2928EA" w:rsidR="005717E3" w:rsidRPr="0060367D" w:rsidRDefault="00E61E29" w:rsidP="005717E3">
            <w:r w:rsidRPr="00E61E29">
              <w:t>[60.43c(b)(2)]</w:t>
            </w:r>
          </w:p>
        </w:tc>
      </w:tr>
      <w:tr w:rsidR="005717E3" w14:paraId="172ABB74" w14:textId="77777777" w:rsidTr="005717E3">
        <w:tc>
          <w:tcPr>
            <w:tcW w:w="1530" w:type="dxa"/>
          </w:tcPr>
          <w:p w14:paraId="5BE50E87" w14:textId="77777777" w:rsidR="005717E3" w:rsidRDefault="005717E3" w:rsidP="005717E3"/>
        </w:tc>
        <w:tc>
          <w:tcPr>
            <w:tcW w:w="2160" w:type="dxa"/>
          </w:tcPr>
          <w:p w14:paraId="7D6B3A3D" w14:textId="73CA8F59" w:rsidR="005717E3" w:rsidRPr="0060367D" w:rsidRDefault="005717E3" w:rsidP="005717E3">
            <w:r w:rsidRPr="0060367D">
              <w:t>OTHR</w:t>
            </w:r>
          </w:p>
        </w:tc>
        <w:tc>
          <w:tcPr>
            <w:tcW w:w="4402" w:type="dxa"/>
          </w:tcPr>
          <w:p w14:paraId="15A63744" w14:textId="382E6608" w:rsidR="005717E3" w:rsidRPr="0060367D" w:rsidRDefault="00C30461" w:rsidP="005717E3">
            <w:r w:rsidRPr="0060367D">
              <w:t>Other ACF or no ACF</w:t>
            </w:r>
          </w:p>
        </w:tc>
        <w:tc>
          <w:tcPr>
            <w:tcW w:w="2698" w:type="dxa"/>
          </w:tcPr>
          <w:p w14:paraId="24A2DDFB" w14:textId="77777777" w:rsidR="005717E3" w:rsidRPr="0060367D" w:rsidRDefault="005717E3" w:rsidP="005717E3"/>
        </w:tc>
      </w:tr>
    </w:tbl>
    <w:p w14:paraId="2FBC427D" w14:textId="77777777" w:rsidR="005717E3" w:rsidRPr="00564B25" w:rsidRDefault="005717E3" w:rsidP="00564B25"/>
    <w:p w14:paraId="1CDC2B67" w14:textId="77777777" w:rsidR="00F861CF" w:rsidRPr="0060367D" w:rsidRDefault="00F861CF" w:rsidP="0060367D">
      <w:pPr>
        <w:pStyle w:val="APDStrong"/>
      </w:pPr>
      <w:r w:rsidRPr="0060367D">
        <w:t>30% Coal Duct Burner:</w:t>
      </w:r>
    </w:p>
    <w:p w14:paraId="69C682B4" w14:textId="77777777" w:rsidR="00015682" w:rsidRDefault="00F861CF" w:rsidP="0060367D">
      <w:pPr>
        <w:pStyle w:val="APDBodyText"/>
        <w:sectPr w:rsidR="00015682" w:rsidSect="0031268E">
          <w:pgSz w:w="12240" w:h="15840" w:code="1"/>
          <w:pgMar w:top="720" w:right="720" w:bottom="720" w:left="720" w:header="720" w:footer="720" w:gutter="0"/>
          <w:cols w:space="720"/>
          <w:titlePg/>
          <w:docGrid w:linePitch="360"/>
        </w:sectPr>
      </w:pPr>
      <w:r w:rsidRPr="0060367D">
        <w:t xml:space="preserve">Enter </w:t>
      </w:r>
      <w:r w:rsidR="00B42127">
        <w:t>YES</w:t>
      </w:r>
      <w:r w:rsidRPr="0060367D">
        <w:t>” if the facility combusts coal in a duct burner as part of a combined cycle system where 30% or less of the heat is from combustion of coal and 70% or more is from exhaust gases entering the duct burner. Otherwise, enter “</w:t>
      </w:r>
      <w:r w:rsidR="00B42127">
        <w:t>NO</w:t>
      </w:r>
      <w:r w:rsidRPr="0060367D">
        <w:t>.”</w:t>
      </w:r>
    </w:p>
    <w:p w14:paraId="609649F7" w14:textId="77777777" w:rsidR="00F861CF" w:rsidRPr="00EF0801" w:rsidRDefault="00F861CF" w:rsidP="00C41FB1">
      <w:pPr>
        <w:pBdr>
          <w:bottom w:val="double" w:sz="6" w:space="1" w:color="auto"/>
        </w:pBdr>
      </w:pPr>
    </w:p>
    <w:bookmarkStart w:id="49" w:name="Table_4b"/>
    <w:p w14:paraId="28649980" w14:textId="5885892C" w:rsidR="00F861CF" w:rsidRPr="005C12FA" w:rsidRDefault="005F7C62" w:rsidP="00A85DB6">
      <w:pPr>
        <w:pStyle w:val="APDChapterTitles"/>
        <w:rPr>
          <w:rStyle w:val="APDTableChapterChar"/>
          <w:rFonts w:eastAsia="Calibri"/>
          <w:b/>
          <w:bCs w:val="0"/>
        </w:rPr>
      </w:pPr>
      <w:r w:rsidRPr="00336685">
        <w:rPr>
          <w:rStyle w:val="Hyperlink"/>
          <w:rFonts w:eastAsia="Calibri"/>
          <w:b/>
          <w:bCs w:val="0"/>
        </w:rPr>
        <w:fldChar w:fldCharType="begin"/>
      </w:r>
      <w:r w:rsidR="00AB6ED7" w:rsidRPr="00336685">
        <w:rPr>
          <w:rStyle w:val="Hyperlink"/>
          <w:b/>
          <w:bCs w:val="0"/>
        </w:rPr>
        <w:instrText>HYPERLINK  \l "TBL_4b" \o "Table 4b"</w:instrText>
      </w:r>
      <w:r w:rsidRPr="00336685">
        <w:rPr>
          <w:rStyle w:val="Hyperlink"/>
          <w:rFonts w:eastAsia="Calibri"/>
          <w:b/>
          <w:bCs w:val="0"/>
        </w:rPr>
      </w:r>
      <w:r w:rsidRPr="00336685">
        <w:rPr>
          <w:rStyle w:val="Hyperlink"/>
          <w:rFonts w:eastAsia="Calibri"/>
          <w:b/>
          <w:bCs w:val="0"/>
        </w:rPr>
        <w:fldChar w:fldCharType="separate"/>
      </w:r>
      <w:bookmarkStart w:id="50" w:name="_Toc180398499"/>
      <w:bookmarkStart w:id="51" w:name="_Toc180398553"/>
      <w:r w:rsidR="00F861CF" w:rsidRPr="00336685">
        <w:rPr>
          <w:rStyle w:val="Hyperlink"/>
          <w:rFonts w:eastAsia="Calibri"/>
          <w:b/>
          <w:bCs w:val="0"/>
        </w:rPr>
        <w:t>Table 4b</w:t>
      </w:r>
      <w:r w:rsidRPr="00336685">
        <w:rPr>
          <w:rStyle w:val="Hyperlink"/>
          <w:rFonts w:eastAsia="Calibri"/>
          <w:b/>
          <w:bCs w:val="0"/>
        </w:rPr>
        <w:fldChar w:fldCharType="end"/>
      </w:r>
      <w:bookmarkEnd w:id="49"/>
      <w:r w:rsidR="00F861CF" w:rsidRPr="00336685">
        <w:rPr>
          <w:rStyle w:val="Hyperlink"/>
          <w:rFonts w:eastAsia="Calibri"/>
          <w:b/>
          <w:bCs w:val="0"/>
        </w:rPr>
        <w:t>:</w:t>
      </w:r>
      <w:r w:rsidR="00F861CF" w:rsidRPr="00EF0801">
        <w:rPr>
          <w:rFonts w:eastAsia="Calibri"/>
          <w:szCs w:val="20"/>
        </w:rPr>
        <w:tab/>
      </w:r>
      <w:r w:rsidR="00F861CF" w:rsidRPr="005C12FA">
        <w:rPr>
          <w:rStyle w:val="APDTableChapterChar"/>
          <w:rFonts w:eastAsia="Calibri"/>
          <w:b/>
        </w:rPr>
        <w:t>Title 40 Code of Federal Regulations Part 60 (40 CFR Part 60)</w:t>
      </w:r>
      <w:r w:rsidR="004062A6" w:rsidRPr="005C12FA">
        <w:rPr>
          <w:rStyle w:val="APDTableChapterChar"/>
          <w:rFonts w:eastAsia="Calibri"/>
          <w:b/>
        </w:rPr>
        <w:t xml:space="preserve">, </w:t>
      </w:r>
      <w:r w:rsidR="00F861CF" w:rsidRPr="005C12FA">
        <w:rPr>
          <w:rStyle w:val="APDTableChapterChar"/>
          <w:rFonts w:eastAsia="Calibri"/>
          <w:b/>
        </w:rPr>
        <w:t>Subpart Dc:  Standards of Performance for Small Industrial-Commercial-Institutional Steam Generating Units</w:t>
      </w:r>
      <w:bookmarkEnd w:id="50"/>
      <w:bookmarkEnd w:id="51"/>
    </w:p>
    <w:p w14:paraId="36618836" w14:textId="77777777" w:rsidR="00F861CF" w:rsidRPr="00EF0801" w:rsidRDefault="00F861CF" w:rsidP="00390EE3">
      <w:pPr>
        <w:pStyle w:val="APDCompleteStar"/>
      </w:pPr>
      <w:r w:rsidRPr="00EF0801">
        <w:t>Complete only if “Construction Date” is “89-05 or 05+” and “Maximum Design Heat Input Capacity” is “10</w:t>
      </w:r>
      <w:r w:rsidRPr="00EF0801">
        <w:noBreakHyphen/>
        <w:t>100.” For SOP applications only.</w:t>
      </w:r>
    </w:p>
    <w:p w14:paraId="56B3543F" w14:textId="54A55AAD" w:rsidR="00F861CF" w:rsidRPr="00EF0801" w:rsidRDefault="00F861CF" w:rsidP="00D7634E">
      <w:pPr>
        <w:pStyle w:val="APDStrong"/>
      </w:pPr>
      <w:r w:rsidRPr="00EF0801">
        <w:t xml:space="preserve">Unit ID </w:t>
      </w:r>
      <w:r w:rsidR="00B42127">
        <w:t>N</w:t>
      </w:r>
      <w:r w:rsidR="00DB742C">
        <w:t>o</w:t>
      </w:r>
      <w:r w:rsidRPr="00EF0801">
        <w:t>.</w:t>
      </w:r>
      <w:r w:rsidRPr="003A1BA2">
        <w:rPr>
          <w:bCs/>
        </w:rPr>
        <w:t>:</w:t>
      </w:r>
    </w:p>
    <w:p w14:paraId="38B3E821" w14:textId="567BF55C" w:rsidR="006B014D" w:rsidRPr="007F7494" w:rsidRDefault="00F861CF" w:rsidP="00CC2642">
      <w:pPr>
        <w:pStyle w:val="APDBodyText"/>
      </w:pPr>
      <w:r w:rsidRPr="007F7494">
        <w:t xml:space="preserve">Enter the identification number (ID </w:t>
      </w:r>
      <w:r w:rsidR="00B42127">
        <w:t>N</w:t>
      </w:r>
      <w:r w:rsidR="005667BA">
        <w:t>o</w:t>
      </w:r>
      <w:r w:rsidRPr="007F7494">
        <w:t>.) for the unit (maximum 10 characters) as li</w:t>
      </w:r>
      <w:r w:rsidR="00956854" w:rsidRPr="007F7494">
        <w:t>sted on Form OP</w:t>
      </w:r>
      <w:r w:rsidR="00956854" w:rsidRPr="007F7494">
        <w:noBreakHyphen/>
        <w:t>SUM (Individual</w:t>
      </w:r>
      <w:r w:rsidR="00FB050E" w:rsidRPr="007F7494">
        <w:t> </w:t>
      </w:r>
      <w:r w:rsidRPr="007F7494">
        <w:t>Unit Summary).</w:t>
      </w:r>
    </w:p>
    <w:p w14:paraId="68DCFB66" w14:textId="6B0EB0C7" w:rsidR="00F861CF" w:rsidRPr="00EF0801" w:rsidRDefault="00F861CF" w:rsidP="00D7634E">
      <w:pPr>
        <w:pStyle w:val="APDStrong"/>
      </w:pPr>
      <w:r w:rsidRPr="00EF0801">
        <w:t xml:space="preserve">SOP Index </w:t>
      </w:r>
      <w:r w:rsidR="00B42127">
        <w:t>N</w:t>
      </w:r>
      <w:r w:rsidR="00DB742C">
        <w:t>o</w:t>
      </w:r>
      <w:r w:rsidRPr="00EF0801">
        <w:t>.</w:t>
      </w:r>
      <w:r w:rsidRPr="003A1BA2">
        <w:rPr>
          <w:bCs/>
        </w:rPr>
        <w:t>:</w:t>
      </w:r>
    </w:p>
    <w:p w14:paraId="455B27D3" w14:textId="46EF6D85" w:rsidR="009C0F72" w:rsidRDefault="00F861CF" w:rsidP="007F7494">
      <w:pPr>
        <w:pStyle w:val="APDBodyText"/>
        <w:rPr>
          <w:b/>
        </w:rPr>
      </w:pPr>
      <w:bookmarkStart w:id="52" w:name="_Hlk528311008"/>
      <w:r w:rsidRPr="00CC2642">
        <w:t>Site operating permit (SOP) applicants should indicate the SOP index number for the unit or group of units (maxim</w:t>
      </w:r>
      <w:r w:rsidR="00956854" w:rsidRPr="00CC2642">
        <w:t>um</w:t>
      </w:r>
      <w:r w:rsidR="00FB050E" w:rsidRPr="00CC2642">
        <w:t> </w:t>
      </w:r>
      <w:r w:rsidR="00956854" w:rsidRPr="00CC2642">
        <w:t>15</w:t>
      </w:r>
      <w:r w:rsidR="00FB050E" w:rsidRPr="00CC2642">
        <w:t> </w:t>
      </w:r>
      <w:r w:rsidRPr="00CC2642">
        <w:t xml:space="preserve">characters consisting of numeric, alphanumeric characters, and/or dashes prefixed by a code for the applicable regulation [i.e., 60KB-XXXX]). For additional information relating to SOP index numbers, </w:t>
      </w:r>
      <w:r w:rsidR="00775600" w:rsidRPr="00CC2642">
        <w:t>please see the Completing FOP Applications – Additional Guidance on the TCEQ website at</w:t>
      </w:r>
      <w:r w:rsidR="00775600" w:rsidRPr="00EF0801">
        <w:t xml:space="preserve"> </w:t>
      </w:r>
      <w:hyperlink r:id="rId25" w:tooltip="TCEQ - Completing FOP Applications - Additional Guidance" w:history="1">
        <w:r w:rsidR="00775600" w:rsidRPr="00F47022">
          <w:rPr>
            <w:rStyle w:val="Hyperlink"/>
          </w:rPr>
          <w:t>www.tceq.texas.gov/permitting/air/guidance/titlev/tv_fop_guidance.html</w:t>
        </w:r>
      </w:hyperlink>
      <w:r w:rsidR="00775600" w:rsidRPr="00EF0801">
        <w:t>.</w:t>
      </w:r>
      <w:bookmarkEnd w:id="52"/>
    </w:p>
    <w:p w14:paraId="648DC9F8" w14:textId="7095FEC1" w:rsidR="00F861CF" w:rsidRPr="00EF0801" w:rsidRDefault="00F861CF" w:rsidP="00D7634E">
      <w:pPr>
        <w:pStyle w:val="APDStrong"/>
      </w:pPr>
      <w:r w:rsidRPr="00EF0801">
        <w:t>Monitoring Type</w:t>
      </w:r>
      <w:r w:rsidRPr="003A1BA2">
        <w:rPr>
          <w:bCs/>
        </w:rPr>
        <w:t>:</w:t>
      </w:r>
    </w:p>
    <w:p w14:paraId="2E8A1CA4" w14:textId="77777777" w:rsidR="00F861CF" w:rsidRPr="007F7494" w:rsidRDefault="00F861CF" w:rsidP="00CC2642">
      <w:pPr>
        <w:pStyle w:val="APDBodyText"/>
      </w:pPr>
      <w:r w:rsidRPr="007F7494">
        <w:t>Designate the monitoring options for each pollutant. Select only the type(s) of monitoring applicable under 40 CFR Part 60, Subpart Dc.</w:t>
      </w:r>
    </w:p>
    <w:p w14:paraId="6A2D98FB" w14:textId="77777777" w:rsidR="00F861CF" w:rsidRPr="00EF0801" w:rsidRDefault="00F861CF" w:rsidP="00D7634E">
      <w:pPr>
        <w:pStyle w:val="APDStrong"/>
      </w:pPr>
      <w:r w:rsidRPr="00EF0801">
        <w:t>PM</w:t>
      </w:r>
      <w:r w:rsidRPr="003A1BA2">
        <w:rPr>
          <w:bCs/>
        </w:rPr>
        <w:t>:</w:t>
      </w:r>
    </w:p>
    <w:p w14:paraId="7252CEDD" w14:textId="77777777" w:rsidR="00F861CF" w:rsidRDefault="00F861CF" w:rsidP="00CC2642">
      <w:pPr>
        <w:pStyle w:val="APDBodyText"/>
      </w:pPr>
      <w:r w:rsidRPr="007F7494">
        <w:t>Select one of the following monitoring options for particulate matter (PM).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676720" w14:paraId="6FD4AED7" w14:textId="77777777" w:rsidTr="00676720">
        <w:trPr>
          <w:cantSplit/>
          <w:tblHeader/>
        </w:trPr>
        <w:tc>
          <w:tcPr>
            <w:tcW w:w="1530" w:type="dxa"/>
          </w:tcPr>
          <w:p w14:paraId="1ED7A6ED" w14:textId="0B512C28" w:rsidR="00676720" w:rsidRPr="00676720" w:rsidRDefault="00676720" w:rsidP="00676720">
            <w:pPr>
              <w:rPr>
                <w:b/>
                <w:bCs/>
              </w:rPr>
            </w:pPr>
            <w:r w:rsidRPr="00676720">
              <w:rPr>
                <w:b/>
                <w:bCs/>
              </w:rPr>
              <w:t>Code</w:t>
            </w:r>
          </w:p>
        </w:tc>
        <w:tc>
          <w:tcPr>
            <w:tcW w:w="8550" w:type="dxa"/>
          </w:tcPr>
          <w:p w14:paraId="522BA7E4" w14:textId="4417AB76" w:rsidR="00676720" w:rsidRPr="00676720" w:rsidRDefault="00676720" w:rsidP="00676720">
            <w:pPr>
              <w:rPr>
                <w:b/>
                <w:bCs/>
              </w:rPr>
            </w:pPr>
            <w:r w:rsidRPr="00676720">
              <w:rPr>
                <w:b/>
                <w:bCs/>
              </w:rPr>
              <w:t>Description</w:t>
            </w:r>
          </w:p>
        </w:tc>
      </w:tr>
      <w:tr w:rsidR="00676720" w14:paraId="583EAF94" w14:textId="77777777" w:rsidTr="00676720">
        <w:trPr>
          <w:cantSplit/>
          <w:tblHeader/>
        </w:trPr>
        <w:tc>
          <w:tcPr>
            <w:tcW w:w="1530" w:type="dxa"/>
          </w:tcPr>
          <w:p w14:paraId="4D446637" w14:textId="5B19AFCA" w:rsidR="00676720" w:rsidRDefault="00676720" w:rsidP="00676720">
            <w:r w:rsidRPr="006A73FB">
              <w:t>CEMS</w:t>
            </w:r>
          </w:p>
        </w:tc>
        <w:tc>
          <w:tcPr>
            <w:tcW w:w="8550" w:type="dxa"/>
          </w:tcPr>
          <w:p w14:paraId="54122C6A" w14:textId="0379B273" w:rsidR="00676720" w:rsidRDefault="00676720" w:rsidP="00676720">
            <w:r w:rsidRPr="006A73FB">
              <w:t>Continuous monitoring system for PM and the facility is not subject to a federally enforceable PM limit of 0.030 lb/MMBtu or less</w:t>
            </w:r>
          </w:p>
        </w:tc>
      </w:tr>
      <w:tr w:rsidR="00676720" w14:paraId="2AE6B59E" w14:textId="77777777" w:rsidTr="00676720">
        <w:trPr>
          <w:cantSplit/>
          <w:tblHeader/>
        </w:trPr>
        <w:tc>
          <w:tcPr>
            <w:tcW w:w="1530" w:type="dxa"/>
          </w:tcPr>
          <w:p w14:paraId="77E2AF22" w14:textId="6EBFA5FD" w:rsidR="00676720" w:rsidRDefault="00676720" w:rsidP="00676720">
            <w:r w:rsidRPr="006A73FB">
              <w:t>CEMS30</w:t>
            </w:r>
          </w:p>
        </w:tc>
        <w:tc>
          <w:tcPr>
            <w:tcW w:w="8550" w:type="dxa"/>
          </w:tcPr>
          <w:p w14:paraId="4E659A8B" w14:textId="494FCE4D" w:rsidR="00676720" w:rsidRDefault="00676720" w:rsidP="00676720">
            <w:r w:rsidRPr="006A73FB">
              <w:t>Continuous monitoring system for PM and the facility is subject to a federally enforceable PM limit of 0.030 lb/MMBtu or less</w:t>
            </w:r>
          </w:p>
        </w:tc>
      </w:tr>
      <w:tr w:rsidR="00676720" w14:paraId="317C86F1" w14:textId="77777777" w:rsidTr="00676720">
        <w:trPr>
          <w:cantSplit/>
          <w:tblHeader/>
        </w:trPr>
        <w:tc>
          <w:tcPr>
            <w:tcW w:w="1530" w:type="dxa"/>
          </w:tcPr>
          <w:p w14:paraId="6FD2302F" w14:textId="15AA2F53" w:rsidR="00676720" w:rsidRDefault="00676720" w:rsidP="00676720">
            <w:r w:rsidRPr="006A73FB">
              <w:t>MTH+</w:t>
            </w:r>
          </w:p>
        </w:tc>
        <w:tc>
          <w:tcPr>
            <w:tcW w:w="8550" w:type="dxa"/>
          </w:tcPr>
          <w:p w14:paraId="6D8F6758" w14:textId="3CE64457" w:rsidR="00676720" w:rsidRDefault="00676720" w:rsidP="00676720">
            <w:r w:rsidRPr="006A73FB">
              <w:t>Method 5, 5B or 17 sampling</w:t>
            </w:r>
          </w:p>
        </w:tc>
      </w:tr>
      <w:tr w:rsidR="00676720" w14:paraId="0FE4769B" w14:textId="77777777" w:rsidTr="00676720">
        <w:trPr>
          <w:cantSplit/>
          <w:tblHeader/>
        </w:trPr>
        <w:tc>
          <w:tcPr>
            <w:tcW w:w="1530" w:type="dxa"/>
          </w:tcPr>
          <w:p w14:paraId="11519BA7" w14:textId="68D8987E" w:rsidR="00676720" w:rsidRDefault="00676720" w:rsidP="00676720">
            <w:r w:rsidRPr="006A73FB">
              <w:t>NONE</w:t>
            </w:r>
          </w:p>
        </w:tc>
        <w:tc>
          <w:tcPr>
            <w:tcW w:w="8550" w:type="dxa"/>
          </w:tcPr>
          <w:p w14:paraId="02CD0FD1" w14:textId="585F0046" w:rsidR="00676720" w:rsidRDefault="00676720" w:rsidP="00676720">
            <w:r w:rsidRPr="006A73FB">
              <w:t>No particulate monitoring because there is no applicable PM emission limit.</w:t>
            </w:r>
          </w:p>
        </w:tc>
      </w:tr>
    </w:tbl>
    <w:p w14:paraId="1999290D" w14:textId="4F30EE46" w:rsidR="00F861CF" w:rsidRPr="00EF0801" w:rsidRDefault="004F6614" w:rsidP="004D16CE">
      <w:pPr>
        <w:pStyle w:val="APDStrong"/>
        <w:spacing w:before="120"/>
      </w:pPr>
      <w:r>
        <w:t>SO</w:t>
      </w:r>
      <w:r w:rsidR="005C17AC" w:rsidRPr="005C17AC">
        <w:rPr>
          <w:vertAlign w:val="subscript"/>
        </w:rPr>
        <w:t>2</w:t>
      </w:r>
      <w:r w:rsidR="00F861CF" w:rsidRPr="00EF0801">
        <w:t xml:space="preserve"> Inlet</w:t>
      </w:r>
      <w:r w:rsidR="00F861CF" w:rsidRPr="003A1BA2">
        <w:rPr>
          <w:bCs/>
        </w:rPr>
        <w:t>:</w:t>
      </w:r>
    </w:p>
    <w:p w14:paraId="23C8917F" w14:textId="0513685C" w:rsidR="00F861CF" w:rsidRDefault="00F861CF" w:rsidP="00CC2642">
      <w:pPr>
        <w:pStyle w:val="APDBodyText"/>
      </w:pPr>
      <w:r w:rsidRPr="00EF0801">
        <w:t xml:space="preserve">Select one of the following monitoring options for </w:t>
      </w:r>
      <w:r w:rsidR="004F6614">
        <w:t>SO</w:t>
      </w:r>
      <w:r w:rsidR="00E61E29" w:rsidRPr="00E61E29">
        <w:rPr>
          <w:vertAlign w:val="subscript"/>
        </w:rPr>
        <w:t>2</w:t>
      </w:r>
      <w:r w:rsidRPr="00EF0801">
        <w:t xml:space="preserve"> at the control device inlet or outlet of the steam generating unit if no </w:t>
      </w:r>
      <w:r w:rsidR="004F6614">
        <w:t>SO</w:t>
      </w:r>
      <w:r w:rsidR="0085248B" w:rsidRPr="0085248B">
        <w:rPr>
          <w:vertAlign w:val="subscript"/>
        </w:rPr>
        <w:t>2</w:t>
      </w:r>
      <w:r w:rsidRPr="00EF0801">
        <w:t xml:space="preserve"> control device is used.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C12DDD" w14:paraId="31CE850D" w14:textId="77777777" w:rsidTr="00C12DDD">
        <w:trPr>
          <w:cantSplit/>
          <w:tblHeader/>
        </w:trPr>
        <w:tc>
          <w:tcPr>
            <w:tcW w:w="1530" w:type="dxa"/>
          </w:tcPr>
          <w:p w14:paraId="2CAC1F89" w14:textId="60EB94A2" w:rsidR="00C12DDD" w:rsidRPr="00C12DDD" w:rsidRDefault="00C12DDD" w:rsidP="00C12DDD">
            <w:pPr>
              <w:rPr>
                <w:b/>
                <w:bCs/>
              </w:rPr>
            </w:pPr>
            <w:r w:rsidRPr="00C12DDD">
              <w:rPr>
                <w:b/>
                <w:bCs/>
              </w:rPr>
              <w:t>Code</w:t>
            </w:r>
          </w:p>
        </w:tc>
        <w:tc>
          <w:tcPr>
            <w:tcW w:w="8550" w:type="dxa"/>
          </w:tcPr>
          <w:p w14:paraId="6242A55B" w14:textId="48B1FADF" w:rsidR="00C12DDD" w:rsidRPr="00C12DDD" w:rsidRDefault="00C12DDD" w:rsidP="00C12DDD">
            <w:pPr>
              <w:rPr>
                <w:b/>
                <w:bCs/>
              </w:rPr>
            </w:pPr>
            <w:r w:rsidRPr="00C12DDD">
              <w:rPr>
                <w:b/>
                <w:bCs/>
              </w:rPr>
              <w:t>Description</w:t>
            </w:r>
          </w:p>
        </w:tc>
      </w:tr>
      <w:tr w:rsidR="00C12DDD" w14:paraId="6CBFDFBF" w14:textId="77777777" w:rsidTr="00C12DDD">
        <w:trPr>
          <w:cantSplit/>
          <w:tblHeader/>
        </w:trPr>
        <w:tc>
          <w:tcPr>
            <w:tcW w:w="1530" w:type="dxa"/>
          </w:tcPr>
          <w:p w14:paraId="5AD31A43" w14:textId="6EF205B1" w:rsidR="00C12DDD" w:rsidRDefault="00C12DDD" w:rsidP="00C12DDD">
            <w:r w:rsidRPr="00A02C55">
              <w:t>ASFRD</w:t>
            </w:r>
          </w:p>
        </w:tc>
        <w:tc>
          <w:tcPr>
            <w:tcW w:w="8550" w:type="dxa"/>
          </w:tcPr>
          <w:p w14:paraId="6FA374AC" w14:textId="55D1387B" w:rsidR="00C12DDD" w:rsidRDefault="00C12DDD" w:rsidP="00C12DDD">
            <w:r w:rsidRPr="00A02C55">
              <w:t>Daily as-fired sampling</w:t>
            </w:r>
          </w:p>
        </w:tc>
      </w:tr>
      <w:tr w:rsidR="00C12DDD" w14:paraId="2119DD33" w14:textId="77777777" w:rsidTr="00C12DDD">
        <w:trPr>
          <w:cantSplit/>
          <w:tblHeader/>
        </w:trPr>
        <w:tc>
          <w:tcPr>
            <w:tcW w:w="1530" w:type="dxa"/>
          </w:tcPr>
          <w:p w14:paraId="17F78692" w14:textId="5670B726" w:rsidR="00C12DDD" w:rsidRDefault="00C12DDD" w:rsidP="00C12DDD">
            <w:r w:rsidRPr="00A02C55">
              <w:t>FLTNK</w:t>
            </w:r>
          </w:p>
        </w:tc>
        <w:tc>
          <w:tcPr>
            <w:tcW w:w="8550" w:type="dxa"/>
          </w:tcPr>
          <w:p w14:paraId="0DF23CF9" w14:textId="3D2F1F4C" w:rsidR="00C12DDD" w:rsidRDefault="00C12DDD" w:rsidP="00C12DDD">
            <w:r w:rsidRPr="00A02C55">
              <w:t>Shipment fuel sampling</w:t>
            </w:r>
          </w:p>
        </w:tc>
      </w:tr>
      <w:tr w:rsidR="00C12DDD" w14:paraId="03E17750" w14:textId="77777777" w:rsidTr="00C12DDD">
        <w:trPr>
          <w:cantSplit/>
          <w:tblHeader/>
        </w:trPr>
        <w:tc>
          <w:tcPr>
            <w:tcW w:w="1530" w:type="dxa"/>
          </w:tcPr>
          <w:p w14:paraId="78479E9A" w14:textId="53D06F10" w:rsidR="00C12DDD" w:rsidRDefault="00C12DDD" w:rsidP="00C12DDD">
            <w:r w:rsidRPr="00A02C55">
              <w:t>MTH6B</w:t>
            </w:r>
          </w:p>
        </w:tc>
        <w:tc>
          <w:tcPr>
            <w:tcW w:w="8550" w:type="dxa"/>
          </w:tcPr>
          <w:p w14:paraId="6E9C792C" w14:textId="7E41AB73" w:rsidR="00C12DDD" w:rsidRDefault="00C12DDD" w:rsidP="00C12DDD">
            <w:r w:rsidRPr="00A02C55">
              <w:t>Method 6B sampling</w:t>
            </w:r>
          </w:p>
        </w:tc>
      </w:tr>
      <w:tr w:rsidR="00C12DDD" w14:paraId="69AD6C5E" w14:textId="77777777" w:rsidTr="00C12DDD">
        <w:trPr>
          <w:cantSplit/>
          <w:tblHeader/>
        </w:trPr>
        <w:tc>
          <w:tcPr>
            <w:tcW w:w="1530" w:type="dxa"/>
          </w:tcPr>
          <w:p w14:paraId="7BAAE1F2" w14:textId="385B5789" w:rsidR="00C12DDD" w:rsidRDefault="00C12DDD" w:rsidP="00C12DDD">
            <w:r w:rsidRPr="00A02C55">
              <w:t>FLCRT</w:t>
            </w:r>
          </w:p>
        </w:tc>
        <w:tc>
          <w:tcPr>
            <w:tcW w:w="8550" w:type="dxa"/>
          </w:tcPr>
          <w:p w14:paraId="65AAEF5B" w14:textId="2339E6E2" w:rsidR="00C12DDD" w:rsidRDefault="00C12DDD" w:rsidP="00C12DDD">
            <w:r w:rsidRPr="00A02C55">
              <w:t>Fuel certification (or maintaining receipts)</w:t>
            </w:r>
          </w:p>
        </w:tc>
      </w:tr>
      <w:tr w:rsidR="00C12DDD" w14:paraId="54D48825" w14:textId="77777777" w:rsidTr="00C12DDD">
        <w:trPr>
          <w:cantSplit/>
          <w:tblHeader/>
        </w:trPr>
        <w:tc>
          <w:tcPr>
            <w:tcW w:w="1530" w:type="dxa"/>
          </w:tcPr>
          <w:p w14:paraId="3D234B15" w14:textId="7F5B23D8" w:rsidR="00C12DDD" w:rsidRDefault="00C12DDD" w:rsidP="00C12DDD">
            <w:r w:rsidRPr="00A02C55">
              <w:t>CEM</w:t>
            </w:r>
          </w:p>
        </w:tc>
        <w:tc>
          <w:tcPr>
            <w:tcW w:w="8550" w:type="dxa"/>
          </w:tcPr>
          <w:p w14:paraId="0E0444EA" w14:textId="667B1B10" w:rsidR="00C12DDD" w:rsidRDefault="00C12DDD" w:rsidP="00C12DDD">
            <w:r w:rsidRPr="00A02C55">
              <w:t>Continuous emission monitoring system</w:t>
            </w:r>
          </w:p>
        </w:tc>
      </w:tr>
      <w:tr w:rsidR="00C12DDD" w14:paraId="4BF5F08D" w14:textId="77777777" w:rsidTr="00C12DDD">
        <w:trPr>
          <w:cantSplit/>
          <w:tblHeader/>
        </w:trPr>
        <w:tc>
          <w:tcPr>
            <w:tcW w:w="1530" w:type="dxa"/>
          </w:tcPr>
          <w:p w14:paraId="7877C3B0" w14:textId="1BCA2FEC" w:rsidR="00C12DDD" w:rsidRDefault="00C12DDD" w:rsidP="00C12DDD">
            <w:r w:rsidRPr="00A02C55">
              <w:t>NONE</w:t>
            </w:r>
          </w:p>
        </w:tc>
        <w:tc>
          <w:tcPr>
            <w:tcW w:w="8550" w:type="dxa"/>
          </w:tcPr>
          <w:p w14:paraId="259B2562" w14:textId="369D34EC" w:rsidR="00C12DDD" w:rsidRDefault="00C12DDD" w:rsidP="00C12DDD">
            <w:r w:rsidRPr="00A02C55">
              <w:t>No SO</w:t>
            </w:r>
            <w:r w:rsidRPr="00A02C55">
              <w:rPr>
                <w:vertAlign w:val="subscript"/>
              </w:rPr>
              <w:t>2</w:t>
            </w:r>
            <w:r w:rsidRPr="00A02C55">
              <w:t xml:space="preserve"> monitoring because there is no applicable SO</w:t>
            </w:r>
            <w:r w:rsidRPr="00A02C55">
              <w:rPr>
                <w:vertAlign w:val="subscript"/>
              </w:rPr>
              <w:t>2</w:t>
            </w:r>
            <w:r w:rsidRPr="00A02C55">
              <w:t xml:space="preserve"> emission limit</w:t>
            </w:r>
          </w:p>
        </w:tc>
      </w:tr>
    </w:tbl>
    <w:p w14:paraId="253178C4" w14:textId="77777777" w:rsidR="007B5914" w:rsidRDefault="007B5914" w:rsidP="00BE3BDF">
      <w:pPr>
        <w:pStyle w:val="APDStrong"/>
        <w:spacing w:before="120"/>
        <w:sectPr w:rsidR="007B5914" w:rsidSect="0031268E">
          <w:pgSz w:w="12240" w:h="15840" w:code="1"/>
          <w:pgMar w:top="720" w:right="720" w:bottom="720" w:left="720" w:header="720" w:footer="720" w:gutter="0"/>
          <w:cols w:space="720"/>
          <w:titlePg/>
          <w:docGrid w:linePitch="360"/>
        </w:sectPr>
      </w:pPr>
    </w:p>
    <w:p w14:paraId="139F44A0" w14:textId="2331E0FA" w:rsidR="008A2BDA" w:rsidRDefault="004F6614" w:rsidP="00BE3BDF">
      <w:pPr>
        <w:pStyle w:val="APDStrong"/>
        <w:spacing w:before="120"/>
        <w:rPr>
          <w:bCs/>
        </w:rPr>
      </w:pPr>
      <w:r>
        <w:lastRenderedPageBreak/>
        <w:t>SO</w:t>
      </w:r>
      <w:r w:rsidR="005C17AC" w:rsidRPr="005C17AC">
        <w:rPr>
          <w:vertAlign w:val="subscript"/>
        </w:rPr>
        <w:t>2</w:t>
      </w:r>
      <w:r w:rsidR="00F861CF" w:rsidRPr="00EF0801">
        <w:t xml:space="preserve"> Outlet</w:t>
      </w:r>
      <w:r w:rsidR="00F861CF" w:rsidRPr="003A1BA2">
        <w:rPr>
          <w:bCs/>
        </w:rPr>
        <w:t>:</w:t>
      </w:r>
    </w:p>
    <w:p w14:paraId="40DF0CA9" w14:textId="4B909FBA" w:rsidR="00F861CF" w:rsidRDefault="00F861CF" w:rsidP="00CC2642">
      <w:pPr>
        <w:pStyle w:val="APDBodyText"/>
      </w:pPr>
      <w:r w:rsidRPr="00EF0801">
        <w:t xml:space="preserve">Select one of the following monitoring options for </w:t>
      </w:r>
      <w:r w:rsidR="004F6614">
        <w:t>SO</w:t>
      </w:r>
      <w:r w:rsidR="005C17AC" w:rsidRPr="005C17AC">
        <w:rPr>
          <w:vertAlign w:val="subscript"/>
        </w:rPr>
        <w:t>2</w:t>
      </w:r>
      <w:r w:rsidRPr="00EF0801">
        <w:t xml:space="preserve"> at the control device outlet.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D532E1" w14:paraId="7620D922" w14:textId="77777777" w:rsidTr="00D532E1">
        <w:trPr>
          <w:cantSplit/>
          <w:tblHeader/>
        </w:trPr>
        <w:tc>
          <w:tcPr>
            <w:tcW w:w="1530" w:type="dxa"/>
          </w:tcPr>
          <w:p w14:paraId="132BA69C" w14:textId="03217841" w:rsidR="00D532E1" w:rsidRPr="00D532E1" w:rsidRDefault="00D532E1" w:rsidP="00D532E1">
            <w:pPr>
              <w:rPr>
                <w:b/>
                <w:bCs/>
              </w:rPr>
            </w:pPr>
            <w:r w:rsidRPr="00D532E1">
              <w:rPr>
                <w:b/>
                <w:bCs/>
              </w:rPr>
              <w:t>Code</w:t>
            </w:r>
          </w:p>
        </w:tc>
        <w:tc>
          <w:tcPr>
            <w:tcW w:w="8550" w:type="dxa"/>
          </w:tcPr>
          <w:p w14:paraId="0CA37735" w14:textId="360F1AD9" w:rsidR="00D532E1" w:rsidRPr="00D532E1" w:rsidRDefault="00D532E1" w:rsidP="00D532E1">
            <w:pPr>
              <w:rPr>
                <w:b/>
                <w:bCs/>
              </w:rPr>
            </w:pPr>
            <w:r w:rsidRPr="00D532E1">
              <w:rPr>
                <w:b/>
                <w:bCs/>
              </w:rPr>
              <w:t>Description</w:t>
            </w:r>
          </w:p>
        </w:tc>
      </w:tr>
      <w:tr w:rsidR="00D532E1" w14:paraId="5C86E026" w14:textId="77777777" w:rsidTr="00D532E1">
        <w:trPr>
          <w:cantSplit/>
          <w:tblHeader/>
        </w:trPr>
        <w:tc>
          <w:tcPr>
            <w:tcW w:w="1530" w:type="dxa"/>
          </w:tcPr>
          <w:p w14:paraId="6536E5FC" w14:textId="7C85CA60" w:rsidR="00D532E1" w:rsidRDefault="00D532E1" w:rsidP="00D532E1">
            <w:r w:rsidRPr="00466045">
              <w:t>CEM</w:t>
            </w:r>
          </w:p>
        </w:tc>
        <w:tc>
          <w:tcPr>
            <w:tcW w:w="8550" w:type="dxa"/>
          </w:tcPr>
          <w:p w14:paraId="0621DF79" w14:textId="33B1CA06" w:rsidR="00D532E1" w:rsidRDefault="00D532E1" w:rsidP="00D532E1">
            <w:r w:rsidRPr="00466045">
              <w:t>Continuous emission monitoring system</w:t>
            </w:r>
          </w:p>
        </w:tc>
      </w:tr>
      <w:tr w:rsidR="00D532E1" w14:paraId="691772A7" w14:textId="77777777" w:rsidTr="00D532E1">
        <w:trPr>
          <w:cantSplit/>
          <w:tblHeader/>
        </w:trPr>
        <w:tc>
          <w:tcPr>
            <w:tcW w:w="1530" w:type="dxa"/>
          </w:tcPr>
          <w:p w14:paraId="3D51FEAD" w14:textId="46A0197A" w:rsidR="00D532E1" w:rsidRDefault="00D532E1" w:rsidP="00D532E1">
            <w:r w:rsidRPr="00466045">
              <w:t>MTH6B</w:t>
            </w:r>
          </w:p>
        </w:tc>
        <w:tc>
          <w:tcPr>
            <w:tcW w:w="8550" w:type="dxa"/>
          </w:tcPr>
          <w:p w14:paraId="0DA409C5" w14:textId="06FE3A3C" w:rsidR="00D532E1" w:rsidRDefault="00D532E1" w:rsidP="00D532E1">
            <w:r w:rsidRPr="00466045">
              <w:t>Method 6B sampling</w:t>
            </w:r>
          </w:p>
        </w:tc>
      </w:tr>
      <w:tr w:rsidR="00D532E1" w14:paraId="2FDCAAFF" w14:textId="77777777" w:rsidTr="00D532E1">
        <w:trPr>
          <w:cantSplit/>
          <w:tblHeader/>
        </w:trPr>
        <w:tc>
          <w:tcPr>
            <w:tcW w:w="1530" w:type="dxa"/>
          </w:tcPr>
          <w:p w14:paraId="43965153" w14:textId="620CCC43" w:rsidR="00D532E1" w:rsidRDefault="00D532E1" w:rsidP="00D532E1">
            <w:r w:rsidRPr="00466045">
              <w:t>NONE</w:t>
            </w:r>
          </w:p>
        </w:tc>
        <w:tc>
          <w:tcPr>
            <w:tcW w:w="8550" w:type="dxa"/>
          </w:tcPr>
          <w:p w14:paraId="78BAC320" w14:textId="20051696" w:rsidR="00D532E1" w:rsidRDefault="00D532E1" w:rsidP="00D532E1">
            <w:r w:rsidRPr="00466045">
              <w:t>No SO</w:t>
            </w:r>
            <w:r w:rsidRPr="00466045">
              <w:rPr>
                <w:vertAlign w:val="subscript"/>
              </w:rPr>
              <w:t>2</w:t>
            </w:r>
            <w:r w:rsidRPr="00466045">
              <w:t xml:space="preserve"> monitoring because there is no applicable SO</w:t>
            </w:r>
            <w:r w:rsidRPr="00466045">
              <w:rPr>
                <w:vertAlign w:val="subscript"/>
              </w:rPr>
              <w:t>2</w:t>
            </w:r>
            <w:r w:rsidRPr="00466045">
              <w:t xml:space="preserve"> emission limit</w:t>
            </w:r>
          </w:p>
        </w:tc>
      </w:tr>
    </w:tbl>
    <w:p w14:paraId="557822F3" w14:textId="77777777" w:rsidR="00F861CF" w:rsidRPr="00EF0801" w:rsidRDefault="00F861CF" w:rsidP="003472DA">
      <w:pPr>
        <w:pStyle w:val="APDStrong"/>
        <w:spacing w:before="120"/>
      </w:pPr>
      <w:r w:rsidRPr="00EF0801">
        <w:t>Technology Type</w:t>
      </w:r>
      <w:r w:rsidRPr="003A1BA2">
        <w:rPr>
          <w:bCs/>
        </w:rPr>
        <w:t>:</w:t>
      </w:r>
    </w:p>
    <w:p w14:paraId="7CE19798" w14:textId="77777777" w:rsidR="00F861CF" w:rsidRDefault="00F861CF" w:rsidP="001127D1">
      <w:pPr>
        <w:pStyle w:val="APDBodyText"/>
      </w:pPr>
      <w:r w:rsidRPr="00EF0801">
        <w:t>Select one of the following technology type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2803A1" w14:paraId="601F8BA4" w14:textId="77777777" w:rsidTr="002803A1">
        <w:tc>
          <w:tcPr>
            <w:tcW w:w="1530" w:type="dxa"/>
          </w:tcPr>
          <w:p w14:paraId="3E60F5BA" w14:textId="1C971EB7" w:rsidR="002803A1" w:rsidRPr="002803A1" w:rsidRDefault="002803A1" w:rsidP="002803A1">
            <w:pPr>
              <w:rPr>
                <w:b/>
                <w:bCs/>
              </w:rPr>
            </w:pPr>
            <w:r w:rsidRPr="002803A1">
              <w:rPr>
                <w:b/>
                <w:bCs/>
              </w:rPr>
              <w:t>Code</w:t>
            </w:r>
          </w:p>
        </w:tc>
        <w:tc>
          <w:tcPr>
            <w:tcW w:w="8550" w:type="dxa"/>
          </w:tcPr>
          <w:p w14:paraId="28BFC61A" w14:textId="6C8208A7" w:rsidR="002803A1" w:rsidRPr="002803A1" w:rsidRDefault="002803A1" w:rsidP="002803A1">
            <w:pPr>
              <w:rPr>
                <w:b/>
                <w:bCs/>
              </w:rPr>
            </w:pPr>
            <w:r w:rsidRPr="002803A1">
              <w:rPr>
                <w:b/>
                <w:bCs/>
              </w:rPr>
              <w:t>Description</w:t>
            </w:r>
          </w:p>
        </w:tc>
      </w:tr>
      <w:tr w:rsidR="002803A1" w14:paraId="6C7EFAFB" w14:textId="77777777" w:rsidTr="002803A1">
        <w:tc>
          <w:tcPr>
            <w:tcW w:w="1530" w:type="dxa"/>
          </w:tcPr>
          <w:p w14:paraId="353CF542" w14:textId="5392D505" w:rsidR="002803A1" w:rsidRDefault="002803A1" w:rsidP="002803A1">
            <w:r w:rsidRPr="00DA2F16">
              <w:t>FLDBD</w:t>
            </w:r>
          </w:p>
        </w:tc>
        <w:tc>
          <w:tcPr>
            <w:tcW w:w="8550" w:type="dxa"/>
          </w:tcPr>
          <w:p w14:paraId="7E99C747" w14:textId="4302FF73" w:rsidR="002803A1" w:rsidRDefault="002803A1" w:rsidP="002803A1">
            <w:r w:rsidRPr="00DA2F16">
              <w:t>Fluidized bed combustion (conventional technology)</w:t>
            </w:r>
          </w:p>
        </w:tc>
      </w:tr>
      <w:tr w:rsidR="002803A1" w14:paraId="0D8788CA" w14:textId="77777777" w:rsidTr="002803A1">
        <w:tc>
          <w:tcPr>
            <w:tcW w:w="1530" w:type="dxa"/>
          </w:tcPr>
          <w:p w14:paraId="5E6F69B1" w14:textId="650EC86D" w:rsidR="002803A1" w:rsidRDefault="002803A1" w:rsidP="002803A1">
            <w:r w:rsidRPr="00DA2F16">
              <w:t>DESLF</w:t>
            </w:r>
          </w:p>
        </w:tc>
        <w:tc>
          <w:tcPr>
            <w:tcW w:w="8550" w:type="dxa"/>
          </w:tcPr>
          <w:p w14:paraId="7336848A" w14:textId="032BDBC9" w:rsidR="002803A1" w:rsidRDefault="002803A1" w:rsidP="002803A1">
            <w:r w:rsidRPr="00DA2F16">
              <w:t>Flue gas desulfurization service (conventional technology)</w:t>
            </w:r>
          </w:p>
        </w:tc>
      </w:tr>
      <w:tr w:rsidR="002803A1" w14:paraId="5D6E95EB" w14:textId="77777777" w:rsidTr="002803A1">
        <w:tc>
          <w:tcPr>
            <w:tcW w:w="1530" w:type="dxa"/>
          </w:tcPr>
          <w:p w14:paraId="23975B2B" w14:textId="449B6DDC" w:rsidR="002803A1" w:rsidRDefault="002803A1" w:rsidP="002803A1">
            <w:r w:rsidRPr="00DA2F16">
              <w:t>EMRG</w:t>
            </w:r>
          </w:p>
        </w:tc>
        <w:tc>
          <w:tcPr>
            <w:tcW w:w="8550" w:type="dxa"/>
          </w:tcPr>
          <w:p w14:paraId="0091336D" w14:textId="19D2617A" w:rsidR="002803A1" w:rsidRDefault="002803A1" w:rsidP="002803A1">
            <w:r w:rsidRPr="00DA2F16">
              <w:t>Emerging technology</w:t>
            </w:r>
          </w:p>
        </w:tc>
      </w:tr>
      <w:tr w:rsidR="002803A1" w14:paraId="30862000" w14:textId="77777777" w:rsidTr="002803A1">
        <w:tc>
          <w:tcPr>
            <w:tcW w:w="1530" w:type="dxa"/>
          </w:tcPr>
          <w:p w14:paraId="767A307C" w14:textId="36F2338D" w:rsidR="002803A1" w:rsidRDefault="002803A1" w:rsidP="002803A1">
            <w:r w:rsidRPr="00DA2F16">
              <w:t>NONE</w:t>
            </w:r>
          </w:p>
        </w:tc>
        <w:tc>
          <w:tcPr>
            <w:tcW w:w="8550" w:type="dxa"/>
          </w:tcPr>
          <w:p w14:paraId="48A301BA" w14:textId="04B084D7" w:rsidR="002803A1" w:rsidRDefault="002803A1" w:rsidP="002803A1">
            <w:r w:rsidRPr="00DA2F16">
              <w:t>No emerging or conventional technology is used to reduce or control SO</w:t>
            </w:r>
            <w:r w:rsidRPr="00DA2F16">
              <w:rPr>
                <w:vertAlign w:val="subscript"/>
              </w:rPr>
              <w:t>2</w:t>
            </w:r>
            <w:r w:rsidRPr="00DA2F16">
              <w:t xml:space="preserve"> emissions</w:t>
            </w:r>
          </w:p>
        </w:tc>
      </w:tr>
      <w:tr w:rsidR="002803A1" w14:paraId="1500CD9C" w14:textId="77777777" w:rsidTr="002803A1">
        <w:tc>
          <w:tcPr>
            <w:tcW w:w="1530" w:type="dxa"/>
          </w:tcPr>
          <w:p w14:paraId="24867B44" w14:textId="02E4CCB4" w:rsidR="002803A1" w:rsidRDefault="002803A1" w:rsidP="002803A1">
            <w:r w:rsidRPr="00DA2F16">
              <w:t>CONV</w:t>
            </w:r>
          </w:p>
        </w:tc>
        <w:tc>
          <w:tcPr>
            <w:tcW w:w="8550" w:type="dxa"/>
          </w:tcPr>
          <w:p w14:paraId="56339C52" w14:textId="1E8DC965" w:rsidR="002803A1" w:rsidRDefault="002803A1" w:rsidP="002803A1">
            <w:r w:rsidRPr="00DA2F16">
              <w:t>Other conventional technology</w:t>
            </w:r>
          </w:p>
        </w:tc>
      </w:tr>
    </w:tbl>
    <w:p w14:paraId="61F0BDD5" w14:textId="2FF0AE95" w:rsidR="006B014D" w:rsidRDefault="00F861CF" w:rsidP="00390EE3">
      <w:pPr>
        <w:pStyle w:val="APDCompleteStar"/>
      </w:pPr>
      <w:r w:rsidRPr="00EF0801">
        <w:t>Complete “43CE-Option” only if “Construction/Modification Date” is “05+” and “Heat Input Capacity” is “30-75” or “75-100” and “D-Series Fuel Type” includes “DOIL,” “ROIL,” “WD,” “OIL,” “COAL” or “CLR.”</w:t>
      </w:r>
    </w:p>
    <w:p w14:paraId="446928E9" w14:textId="77777777" w:rsidR="00F861CF" w:rsidRPr="00EF0801" w:rsidRDefault="00F861CF" w:rsidP="001127D1">
      <w:pPr>
        <w:pStyle w:val="APDStrong"/>
      </w:pPr>
      <w:r w:rsidRPr="00EF0801">
        <w:t>43CE-Option</w:t>
      </w:r>
      <w:r w:rsidRPr="003A1BA2">
        <w:rPr>
          <w:bCs/>
        </w:rPr>
        <w:t>:</w:t>
      </w:r>
    </w:p>
    <w:p w14:paraId="11535C5F" w14:textId="69E00179" w:rsidR="00F861CF" w:rsidRDefault="00F861CF" w:rsidP="001127D1">
      <w:pPr>
        <w:pStyle w:val="APDBodyText"/>
      </w:pPr>
      <w:r w:rsidRPr="00EF0801">
        <w:t>Select one of the following § 60.43c(e) PM emission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0A4C5E" w14:paraId="131C3803" w14:textId="77777777" w:rsidTr="002842BC">
        <w:trPr>
          <w:cantSplit/>
          <w:tblHeader/>
        </w:trPr>
        <w:tc>
          <w:tcPr>
            <w:tcW w:w="1530" w:type="dxa"/>
          </w:tcPr>
          <w:p w14:paraId="60CF22F2" w14:textId="761ACDC0" w:rsidR="000A4C5E" w:rsidRPr="000A4C5E" w:rsidRDefault="000A4C5E" w:rsidP="000A4C5E">
            <w:pPr>
              <w:rPr>
                <w:b/>
                <w:bCs/>
              </w:rPr>
            </w:pPr>
            <w:r w:rsidRPr="000A4C5E">
              <w:rPr>
                <w:b/>
                <w:bCs/>
              </w:rPr>
              <w:t>Code</w:t>
            </w:r>
          </w:p>
        </w:tc>
        <w:tc>
          <w:tcPr>
            <w:tcW w:w="8550" w:type="dxa"/>
          </w:tcPr>
          <w:p w14:paraId="057C7835" w14:textId="7D542DF1" w:rsidR="000A4C5E" w:rsidRPr="000A4C5E" w:rsidRDefault="000A4C5E" w:rsidP="000A4C5E">
            <w:pPr>
              <w:rPr>
                <w:b/>
                <w:bCs/>
              </w:rPr>
            </w:pPr>
            <w:r w:rsidRPr="000A4C5E">
              <w:rPr>
                <w:b/>
                <w:bCs/>
              </w:rPr>
              <w:t>Description</w:t>
            </w:r>
          </w:p>
        </w:tc>
      </w:tr>
      <w:tr w:rsidR="000A4C5E" w14:paraId="4785C67A" w14:textId="77777777" w:rsidTr="002842BC">
        <w:trPr>
          <w:cantSplit/>
          <w:tblHeader/>
        </w:trPr>
        <w:tc>
          <w:tcPr>
            <w:tcW w:w="1530" w:type="dxa"/>
          </w:tcPr>
          <w:p w14:paraId="3C9D8BC1" w14:textId="217365AC" w:rsidR="000A4C5E" w:rsidRDefault="000A4C5E" w:rsidP="000A4C5E">
            <w:r w:rsidRPr="005D2560">
              <w:t>43CE-4</w:t>
            </w:r>
          </w:p>
        </w:tc>
        <w:tc>
          <w:tcPr>
            <w:tcW w:w="8550" w:type="dxa"/>
          </w:tcPr>
          <w:p w14:paraId="03073B97" w14:textId="63103958" w:rsidR="000A4C5E" w:rsidRDefault="000A4C5E" w:rsidP="000A4C5E">
            <w:r w:rsidRPr="005D2560">
              <w:t>Exemption § 60.43c(e)(4) for a facility that combusts only oil that contains no more than 0.50% by weight sulfur or a mixture of 0.50% by weight sulfur oil with other fuels not subject to a PM standard under § 60.43c and not using a post-combustion technology (except a wet scrubber)</w:t>
            </w:r>
          </w:p>
        </w:tc>
      </w:tr>
      <w:tr w:rsidR="000A4C5E" w14:paraId="456B1539" w14:textId="77777777" w:rsidTr="002842BC">
        <w:trPr>
          <w:cantSplit/>
          <w:tblHeader/>
        </w:trPr>
        <w:tc>
          <w:tcPr>
            <w:tcW w:w="1530" w:type="dxa"/>
          </w:tcPr>
          <w:p w14:paraId="721C201E" w14:textId="0074D836" w:rsidR="000A4C5E" w:rsidRDefault="000A4C5E" w:rsidP="000A4C5E">
            <w:r w:rsidRPr="005D2560">
              <w:t>43CE-3</w:t>
            </w:r>
          </w:p>
        </w:tc>
        <w:tc>
          <w:tcPr>
            <w:tcW w:w="8550" w:type="dxa"/>
          </w:tcPr>
          <w:p w14:paraId="3C092206" w14:textId="1D975108" w:rsidR="000A4C5E" w:rsidRDefault="000A4C5E" w:rsidP="000A4C5E">
            <w:r w:rsidRPr="005D2560">
              <w:t>§ 60.43c(e)(3) for a facility that has a heat input capacity of 30 MMBtu/hr or greater and that combusts over 30% wood (by heat input) on an annual basis</w:t>
            </w:r>
          </w:p>
        </w:tc>
      </w:tr>
      <w:tr w:rsidR="000A4C5E" w14:paraId="38A398B9" w14:textId="77777777" w:rsidTr="002842BC">
        <w:trPr>
          <w:cantSplit/>
          <w:tblHeader/>
        </w:trPr>
        <w:tc>
          <w:tcPr>
            <w:tcW w:w="1530" w:type="dxa"/>
          </w:tcPr>
          <w:p w14:paraId="381A0BC4" w14:textId="510C6956" w:rsidR="000A4C5E" w:rsidRDefault="000A4C5E" w:rsidP="000A4C5E">
            <w:r w:rsidRPr="005D2560">
              <w:t>43CE-1</w:t>
            </w:r>
          </w:p>
        </w:tc>
        <w:tc>
          <w:tcPr>
            <w:tcW w:w="8550" w:type="dxa"/>
          </w:tcPr>
          <w:p w14:paraId="5A4232CC" w14:textId="6431EDE1" w:rsidR="000A4C5E" w:rsidRDefault="000A4C5E" w:rsidP="000A4C5E">
            <w:r w:rsidRPr="005D2560">
              <w:t>§ 60.43c(e)(1) for a facility that combusts coal, oil, wood, a mixture of these fuels, or a mixture of these fuels with any other fuels and has a heat input capacity of 30 MMBtu/hr or greater</w:t>
            </w:r>
          </w:p>
        </w:tc>
      </w:tr>
      <w:tr w:rsidR="000A4C5E" w14:paraId="33D59900" w14:textId="77777777" w:rsidTr="002842BC">
        <w:trPr>
          <w:cantSplit/>
          <w:tblHeader/>
        </w:trPr>
        <w:tc>
          <w:tcPr>
            <w:tcW w:w="1530" w:type="dxa"/>
          </w:tcPr>
          <w:p w14:paraId="7726B829" w14:textId="6A7FCCF8" w:rsidR="000A4C5E" w:rsidRDefault="000A4C5E" w:rsidP="000A4C5E">
            <w:r w:rsidRPr="005D2560">
              <w:t>43CE-2</w:t>
            </w:r>
          </w:p>
        </w:tc>
        <w:tc>
          <w:tcPr>
            <w:tcW w:w="8550" w:type="dxa"/>
          </w:tcPr>
          <w:p w14:paraId="2373FDA0" w14:textId="43E72614" w:rsidR="000A4C5E" w:rsidRDefault="000A4C5E" w:rsidP="000A4C5E">
            <w:r w:rsidRPr="005D2560">
              <w:t>§ 60.43c(e)(2) as an alternative § 60.43c(e)(1)</w:t>
            </w:r>
          </w:p>
        </w:tc>
      </w:tr>
    </w:tbl>
    <w:p w14:paraId="04B5611B" w14:textId="2057BBF3" w:rsidR="00F861CF" w:rsidRDefault="00CF3260" w:rsidP="00390EE3">
      <w:pPr>
        <w:pStyle w:val="APDCompleteStar"/>
      </w:pPr>
      <w:r w:rsidRPr="00BF021C">
        <w:t>Do not complete “47C-Option” if any of the following conditions are met:  “Monitoring Type – PM” is “CEMS30”; “D-Series Fuel Type” is “NG” and/or “OTHER”; or “Heat Input Capacity” is “10</w:t>
      </w:r>
      <w:r w:rsidR="009163B6">
        <w:t>-”</w:t>
      </w:r>
      <w:r w:rsidRPr="00BF021C">
        <w:t xml:space="preserve"> or “10-30</w:t>
      </w:r>
      <w:r w:rsidR="009163B6">
        <w:t>.</w:t>
      </w:r>
      <w:r w:rsidRPr="00BF021C">
        <w:t>”</w:t>
      </w:r>
    </w:p>
    <w:p w14:paraId="3509F461" w14:textId="77777777" w:rsidR="002509A5" w:rsidRDefault="002509A5" w:rsidP="00D7634E">
      <w:pPr>
        <w:pStyle w:val="APDStrong"/>
        <w:sectPr w:rsidR="002509A5" w:rsidSect="0031268E">
          <w:pgSz w:w="12240" w:h="15840" w:code="1"/>
          <w:pgMar w:top="720" w:right="720" w:bottom="720" w:left="720" w:header="720" w:footer="720" w:gutter="0"/>
          <w:cols w:space="720"/>
          <w:titlePg/>
          <w:docGrid w:linePitch="360"/>
        </w:sectPr>
      </w:pPr>
    </w:p>
    <w:p w14:paraId="3D5AEB47" w14:textId="77777777" w:rsidR="00F861CF" w:rsidRPr="00EF0801" w:rsidRDefault="00F861CF" w:rsidP="00D7634E">
      <w:pPr>
        <w:pStyle w:val="APDStrong"/>
      </w:pPr>
      <w:r w:rsidRPr="00EF0801">
        <w:lastRenderedPageBreak/>
        <w:t>47C-Option</w:t>
      </w:r>
      <w:r w:rsidRPr="003A1BA2">
        <w:rPr>
          <w:bCs/>
        </w:rPr>
        <w:t>:</w:t>
      </w:r>
    </w:p>
    <w:p w14:paraId="6400D70B" w14:textId="454210E7" w:rsidR="00F861CF" w:rsidRDefault="00F861CF" w:rsidP="00120DC7">
      <w:pPr>
        <w:pStyle w:val="APDBodyText"/>
      </w:pPr>
      <w:r w:rsidRPr="00EF0801">
        <w:t>Select one of the following § 60.47c PM (Opacity)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19441A" w14:paraId="1065197B" w14:textId="77777777" w:rsidTr="0019441A">
        <w:trPr>
          <w:cantSplit/>
          <w:tblHeader/>
        </w:trPr>
        <w:tc>
          <w:tcPr>
            <w:tcW w:w="1530" w:type="dxa"/>
          </w:tcPr>
          <w:p w14:paraId="70EB0367" w14:textId="19F832A0" w:rsidR="0019441A" w:rsidRPr="0019441A" w:rsidRDefault="0019441A" w:rsidP="0019441A">
            <w:pPr>
              <w:rPr>
                <w:b/>
                <w:bCs/>
              </w:rPr>
            </w:pPr>
            <w:r w:rsidRPr="0019441A">
              <w:rPr>
                <w:b/>
                <w:bCs/>
              </w:rPr>
              <w:t>Code</w:t>
            </w:r>
          </w:p>
        </w:tc>
        <w:tc>
          <w:tcPr>
            <w:tcW w:w="8550" w:type="dxa"/>
          </w:tcPr>
          <w:p w14:paraId="02EE70AC" w14:textId="61BADF8B" w:rsidR="0019441A" w:rsidRPr="0019441A" w:rsidRDefault="0019441A" w:rsidP="0019441A">
            <w:pPr>
              <w:rPr>
                <w:b/>
                <w:bCs/>
              </w:rPr>
            </w:pPr>
            <w:r w:rsidRPr="0019441A">
              <w:rPr>
                <w:b/>
                <w:bCs/>
              </w:rPr>
              <w:t>Description</w:t>
            </w:r>
          </w:p>
        </w:tc>
      </w:tr>
      <w:tr w:rsidR="0019441A" w14:paraId="7C8EC917" w14:textId="77777777" w:rsidTr="0019441A">
        <w:trPr>
          <w:cantSplit/>
          <w:tblHeader/>
        </w:trPr>
        <w:tc>
          <w:tcPr>
            <w:tcW w:w="1530" w:type="dxa"/>
          </w:tcPr>
          <w:p w14:paraId="118F307F" w14:textId="591EB2E8" w:rsidR="0019441A" w:rsidRDefault="0019441A" w:rsidP="0019441A">
            <w:r w:rsidRPr="002F5480">
              <w:t>47C-AB</w:t>
            </w:r>
          </w:p>
        </w:tc>
        <w:tc>
          <w:tcPr>
            <w:tcW w:w="8550" w:type="dxa"/>
          </w:tcPr>
          <w:p w14:paraId="3D443414" w14:textId="09C25F34" w:rsidR="0019441A" w:rsidRDefault="0019441A" w:rsidP="0019441A">
            <w:r w:rsidRPr="002F5480">
              <w:t>§ 60.4c(a) and (b) COMS requirements for a facility combusting coal, oil, or wood that is subject to the opacity standards under § 60.43c</w:t>
            </w:r>
          </w:p>
        </w:tc>
      </w:tr>
      <w:tr w:rsidR="0019441A" w14:paraId="79ACE54F" w14:textId="77777777" w:rsidTr="0019441A">
        <w:trPr>
          <w:cantSplit/>
          <w:tblHeader/>
        </w:trPr>
        <w:tc>
          <w:tcPr>
            <w:tcW w:w="1530" w:type="dxa"/>
          </w:tcPr>
          <w:p w14:paraId="0CC571CB" w14:textId="00CAF71B" w:rsidR="0019441A" w:rsidRDefault="0019441A" w:rsidP="0019441A">
            <w:r w:rsidRPr="002F5480">
              <w:t>47C-C</w:t>
            </w:r>
          </w:p>
        </w:tc>
        <w:tc>
          <w:tcPr>
            <w:tcW w:w="8550" w:type="dxa"/>
          </w:tcPr>
          <w:p w14:paraId="0DAB24BB" w14:textId="0576768B" w:rsidR="0019441A" w:rsidRDefault="0019441A" w:rsidP="0019441A">
            <w:r w:rsidRPr="002F5480">
              <w:t>COMS exemption § 60.47c(c) for a facility that burns only distillate oil that contains no more than 0.5 weight percent sulfur and/or liquid or gaseous fuels with potential sulfur dioxide emission rates of 26 ng/J (0.060 lb/MMBtu) heat input or less and that do not use a post combustion technology</w:t>
            </w:r>
          </w:p>
        </w:tc>
      </w:tr>
      <w:tr w:rsidR="0019441A" w14:paraId="0CAD1748" w14:textId="77777777" w:rsidTr="0019441A">
        <w:trPr>
          <w:cantSplit/>
          <w:tblHeader/>
        </w:trPr>
        <w:tc>
          <w:tcPr>
            <w:tcW w:w="1530" w:type="dxa"/>
          </w:tcPr>
          <w:p w14:paraId="78E5FD8F" w14:textId="2CAE5AA9" w:rsidR="0019441A" w:rsidRDefault="0019441A" w:rsidP="0019441A">
            <w:r w:rsidRPr="002F5480">
              <w:t>47C-D</w:t>
            </w:r>
          </w:p>
        </w:tc>
        <w:tc>
          <w:tcPr>
            <w:tcW w:w="8550" w:type="dxa"/>
          </w:tcPr>
          <w:p w14:paraId="2A3D4C83" w14:textId="37D8D228" w:rsidR="0019441A" w:rsidRDefault="0019441A" w:rsidP="0019441A">
            <w:r w:rsidRPr="002F5480">
              <w:t xml:space="preserve">§ 60.47c(d) for a facility that complies with the PM emission limit by using a PM CEMS. </w:t>
            </w:r>
          </w:p>
        </w:tc>
      </w:tr>
      <w:tr w:rsidR="0019441A" w14:paraId="40EE0058" w14:textId="77777777" w:rsidTr="0019441A">
        <w:trPr>
          <w:cantSplit/>
          <w:tblHeader/>
        </w:trPr>
        <w:tc>
          <w:tcPr>
            <w:tcW w:w="1530" w:type="dxa"/>
          </w:tcPr>
          <w:p w14:paraId="6762E8E4" w14:textId="14030B08" w:rsidR="0019441A" w:rsidRDefault="0019441A" w:rsidP="0019441A">
            <w:r w:rsidRPr="002F5480">
              <w:t>47C-E</w:t>
            </w:r>
          </w:p>
        </w:tc>
        <w:tc>
          <w:tcPr>
            <w:tcW w:w="8550" w:type="dxa"/>
          </w:tcPr>
          <w:p w14:paraId="588D5475" w14:textId="53CB006E" w:rsidR="0019441A" w:rsidRDefault="0019441A" w:rsidP="0019441A">
            <w:r w:rsidRPr="002F5480">
              <w:t>COMS exemption § 60.47c(e) for a facility that does not use post-combustion technology (except a wet scrubber), burns only gaseous fuels or fuel oils that contain less than or equal to 0.5 weight percent sulfur, and operated such that emissions of CO discharged are maintained at levels less than or equal to 0.15 lb/MMBtu on a boiler operating day average basis</w:t>
            </w:r>
          </w:p>
        </w:tc>
      </w:tr>
      <w:tr w:rsidR="0019441A" w14:paraId="69C031AD" w14:textId="77777777" w:rsidTr="0019441A">
        <w:trPr>
          <w:cantSplit/>
          <w:tblHeader/>
        </w:trPr>
        <w:tc>
          <w:tcPr>
            <w:tcW w:w="1530" w:type="dxa"/>
          </w:tcPr>
          <w:p w14:paraId="059002C5" w14:textId="2DDC6397" w:rsidR="0019441A" w:rsidRDefault="0019441A" w:rsidP="0019441A">
            <w:r w:rsidRPr="002F5480">
              <w:t>47C-F</w:t>
            </w:r>
          </w:p>
        </w:tc>
        <w:tc>
          <w:tcPr>
            <w:tcW w:w="8550" w:type="dxa"/>
          </w:tcPr>
          <w:p w14:paraId="00C6E808" w14:textId="7AE55358" w:rsidR="0019441A" w:rsidRDefault="0019441A" w:rsidP="0019441A">
            <w:r w:rsidRPr="002F5480">
              <w:t>COMS exemption § 60.47c(f) for a facility that uses a bag leak detection system to monitor the performance of a fabric filter (baghouse) according to the most recent requirements in section § 60.48Da</w:t>
            </w:r>
          </w:p>
        </w:tc>
      </w:tr>
      <w:tr w:rsidR="0019441A" w14:paraId="70C648A5" w14:textId="77777777" w:rsidTr="0019441A">
        <w:trPr>
          <w:cantSplit/>
          <w:tblHeader/>
        </w:trPr>
        <w:tc>
          <w:tcPr>
            <w:tcW w:w="1530" w:type="dxa"/>
          </w:tcPr>
          <w:p w14:paraId="0D3EB196" w14:textId="4ABB5FB6" w:rsidR="0019441A" w:rsidRDefault="0019441A" w:rsidP="0019441A">
            <w:r w:rsidRPr="002F5480">
              <w:t>47C-G</w:t>
            </w:r>
          </w:p>
        </w:tc>
        <w:tc>
          <w:tcPr>
            <w:tcW w:w="8550" w:type="dxa"/>
          </w:tcPr>
          <w:p w14:paraId="392F9079" w14:textId="1153B5FE" w:rsidR="0019441A" w:rsidRDefault="0019441A" w:rsidP="0019441A">
            <w:r w:rsidRPr="002F5480">
              <w:t>COMS exemption § 60.47c(f) for a facility that burns only gaseous fuels or fuel oils that contain less than or equal to 0.5 weight percent sulfur and operates according to a written site-specific monitoring plan approved by the permitting authority</w:t>
            </w:r>
          </w:p>
        </w:tc>
      </w:tr>
    </w:tbl>
    <w:p w14:paraId="340602CF" w14:textId="08558DDA" w:rsidR="00F861CF" w:rsidRPr="00EF0801" w:rsidRDefault="00F861CF" w:rsidP="00F861CF">
      <w:pPr>
        <w:pBdr>
          <w:bottom w:val="double" w:sz="6" w:space="1" w:color="auto"/>
        </w:pBdr>
      </w:pPr>
    </w:p>
    <w:bookmarkStart w:id="53" w:name="Table_5a"/>
    <w:p w14:paraId="299ED689" w14:textId="79EEA512" w:rsidR="00F861CF" w:rsidRPr="008E20F9" w:rsidRDefault="00BE1913" w:rsidP="00A85DB6">
      <w:pPr>
        <w:pStyle w:val="APDChapterTitles"/>
        <w:rPr>
          <w:rStyle w:val="APDTableChapterChar"/>
          <w:rFonts w:eastAsia="Calibri"/>
          <w:b/>
          <w:bCs w:val="0"/>
        </w:rPr>
      </w:pPr>
      <w:r w:rsidRPr="00336685">
        <w:rPr>
          <w:rStyle w:val="Hyperlink"/>
          <w:rFonts w:eastAsia="Calibri"/>
          <w:b/>
          <w:bCs w:val="0"/>
        </w:rPr>
        <w:fldChar w:fldCharType="begin"/>
      </w:r>
      <w:r w:rsidR="00AB6ED7" w:rsidRPr="00336685">
        <w:rPr>
          <w:rStyle w:val="Hyperlink"/>
          <w:rFonts w:eastAsia="Calibri"/>
          <w:b/>
          <w:bCs w:val="0"/>
        </w:rPr>
        <w:instrText>HYPERLINK  \l "TBL_5a" \o "Table 5a"</w:instrText>
      </w:r>
      <w:r w:rsidRPr="00336685">
        <w:rPr>
          <w:rStyle w:val="Hyperlink"/>
          <w:rFonts w:eastAsia="Calibri"/>
          <w:b/>
          <w:bCs w:val="0"/>
        </w:rPr>
      </w:r>
      <w:r w:rsidRPr="00336685">
        <w:rPr>
          <w:rStyle w:val="Hyperlink"/>
          <w:rFonts w:eastAsia="Calibri"/>
          <w:b/>
          <w:bCs w:val="0"/>
        </w:rPr>
        <w:fldChar w:fldCharType="separate"/>
      </w:r>
      <w:bookmarkStart w:id="54" w:name="_Toc180398500"/>
      <w:bookmarkStart w:id="55" w:name="_Toc180398554"/>
      <w:r w:rsidR="00F861CF" w:rsidRPr="00336685">
        <w:rPr>
          <w:rStyle w:val="Hyperlink"/>
          <w:rFonts w:eastAsia="Calibri"/>
          <w:b/>
          <w:bCs w:val="0"/>
        </w:rPr>
        <w:t>Table 5a</w:t>
      </w:r>
      <w:r w:rsidRPr="00336685">
        <w:rPr>
          <w:rStyle w:val="Hyperlink"/>
          <w:rFonts w:eastAsia="Calibri"/>
          <w:b/>
          <w:bCs w:val="0"/>
        </w:rPr>
        <w:fldChar w:fldCharType="end"/>
      </w:r>
      <w:bookmarkEnd w:id="53"/>
      <w:r w:rsidR="00F861CF" w:rsidRPr="00336685">
        <w:rPr>
          <w:rStyle w:val="Hyperlink"/>
          <w:rFonts w:eastAsia="Calibri"/>
          <w:b/>
          <w:bCs w:val="0"/>
        </w:rPr>
        <w:t>:</w:t>
      </w:r>
      <w:r w:rsidR="00F861CF" w:rsidRPr="00EF0801">
        <w:rPr>
          <w:rFonts w:eastAsia="Calibri"/>
          <w:szCs w:val="20"/>
        </w:rPr>
        <w:tab/>
      </w:r>
      <w:r w:rsidR="00F861CF" w:rsidRPr="008E20F9">
        <w:rPr>
          <w:rStyle w:val="APDTableChapterChar"/>
          <w:rFonts w:eastAsia="Calibri"/>
          <w:b/>
        </w:rPr>
        <w:t>Title 30 Texas Administrative Code Chapter 117 (30 TAC Chapter 117)</w:t>
      </w:r>
      <w:r w:rsidR="004062A6" w:rsidRPr="008E20F9">
        <w:rPr>
          <w:rStyle w:val="APDTableChapterChar"/>
          <w:rFonts w:eastAsia="Calibri"/>
          <w:b/>
        </w:rPr>
        <w:t xml:space="preserve">, </w:t>
      </w:r>
      <w:r w:rsidR="00F861CF" w:rsidRPr="008E20F9">
        <w:rPr>
          <w:rStyle w:val="APDTableChapterChar"/>
          <w:rFonts w:eastAsia="Calibri"/>
          <w:b/>
        </w:rPr>
        <w:t>Subchapter B:</w:t>
      </w:r>
      <w:r w:rsidR="004062A6" w:rsidRPr="008E20F9">
        <w:rPr>
          <w:rStyle w:val="APDTableChapterChar"/>
          <w:rFonts w:eastAsia="Calibri"/>
          <w:b/>
        </w:rPr>
        <w:t xml:space="preserve"> </w:t>
      </w:r>
      <w:r w:rsidR="00F861CF" w:rsidRPr="008E20F9">
        <w:rPr>
          <w:rStyle w:val="APDTableChapterChar"/>
          <w:rFonts w:eastAsia="Calibri"/>
          <w:b/>
        </w:rPr>
        <w:t>Combustion Control at Major Industrial, Commercial, and Institutional Sources in Ozone Nonattainment Areas</w:t>
      </w:r>
      <w:bookmarkEnd w:id="54"/>
      <w:bookmarkEnd w:id="55"/>
    </w:p>
    <w:p w14:paraId="4D990067" w14:textId="22E793F3" w:rsidR="00F861CF" w:rsidRPr="00EF0801" w:rsidRDefault="00F861CF" w:rsidP="00390EE3">
      <w:pPr>
        <w:pStyle w:val="APDCompleteStar"/>
      </w:pPr>
      <w:r w:rsidRPr="00EF0801">
        <w:t>Complete only for units located at industrial, commercial, and institutional (ICI) major sources of NO</w:t>
      </w:r>
      <w:r w:rsidRPr="00EF0801">
        <w:rPr>
          <w:vertAlign w:val="subscript"/>
        </w:rPr>
        <w:t>x</w:t>
      </w:r>
      <w:r w:rsidRPr="00EF0801">
        <w:t xml:space="preserve"> as defined in 30 TAC § 117.10, and located in the Houston/Galveston/Brazoria, Beaumont/Port Arthur or Dallas/Fort Worth Eight-Hour ozone nonattainment areas.</w:t>
      </w:r>
    </w:p>
    <w:p w14:paraId="01B13B36" w14:textId="3D758B89" w:rsidR="00F861CF" w:rsidRPr="00EF0801" w:rsidRDefault="00F861CF" w:rsidP="00D7634E">
      <w:pPr>
        <w:pStyle w:val="APDStrong"/>
      </w:pPr>
      <w:r w:rsidRPr="00EF0801">
        <w:t xml:space="preserve">Unit ID </w:t>
      </w:r>
      <w:r w:rsidR="00B42127">
        <w:t>N</w:t>
      </w:r>
      <w:r w:rsidR="00BC7468">
        <w:t>o</w:t>
      </w:r>
      <w:r w:rsidRPr="00EF0801">
        <w:t>.</w:t>
      </w:r>
      <w:r w:rsidRPr="003A1BA2">
        <w:rPr>
          <w:bCs/>
        </w:rPr>
        <w:t>:</w:t>
      </w:r>
    </w:p>
    <w:p w14:paraId="073942DD" w14:textId="20A2D390" w:rsidR="006B014D" w:rsidRDefault="00F861CF" w:rsidP="00120DC7">
      <w:pPr>
        <w:pStyle w:val="APDBodyText"/>
      </w:pPr>
      <w:r w:rsidRPr="00EF0801">
        <w:t xml:space="preserve">Enter the identification number (ID </w:t>
      </w:r>
      <w:r w:rsidR="00B42127">
        <w:t>N</w:t>
      </w:r>
      <w:r w:rsidR="005667BA">
        <w:t>o</w:t>
      </w:r>
      <w:r w:rsidRPr="00EF0801">
        <w:t>.) for the unit (maximum 10 characters) as li</w:t>
      </w:r>
      <w:r w:rsidR="004B5FCD" w:rsidRPr="00EF0801">
        <w:t>sted on Form OP</w:t>
      </w:r>
      <w:r w:rsidR="004B5FCD" w:rsidRPr="00EF0801">
        <w:noBreakHyphen/>
        <w:t>SUM (Individual</w:t>
      </w:r>
      <w:r w:rsidR="00FB050E">
        <w:t> </w:t>
      </w:r>
      <w:r w:rsidRPr="00EF0801">
        <w:t>Unit Summary).</w:t>
      </w:r>
    </w:p>
    <w:p w14:paraId="3AC6CD43" w14:textId="294E69F0" w:rsidR="00F861CF" w:rsidRPr="00EF0801" w:rsidRDefault="00F861CF" w:rsidP="00531001">
      <w:pPr>
        <w:tabs>
          <w:tab w:val="left" w:pos="0"/>
        </w:tabs>
      </w:pPr>
      <w:r w:rsidRPr="00EF0801">
        <w:rPr>
          <w:b/>
        </w:rPr>
        <w:t xml:space="preserve">SOP/GOP Index </w:t>
      </w:r>
      <w:r w:rsidR="00B42127">
        <w:rPr>
          <w:b/>
        </w:rPr>
        <w:t>N</w:t>
      </w:r>
      <w:r w:rsidR="00BC7468">
        <w:rPr>
          <w:b/>
        </w:rPr>
        <w:t>o</w:t>
      </w:r>
      <w:r w:rsidRPr="00EF0801">
        <w:rPr>
          <w:b/>
        </w:rPr>
        <w:t>.</w:t>
      </w:r>
      <w:r w:rsidRPr="003A1BA2">
        <w:rPr>
          <w:b/>
          <w:bCs/>
        </w:rPr>
        <w:t>:</w:t>
      </w:r>
    </w:p>
    <w:p w14:paraId="74748C6B" w14:textId="475D8FCD" w:rsidR="00100239" w:rsidRDefault="00F861CF" w:rsidP="00120DC7">
      <w:pPr>
        <w:pStyle w:val="APDBodyText"/>
        <w:rPr>
          <w:b/>
        </w:rPr>
      </w:pPr>
      <w:r w:rsidRPr="00EF0801">
        <w:t xml:space="preserve">Site operating permit (SOP) applicants should indicate the SOP index number for the </w:t>
      </w:r>
      <w:r w:rsidR="004B5FCD" w:rsidRPr="00EF0801">
        <w:t>unit or group of units (maximum</w:t>
      </w:r>
      <w:r w:rsidR="00FB050E">
        <w:t> </w:t>
      </w:r>
      <w:r w:rsidR="004B5FCD" w:rsidRPr="00EF0801">
        <w:t>15</w:t>
      </w:r>
      <w:r w:rsidR="00FB050E">
        <w:t> </w:t>
      </w:r>
      <w:r w:rsidRPr="00EF0801">
        <w:t xml:space="preserve">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For additional information relating to SOP </w:t>
      </w:r>
      <w:r w:rsidR="005D01DF">
        <w:t xml:space="preserve">and GOP </w:t>
      </w:r>
      <w:r w:rsidRPr="00EF0801">
        <w:t>index numbers</w:t>
      </w:r>
      <w:r w:rsidR="00775600">
        <w:t xml:space="preserve">, </w:t>
      </w:r>
      <w:r w:rsidR="00775600" w:rsidRPr="00EF0801">
        <w:t xml:space="preserve">please </w:t>
      </w:r>
      <w:r w:rsidR="00775600">
        <w:t xml:space="preserve">see the Completing FOP Applications – Additional Guidance on the </w:t>
      </w:r>
      <w:r w:rsidR="00775600" w:rsidRPr="00EF0801">
        <w:t xml:space="preserve">TCEQ website at </w:t>
      </w:r>
      <w:hyperlink r:id="rId26" w:tooltip="TCEQ - Completing FOP Applications - Additional Guidance" w:history="1">
        <w:r w:rsidR="00775600" w:rsidRPr="00F47022">
          <w:rPr>
            <w:rStyle w:val="Hyperlink"/>
          </w:rPr>
          <w:t>www.tceq.texas.gov/permitting/air/guidance/titlev/tv_fop_guidance.html</w:t>
        </w:r>
      </w:hyperlink>
      <w:r w:rsidR="00775600" w:rsidRPr="00EF0801">
        <w:t>.</w:t>
      </w:r>
    </w:p>
    <w:p w14:paraId="59F10654" w14:textId="77777777" w:rsidR="002509A5" w:rsidRDefault="002509A5" w:rsidP="00D7634E">
      <w:pPr>
        <w:pStyle w:val="APDStrong"/>
        <w:sectPr w:rsidR="002509A5" w:rsidSect="0031268E">
          <w:pgSz w:w="12240" w:h="15840" w:code="1"/>
          <w:pgMar w:top="720" w:right="720" w:bottom="720" w:left="720" w:header="720" w:footer="720" w:gutter="0"/>
          <w:cols w:space="720"/>
          <w:titlePg/>
          <w:docGrid w:linePitch="360"/>
        </w:sectPr>
      </w:pPr>
    </w:p>
    <w:p w14:paraId="36C8E214" w14:textId="5F0F992F" w:rsidR="00F861CF" w:rsidRPr="00EF0801" w:rsidRDefault="00F861CF" w:rsidP="00D7634E">
      <w:pPr>
        <w:pStyle w:val="APDStrong"/>
      </w:pPr>
      <w:r w:rsidRPr="00EF0801">
        <w:lastRenderedPageBreak/>
        <w:t>Unit Type</w:t>
      </w:r>
      <w:r w:rsidRPr="003A1BA2">
        <w:rPr>
          <w:bCs/>
        </w:rPr>
        <w:t>:</w:t>
      </w:r>
    </w:p>
    <w:p w14:paraId="5395EDB5" w14:textId="77777777" w:rsidR="00F861CF" w:rsidRDefault="00F861CF" w:rsidP="00120DC7">
      <w:pPr>
        <w:pStyle w:val="APDBodyText"/>
      </w:pPr>
      <w:r w:rsidRPr="00EF0801">
        <w:t>Select one of the following options for the type of service.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6F49FC" w14:paraId="5FDA87E7" w14:textId="77777777" w:rsidTr="006F49FC">
        <w:trPr>
          <w:cantSplit/>
          <w:tblHeader/>
        </w:trPr>
        <w:tc>
          <w:tcPr>
            <w:tcW w:w="1530" w:type="dxa"/>
          </w:tcPr>
          <w:p w14:paraId="2BE51E02" w14:textId="758802D7" w:rsidR="006F49FC" w:rsidRDefault="006F49FC" w:rsidP="006F49FC">
            <w:r w:rsidRPr="005C2678">
              <w:rPr>
                <w:b/>
              </w:rPr>
              <w:t>Code</w:t>
            </w:r>
          </w:p>
        </w:tc>
        <w:tc>
          <w:tcPr>
            <w:tcW w:w="8550" w:type="dxa"/>
          </w:tcPr>
          <w:p w14:paraId="0FBCFA49" w14:textId="7DE1E198" w:rsidR="006F49FC" w:rsidRDefault="006F49FC" w:rsidP="006F49FC">
            <w:r w:rsidRPr="005C2678">
              <w:rPr>
                <w:b/>
              </w:rPr>
              <w:t>Description</w:t>
            </w:r>
          </w:p>
        </w:tc>
      </w:tr>
      <w:tr w:rsidR="006F49FC" w14:paraId="2B0CA20B" w14:textId="77777777" w:rsidTr="006F49FC">
        <w:trPr>
          <w:cantSplit/>
          <w:tblHeader/>
        </w:trPr>
        <w:tc>
          <w:tcPr>
            <w:tcW w:w="1530" w:type="dxa"/>
          </w:tcPr>
          <w:p w14:paraId="5D9C8A66" w14:textId="5D988F36" w:rsidR="006F49FC" w:rsidRDefault="006F49FC" w:rsidP="006F49FC">
            <w:r w:rsidRPr="005C2678">
              <w:t>ICIB-X</w:t>
            </w:r>
          </w:p>
        </w:tc>
        <w:tc>
          <w:tcPr>
            <w:tcW w:w="8550" w:type="dxa"/>
          </w:tcPr>
          <w:p w14:paraId="597650F5" w14:textId="40BAE25C" w:rsidR="006F49FC" w:rsidRDefault="006F49FC" w:rsidP="006F49FC">
            <w:r w:rsidRPr="005C2678">
              <w:t>Industrial, commercial, or institutional boiler regulated as an existing facility by the EPA at 40 CFR Part 266, Subpart H, as was in effect on June 9, 1993</w:t>
            </w:r>
          </w:p>
        </w:tc>
      </w:tr>
      <w:tr w:rsidR="006F49FC" w14:paraId="71E2230F" w14:textId="77777777" w:rsidTr="006F49FC">
        <w:trPr>
          <w:cantSplit/>
          <w:tblHeader/>
        </w:trPr>
        <w:tc>
          <w:tcPr>
            <w:tcW w:w="1530" w:type="dxa"/>
          </w:tcPr>
          <w:p w14:paraId="1EB14E13" w14:textId="5C8AB1CC" w:rsidR="006F49FC" w:rsidRDefault="006F49FC" w:rsidP="006F49FC">
            <w:r w:rsidRPr="005C2678">
              <w:t>SULF</w:t>
            </w:r>
          </w:p>
        </w:tc>
        <w:tc>
          <w:tcPr>
            <w:tcW w:w="8550" w:type="dxa"/>
          </w:tcPr>
          <w:p w14:paraId="130CECB9" w14:textId="4FD3B8CC" w:rsidR="006F49FC" w:rsidRDefault="006F49FC" w:rsidP="006F49FC">
            <w:r w:rsidRPr="005C2678">
              <w:t>Sulfur plant reaction boiler</w:t>
            </w:r>
          </w:p>
        </w:tc>
      </w:tr>
      <w:tr w:rsidR="006F49FC" w14:paraId="04451FAF" w14:textId="77777777" w:rsidTr="006F49FC">
        <w:trPr>
          <w:cantSplit/>
          <w:tblHeader/>
        </w:trPr>
        <w:tc>
          <w:tcPr>
            <w:tcW w:w="1530" w:type="dxa"/>
          </w:tcPr>
          <w:p w14:paraId="0B67FCF3" w14:textId="08655436" w:rsidR="006F49FC" w:rsidRDefault="006F49FC" w:rsidP="006F49FC">
            <w:r w:rsidRPr="005C2678">
              <w:t>FCCUB</w:t>
            </w:r>
          </w:p>
        </w:tc>
        <w:tc>
          <w:tcPr>
            <w:tcW w:w="8550" w:type="dxa"/>
          </w:tcPr>
          <w:p w14:paraId="2F5FAB8D" w14:textId="325C56E3" w:rsidR="006F49FC" w:rsidRDefault="006F49FC" w:rsidP="006F49FC">
            <w:r w:rsidRPr="005C2678">
              <w:t>Fluid catalytic cracking unit boiler (including CO boilers) (Beaumont/Port Arthur ozone nonattainment area only)</w:t>
            </w:r>
          </w:p>
        </w:tc>
      </w:tr>
      <w:tr w:rsidR="006F49FC" w14:paraId="1A6EBD1F" w14:textId="77777777" w:rsidTr="006F49FC">
        <w:trPr>
          <w:cantSplit/>
          <w:tblHeader/>
        </w:trPr>
        <w:tc>
          <w:tcPr>
            <w:tcW w:w="1530" w:type="dxa"/>
          </w:tcPr>
          <w:p w14:paraId="6ADD3FC8" w14:textId="1B7E0FF1" w:rsidR="006F49FC" w:rsidRDefault="006F49FC" w:rsidP="006F49FC">
            <w:r w:rsidRPr="005C2678">
              <w:t>CBCOGEN</w:t>
            </w:r>
          </w:p>
        </w:tc>
        <w:tc>
          <w:tcPr>
            <w:tcW w:w="8550" w:type="dxa"/>
          </w:tcPr>
          <w:p w14:paraId="44E4D93C" w14:textId="4E366359" w:rsidR="006F49FC" w:rsidRDefault="006F49FC" w:rsidP="006F49FC">
            <w:r w:rsidRPr="005C2678">
              <w:t>A cogeneration boiler utilizing heat or fuel from carbon black reactors (Beaumont/Port Arthur ozone nonattainment area)</w:t>
            </w:r>
          </w:p>
        </w:tc>
      </w:tr>
      <w:tr w:rsidR="006F49FC" w14:paraId="1523DF65" w14:textId="77777777" w:rsidTr="006F49FC">
        <w:trPr>
          <w:cantSplit/>
          <w:tblHeader/>
        </w:trPr>
        <w:tc>
          <w:tcPr>
            <w:tcW w:w="1530" w:type="dxa"/>
          </w:tcPr>
          <w:p w14:paraId="255A1E70" w14:textId="178E1C29" w:rsidR="006F49FC" w:rsidRDefault="006F49FC" w:rsidP="006F49FC">
            <w:r w:rsidRPr="005C2678">
              <w:t>ICIB</w:t>
            </w:r>
          </w:p>
        </w:tc>
        <w:tc>
          <w:tcPr>
            <w:tcW w:w="8550" w:type="dxa"/>
          </w:tcPr>
          <w:p w14:paraId="0D4E6FCE" w14:textId="41DB07AB" w:rsidR="006F49FC" w:rsidRDefault="006F49FC" w:rsidP="006F49FC">
            <w:r w:rsidRPr="005C2678">
              <w:t>Any other industrial, commercial, or institutional boiler</w:t>
            </w:r>
          </w:p>
        </w:tc>
      </w:tr>
    </w:tbl>
    <w:p w14:paraId="3F59D128" w14:textId="77777777" w:rsidR="00F861CF" w:rsidRPr="00EF0801" w:rsidRDefault="00F861CF" w:rsidP="00F861CF">
      <w:pPr>
        <w:numPr>
          <w:ilvl w:val="0"/>
          <w:numId w:val="17"/>
        </w:numPr>
        <w:tabs>
          <w:tab w:val="left" w:pos="547"/>
        </w:tabs>
        <w:spacing w:before="120" w:after="120"/>
        <w:ind w:left="547" w:hanging="547"/>
        <w:rPr>
          <w:rFonts w:eastAsia="Calibri"/>
          <w:b/>
          <w:szCs w:val="20"/>
        </w:rPr>
      </w:pPr>
      <w:r w:rsidRPr="00EF0801">
        <w:rPr>
          <w:rFonts w:eastAsia="Calibri"/>
          <w:b/>
          <w:szCs w:val="20"/>
        </w:rPr>
        <w:t xml:space="preserve">Do not continue if “Unit Type” is “SULF,” or “ICIB-X” </w:t>
      </w:r>
      <w:bookmarkStart w:id="56" w:name="_Hlk31275611"/>
      <w:r w:rsidR="00AF1AAC">
        <w:rPr>
          <w:rFonts w:eastAsia="Calibri"/>
          <w:b/>
          <w:szCs w:val="20"/>
        </w:rPr>
        <w:t xml:space="preserve">or </w:t>
      </w:r>
      <w:r w:rsidRPr="00EF0801">
        <w:rPr>
          <w:rFonts w:eastAsia="Calibri"/>
          <w:b/>
          <w:szCs w:val="20"/>
        </w:rPr>
        <w:t xml:space="preserve">if </w:t>
      </w:r>
      <w:r w:rsidR="00AF1AAC">
        <w:rPr>
          <w:rFonts w:eastAsia="Calibri"/>
          <w:b/>
          <w:szCs w:val="20"/>
        </w:rPr>
        <w:t xml:space="preserve">located </w:t>
      </w:r>
      <w:bookmarkEnd w:id="56"/>
      <w:r w:rsidRPr="00EF0801">
        <w:rPr>
          <w:rFonts w:eastAsia="Calibri"/>
          <w:b/>
          <w:szCs w:val="20"/>
        </w:rPr>
        <w:t>in the Beaumont/Port Arthur ozone nonattainment area and “Unit Type” is “CBCOGEN.”</w:t>
      </w:r>
    </w:p>
    <w:p w14:paraId="73B9CEF5" w14:textId="77777777" w:rsidR="00F861CF" w:rsidRPr="00EF0801" w:rsidRDefault="00F861CF" w:rsidP="00D7634E">
      <w:pPr>
        <w:pStyle w:val="APDStrong"/>
      </w:pPr>
      <w:r w:rsidRPr="00EF0801">
        <w:t>MRC</w:t>
      </w:r>
      <w:r w:rsidRPr="003A1BA2">
        <w:rPr>
          <w:bCs/>
        </w:rPr>
        <w:t>:</w:t>
      </w:r>
    </w:p>
    <w:p w14:paraId="3A458EA1" w14:textId="77777777" w:rsidR="00F861CF" w:rsidRPr="00EF0801" w:rsidRDefault="00F861CF" w:rsidP="00120DC7">
      <w:pPr>
        <w:pStyle w:val="APDBodyText"/>
      </w:pPr>
      <w:r w:rsidRPr="00EF0801">
        <w:t>Select one of the following options for the maximum rated capacity (MRC), as defined in 30 TAC Chapter 117. Enter the code on the form.</w:t>
      </w:r>
    </w:p>
    <w:p w14:paraId="197D999F" w14:textId="77777777" w:rsidR="00F861CF" w:rsidRDefault="00F861CF" w:rsidP="00EE0BDA">
      <w:pPr>
        <w:pStyle w:val="APDCodeIdentifiers"/>
      </w:pPr>
      <w:r w:rsidRPr="00EF0801">
        <w:t>For units in GOP applications: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00503" w14:paraId="135E9284" w14:textId="77777777" w:rsidTr="00800503">
        <w:trPr>
          <w:cantSplit/>
          <w:tblHeader/>
        </w:trPr>
        <w:tc>
          <w:tcPr>
            <w:tcW w:w="1530" w:type="dxa"/>
          </w:tcPr>
          <w:p w14:paraId="5B5F3307" w14:textId="168043DF" w:rsidR="00800503" w:rsidRDefault="00800503" w:rsidP="00800503">
            <w:r w:rsidRPr="004563A1">
              <w:rPr>
                <w:b/>
              </w:rPr>
              <w:t>Code</w:t>
            </w:r>
          </w:p>
        </w:tc>
        <w:tc>
          <w:tcPr>
            <w:tcW w:w="8550" w:type="dxa"/>
          </w:tcPr>
          <w:p w14:paraId="6E3571E0" w14:textId="51B88D04" w:rsidR="00800503" w:rsidRDefault="00800503" w:rsidP="00800503">
            <w:r w:rsidRPr="004563A1">
              <w:rPr>
                <w:b/>
              </w:rPr>
              <w:t>Description</w:t>
            </w:r>
          </w:p>
        </w:tc>
      </w:tr>
      <w:tr w:rsidR="00800503" w14:paraId="107457A1" w14:textId="77777777" w:rsidTr="00800503">
        <w:trPr>
          <w:cantSplit/>
          <w:tblHeader/>
        </w:trPr>
        <w:tc>
          <w:tcPr>
            <w:tcW w:w="1530" w:type="dxa"/>
          </w:tcPr>
          <w:p w14:paraId="2E279A69" w14:textId="3006A57A" w:rsidR="00800503" w:rsidRDefault="00800503" w:rsidP="00800503">
            <w:r w:rsidRPr="004563A1">
              <w:t>G2-</w:t>
            </w:r>
          </w:p>
        </w:tc>
        <w:tc>
          <w:tcPr>
            <w:tcW w:w="8550" w:type="dxa"/>
          </w:tcPr>
          <w:p w14:paraId="405B7A6C" w14:textId="0A06F6B1" w:rsidR="00800503" w:rsidRDefault="00800503" w:rsidP="00800503">
            <w:r w:rsidRPr="004563A1">
              <w:t>MRC is less than or equal to 2 MMBtu/hr</w:t>
            </w:r>
          </w:p>
        </w:tc>
      </w:tr>
      <w:tr w:rsidR="00800503" w14:paraId="6C8C71A4" w14:textId="77777777" w:rsidTr="00800503">
        <w:trPr>
          <w:cantSplit/>
          <w:tblHeader/>
        </w:trPr>
        <w:tc>
          <w:tcPr>
            <w:tcW w:w="1530" w:type="dxa"/>
          </w:tcPr>
          <w:p w14:paraId="5A527F86" w14:textId="48328EB6" w:rsidR="00800503" w:rsidRDefault="00800503" w:rsidP="00800503">
            <w:r w:rsidRPr="004563A1">
              <w:t>G2-40</w:t>
            </w:r>
          </w:p>
        </w:tc>
        <w:tc>
          <w:tcPr>
            <w:tcW w:w="8550" w:type="dxa"/>
          </w:tcPr>
          <w:p w14:paraId="29F30ED3" w14:textId="5699AE9D" w:rsidR="00800503" w:rsidRDefault="00800503" w:rsidP="00800503">
            <w:r w:rsidRPr="004563A1">
              <w:t>MRC is greater than 2 MMBtu/hr but less than 40 MMBtu/hr</w:t>
            </w:r>
          </w:p>
        </w:tc>
      </w:tr>
      <w:tr w:rsidR="00800503" w14:paraId="2856B5DE" w14:textId="77777777" w:rsidTr="00800503">
        <w:trPr>
          <w:cantSplit/>
          <w:tblHeader/>
        </w:trPr>
        <w:tc>
          <w:tcPr>
            <w:tcW w:w="1530" w:type="dxa"/>
          </w:tcPr>
          <w:p w14:paraId="62F09B3C" w14:textId="60CC9659" w:rsidR="00800503" w:rsidRDefault="00800503" w:rsidP="00800503">
            <w:r w:rsidRPr="004563A1">
              <w:t>G40-100</w:t>
            </w:r>
          </w:p>
        </w:tc>
        <w:tc>
          <w:tcPr>
            <w:tcW w:w="8550" w:type="dxa"/>
          </w:tcPr>
          <w:p w14:paraId="438033F9" w14:textId="23B0C1F4" w:rsidR="00800503" w:rsidRDefault="00800503" w:rsidP="00800503">
            <w:r w:rsidRPr="004563A1">
              <w:t>MRC is greater than or equal to 40 MMBtu/hr but less than 100 MMBtu/hr</w:t>
            </w:r>
          </w:p>
        </w:tc>
      </w:tr>
    </w:tbl>
    <w:p w14:paraId="76822FC6" w14:textId="07E717AD" w:rsidR="00F861CF" w:rsidRPr="00EF0801" w:rsidRDefault="00F861CF" w:rsidP="00D61106">
      <w:pPr>
        <w:pStyle w:val="APDCodeIdentifiers"/>
        <w:spacing w:before="120" w:after="0"/>
      </w:pPr>
      <w:r w:rsidRPr="00EF0801">
        <w:t>For units in SOP applications:</w:t>
      </w:r>
    </w:p>
    <w:p w14:paraId="7B6FB4CA" w14:textId="00388A8F" w:rsidR="00F861CF" w:rsidRDefault="00F861CF" w:rsidP="00EE0BDA">
      <w:pPr>
        <w:pStyle w:val="APDCodeIdentifiers"/>
      </w:pPr>
      <w:r w:rsidRPr="00EF0801">
        <w:t>For boilers located in the Beaumont/Port Arthur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CD07E8" w14:paraId="2ADCC759" w14:textId="77777777" w:rsidTr="00CD07E8">
        <w:tc>
          <w:tcPr>
            <w:tcW w:w="1530" w:type="dxa"/>
          </w:tcPr>
          <w:p w14:paraId="73A4D3F0" w14:textId="60F0C1C8" w:rsidR="00CD07E8" w:rsidRDefault="00CD07E8" w:rsidP="00CD07E8">
            <w:r w:rsidRPr="00CB731C">
              <w:rPr>
                <w:b/>
              </w:rPr>
              <w:t>Code</w:t>
            </w:r>
          </w:p>
        </w:tc>
        <w:tc>
          <w:tcPr>
            <w:tcW w:w="8550" w:type="dxa"/>
          </w:tcPr>
          <w:p w14:paraId="1563A5D0" w14:textId="0F4705AD" w:rsidR="00CD07E8" w:rsidRDefault="00CD07E8" w:rsidP="00CD07E8">
            <w:r w:rsidRPr="00CB731C">
              <w:rPr>
                <w:b/>
              </w:rPr>
              <w:t>Description</w:t>
            </w:r>
          </w:p>
        </w:tc>
      </w:tr>
      <w:tr w:rsidR="00CD07E8" w14:paraId="20AEC45A" w14:textId="77777777" w:rsidTr="00CD07E8">
        <w:tc>
          <w:tcPr>
            <w:tcW w:w="1530" w:type="dxa"/>
          </w:tcPr>
          <w:p w14:paraId="72D8704E" w14:textId="32B18687" w:rsidR="00CD07E8" w:rsidRDefault="00CD07E8" w:rsidP="00CD07E8">
            <w:r w:rsidRPr="00CB731C">
              <w:t>40-</w:t>
            </w:r>
          </w:p>
        </w:tc>
        <w:tc>
          <w:tcPr>
            <w:tcW w:w="8550" w:type="dxa"/>
          </w:tcPr>
          <w:p w14:paraId="74594B68" w14:textId="5F82CA39" w:rsidR="00CD07E8" w:rsidRDefault="00CD07E8" w:rsidP="00CD07E8">
            <w:r w:rsidRPr="00CB731C">
              <w:t>MRC is less than 40 MMBtu/hr</w:t>
            </w:r>
          </w:p>
        </w:tc>
      </w:tr>
      <w:tr w:rsidR="00CD07E8" w14:paraId="7DC92165" w14:textId="77777777" w:rsidTr="00CD07E8">
        <w:tc>
          <w:tcPr>
            <w:tcW w:w="1530" w:type="dxa"/>
          </w:tcPr>
          <w:p w14:paraId="6BAF7600" w14:textId="3794DD1A" w:rsidR="00CD07E8" w:rsidRDefault="00CD07E8" w:rsidP="00CD07E8">
            <w:r w:rsidRPr="00CB731C">
              <w:t>40-100</w:t>
            </w:r>
          </w:p>
        </w:tc>
        <w:tc>
          <w:tcPr>
            <w:tcW w:w="8550" w:type="dxa"/>
          </w:tcPr>
          <w:p w14:paraId="454EDEE0" w14:textId="64F2F39A" w:rsidR="00CD07E8" w:rsidRDefault="00CD07E8" w:rsidP="00CD07E8">
            <w:r w:rsidRPr="00CB731C">
              <w:t>MRC is greater than or equal to 40 MMBtu/hr but less than 100 MMBtu/hr</w:t>
            </w:r>
          </w:p>
        </w:tc>
      </w:tr>
      <w:tr w:rsidR="00CD07E8" w14:paraId="6D4BF536" w14:textId="77777777" w:rsidTr="00CD07E8">
        <w:tc>
          <w:tcPr>
            <w:tcW w:w="1530" w:type="dxa"/>
          </w:tcPr>
          <w:p w14:paraId="281320B8" w14:textId="57784DE2" w:rsidR="00CD07E8" w:rsidRDefault="00CD07E8" w:rsidP="00CD07E8">
            <w:r w:rsidRPr="00CB731C">
              <w:t>100-200</w:t>
            </w:r>
          </w:p>
        </w:tc>
        <w:tc>
          <w:tcPr>
            <w:tcW w:w="8550" w:type="dxa"/>
          </w:tcPr>
          <w:p w14:paraId="00DB0498" w14:textId="3D50C95E" w:rsidR="00CD07E8" w:rsidRDefault="00CD07E8" w:rsidP="00CD07E8">
            <w:r w:rsidRPr="00CB731C">
              <w:t>MRC is greater than or equal to 100 MMBtu/hr but less than 200 MMBtu/hr</w:t>
            </w:r>
          </w:p>
        </w:tc>
      </w:tr>
      <w:tr w:rsidR="00CD07E8" w14:paraId="0086C2AD" w14:textId="77777777" w:rsidTr="00CD07E8">
        <w:tc>
          <w:tcPr>
            <w:tcW w:w="1530" w:type="dxa"/>
          </w:tcPr>
          <w:p w14:paraId="160B0917" w14:textId="5F49F510" w:rsidR="00CD07E8" w:rsidRDefault="00CD07E8" w:rsidP="00CD07E8">
            <w:r w:rsidRPr="00CB731C">
              <w:t>200-250</w:t>
            </w:r>
          </w:p>
        </w:tc>
        <w:tc>
          <w:tcPr>
            <w:tcW w:w="8550" w:type="dxa"/>
          </w:tcPr>
          <w:p w14:paraId="406868BC" w14:textId="334B3F74" w:rsidR="00CD07E8" w:rsidRDefault="00CD07E8" w:rsidP="00CD07E8">
            <w:r w:rsidRPr="00CB731C">
              <w:t>MRC is greater than or equal to 200 MMBtu/hr but less than 250 MMBtu/hr</w:t>
            </w:r>
          </w:p>
        </w:tc>
      </w:tr>
      <w:tr w:rsidR="00CD07E8" w14:paraId="3C17B6BA" w14:textId="77777777" w:rsidTr="00CD07E8">
        <w:tc>
          <w:tcPr>
            <w:tcW w:w="1530" w:type="dxa"/>
          </w:tcPr>
          <w:p w14:paraId="4CE71A2C" w14:textId="68CE1A68" w:rsidR="00CD07E8" w:rsidRDefault="00CD07E8" w:rsidP="00CD07E8">
            <w:r w:rsidRPr="00CB731C">
              <w:t>250+</w:t>
            </w:r>
          </w:p>
        </w:tc>
        <w:tc>
          <w:tcPr>
            <w:tcW w:w="8550" w:type="dxa"/>
          </w:tcPr>
          <w:p w14:paraId="58E3F415" w14:textId="45D7FCBF" w:rsidR="00CD07E8" w:rsidRDefault="00CD07E8" w:rsidP="00CD07E8">
            <w:r w:rsidRPr="00CB731C">
              <w:t>MRC is greater than or equal to 250 MMBtu/hr</w:t>
            </w:r>
          </w:p>
        </w:tc>
      </w:tr>
    </w:tbl>
    <w:p w14:paraId="3F9E5A93" w14:textId="77777777" w:rsidR="00066B7C" w:rsidRDefault="00066B7C" w:rsidP="00C466A4">
      <w:pPr>
        <w:pStyle w:val="APDCodeIdentifiers"/>
        <w:spacing w:before="120"/>
        <w:sectPr w:rsidR="00066B7C" w:rsidSect="0031268E">
          <w:pgSz w:w="12240" w:h="15840" w:code="1"/>
          <w:pgMar w:top="720" w:right="720" w:bottom="720" w:left="720" w:header="720" w:footer="720" w:gutter="0"/>
          <w:cols w:space="720"/>
          <w:titlePg/>
          <w:docGrid w:linePitch="360"/>
        </w:sectPr>
      </w:pPr>
    </w:p>
    <w:p w14:paraId="461E24DE" w14:textId="77777777" w:rsidR="00F861CF" w:rsidRDefault="00F861CF" w:rsidP="00C466A4">
      <w:pPr>
        <w:pStyle w:val="APDCodeIdentifiers"/>
        <w:spacing w:before="120"/>
      </w:pPr>
      <w:r w:rsidRPr="00EF0801">
        <w:lastRenderedPageBreak/>
        <w:t>For boilers located in the Houston/Galveston/Brazoria ozone or the Dallas/Fort Worth Eight-Hour nonattainment areas: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066B7C" w14:paraId="45CAF6AD" w14:textId="77777777" w:rsidTr="00066B7C">
        <w:trPr>
          <w:cantSplit/>
          <w:tblHeader/>
        </w:trPr>
        <w:tc>
          <w:tcPr>
            <w:tcW w:w="1530" w:type="dxa"/>
          </w:tcPr>
          <w:p w14:paraId="7A7CB6C3" w14:textId="4DCEEBA4" w:rsidR="00066B7C" w:rsidRPr="00066B7C" w:rsidRDefault="00066B7C" w:rsidP="00066B7C">
            <w:pPr>
              <w:rPr>
                <w:b/>
                <w:bCs/>
              </w:rPr>
            </w:pPr>
            <w:r w:rsidRPr="00066B7C">
              <w:rPr>
                <w:b/>
                <w:bCs/>
              </w:rPr>
              <w:t>Code</w:t>
            </w:r>
          </w:p>
        </w:tc>
        <w:tc>
          <w:tcPr>
            <w:tcW w:w="8550" w:type="dxa"/>
          </w:tcPr>
          <w:p w14:paraId="1D7C54B9" w14:textId="1632D32A" w:rsidR="00066B7C" w:rsidRPr="00066B7C" w:rsidRDefault="00066B7C" w:rsidP="00066B7C">
            <w:pPr>
              <w:rPr>
                <w:b/>
                <w:bCs/>
              </w:rPr>
            </w:pPr>
            <w:r w:rsidRPr="00066B7C">
              <w:rPr>
                <w:b/>
                <w:bCs/>
              </w:rPr>
              <w:t>Description</w:t>
            </w:r>
          </w:p>
        </w:tc>
      </w:tr>
      <w:tr w:rsidR="00066B7C" w14:paraId="5B42B73D" w14:textId="77777777" w:rsidTr="00066B7C">
        <w:trPr>
          <w:cantSplit/>
          <w:tblHeader/>
        </w:trPr>
        <w:tc>
          <w:tcPr>
            <w:tcW w:w="1530" w:type="dxa"/>
          </w:tcPr>
          <w:p w14:paraId="166630E7" w14:textId="36DBAAE8" w:rsidR="00066B7C" w:rsidRDefault="00066B7C" w:rsidP="00066B7C">
            <w:r w:rsidRPr="000F4564">
              <w:t>2-</w:t>
            </w:r>
          </w:p>
        </w:tc>
        <w:tc>
          <w:tcPr>
            <w:tcW w:w="8550" w:type="dxa"/>
          </w:tcPr>
          <w:p w14:paraId="696ED087" w14:textId="2438460C" w:rsidR="00066B7C" w:rsidRDefault="00066B7C" w:rsidP="00066B7C">
            <w:r w:rsidRPr="000F4564">
              <w:t>MRC is less than or equal to 2 MMBtu/hr</w:t>
            </w:r>
          </w:p>
        </w:tc>
      </w:tr>
      <w:tr w:rsidR="00066B7C" w14:paraId="5599C5B1" w14:textId="77777777" w:rsidTr="00066B7C">
        <w:trPr>
          <w:cantSplit/>
          <w:tblHeader/>
        </w:trPr>
        <w:tc>
          <w:tcPr>
            <w:tcW w:w="1530" w:type="dxa"/>
          </w:tcPr>
          <w:p w14:paraId="297C8417" w14:textId="1DE403F1" w:rsidR="00066B7C" w:rsidRDefault="00066B7C" w:rsidP="00066B7C">
            <w:r w:rsidRPr="000F4564">
              <w:t>2-40</w:t>
            </w:r>
          </w:p>
        </w:tc>
        <w:tc>
          <w:tcPr>
            <w:tcW w:w="8550" w:type="dxa"/>
          </w:tcPr>
          <w:p w14:paraId="28E43389" w14:textId="4F77F643" w:rsidR="00066B7C" w:rsidRDefault="00066B7C" w:rsidP="00066B7C">
            <w:r w:rsidRPr="000F4564">
              <w:t>MRC is greater than 2 MMBtu/hr but less than 40 MMBtu/hr</w:t>
            </w:r>
          </w:p>
        </w:tc>
      </w:tr>
      <w:tr w:rsidR="00066B7C" w14:paraId="4792A828" w14:textId="77777777" w:rsidTr="00066B7C">
        <w:trPr>
          <w:cantSplit/>
          <w:tblHeader/>
        </w:trPr>
        <w:tc>
          <w:tcPr>
            <w:tcW w:w="1530" w:type="dxa"/>
          </w:tcPr>
          <w:p w14:paraId="0741F69D" w14:textId="482F4DA5" w:rsidR="00066B7C" w:rsidRDefault="00066B7C" w:rsidP="00066B7C">
            <w:r w:rsidRPr="000F4564">
              <w:t>40-100</w:t>
            </w:r>
          </w:p>
        </w:tc>
        <w:tc>
          <w:tcPr>
            <w:tcW w:w="8550" w:type="dxa"/>
          </w:tcPr>
          <w:p w14:paraId="089E9A50" w14:textId="59C27C98" w:rsidR="00066B7C" w:rsidRDefault="00066B7C" w:rsidP="00066B7C">
            <w:r w:rsidRPr="000F4564">
              <w:t>MRC is greater than or equal to 40 MMBtu/hr but less than 100 MMBtu/hr</w:t>
            </w:r>
          </w:p>
        </w:tc>
      </w:tr>
      <w:tr w:rsidR="00066B7C" w14:paraId="321FB781" w14:textId="77777777" w:rsidTr="00066B7C">
        <w:trPr>
          <w:cantSplit/>
          <w:tblHeader/>
        </w:trPr>
        <w:tc>
          <w:tcPr>
            <w:tcW w:w="1530" w:type="dxa"/>
          </w:tcPr>
          <w:p w14:paraId="6049F01B" w14:textId="1532C244" w:rsidR="00066B7C" w:rsidRDefault="00066B7C" w:rsidP="00066B7C">
            <w:r w:rsidRPr="000F4564">
              <w:t>100-200</w:t>
            </w:r>
          </w:p>
        </w:tc>
        <w:tc>
          <w:tcPr>
            <w:tcW w:w="8550" w:type="dxa"/>
          </w:tcPr>
          <w:p w14:paraId="0F8D1307" w14:textId="57536585" w:rsidR="00066B7C" w:rsidRDefault="00066B7C" w:rsidP="00066B7C">
            <w:r w:rsidRPr="000F4564">
              <w:t>MRC is greater than or equal to 100 MMBtu/hr but less than 200 MMBtu/hr</w:t>
            </w:r>
          </w:p>
        </w:tc>
      </w:tr>
      <w:tr w:rsidR="00066B7C" w14:paraId="45FB534E" w14:textId="77777777" w:rsidTr="00066B7C">
        <w:trPr>
          <w:cantSplit/>
          <w:tblHeader/>
        </w:trPr>
        <w:tc>
          <w:tcPr>
            <w:tcW w:w="1530" w:type="dxa"/>
          </w:tcPr>
          <w:p w14:paraId="05CFA00A" w14:textId="356A8FB6" w:rsidR="00066B7C" w:rsidRDefault="00066B7C" w:rsidP="00066B7C">
            <w:r w:rsidRPr="000F4564">
              <w:t>200-250</w:t>
            </w:r>
          </w:p>
        </w:tc>
        <w:tc>
          <w:tcPr>
            <w:tcW w:w="8550" w:type="dxa"/>
          </w:tcPr>
          <w:p w14:paraId="093B60C0" w14:textId="5417FE46" w:rsidR="00066B7C" w:rsidRDefault="00066B7C" w:rsidP="00066B7C">
            <w:r w:rsidRPr="000F4564">
              <w:t>MRC is greater than or equal to 200 MMBtu/hr but less than 250 MMBtu/hr</w:t>
            </w:r>
          </w:p>
        </w:tc>
      </w:tr>
      <w:tr w:rsidR="00066B7C" w14:paraId="500C89B7" w14:textId="77777777" w:rsidTr="00066B7C">
        <w:trPr>
          <w:cantSplit/>
          <w:tblHeader/>
        </w:trPr>
        <w:tc>
          <w:tcPr>
            <w:tcW w:w="1530" w:type="dxa"/>
          </w:tcPr>
          <w:p w14:paraId="55B7C1F5" w14:textId="3782B65F" w:rsidR="00066B7C" w:rsidRDefault="00066B7C" w:rsidP="00066B7C">
            <w:r w:rsidRPr="000F4564">
              <w:t>250+</w:t>
            </w:r>
          </w:p>
        </w:tc>
        <w:tc>
          <w:tcPr>
            <w:tcW w:w="8550" w:type="dxa"/>
          </w:tcPr>
          <w:p w14:paraId="0598C00E" w14:textId="2C9B266A" w:rsidR="00066B7C" w:rsidRDefault="00066B7C" w:rsidP="00066B7C">
            <w:r w:rsidRPr="000F4564">
              <w:t>MRC is greater than or equal to 250 MMBtu/hr</w:t>
            </w:r>
          </w:p>
        </w:tc>
      </w:tr>
    </w:tbl>
    <w:p w14:paraId="10ADD983" w14:textId="45B8F0F0" w:rsidR="003C2FB6" w:rsidRDefault="005C766D" w:rsidP="00FD7888">
      <w:pPr>
        <w:pStyle w:val="APDContinueTriangle"/>
      </w:pPr>
      <w:bookmarkStart w:id="57" w:name="_Hlk70081343"/>
      <w:r>
        <w:t xml:space="preserve">Do not continue if located in the Beaumont/Port Arthur ozone nonattainment area and “MRC” is “G2-” or “G2-40” for GOP applications; or “40-” for SOP applications. </w:t>
      </w:r>
    </w:p>
    <w:p w14:paraId="04BAEF4D" w14:textId="74D3DDF7" w:rsidR="005C766D" w:rsidRPr="00EF0801" w:rsidRDefault="005C766D" w:rsidP="00FD7888">
      <w:pPr>
        <w:pStyle w:val="APDContinueTriangle"/>
      </w:pPr>
      <w:r w:rsidRPr="005C766D">
        <w:t>Do not continue if located in the Houston/Galveston/Brazoria or the Dallas/Fort Worth Eight-Hour ozone nonattainment areas and “MRC” is “G2-” for GOP applications; or “2-” for SOP applications.</w:t>
      </w:r>
    </w:p>
    <w:bookmarkEnd w:id="57"/>
    <w:p w14:paraId="6F84D2A6" w14:textId="191B018B" w:rsidR="009C0F72" w:rsidRPr="002107F6" w:rsidRDefault="00F861CF" w:rsidP="00390EE3">
      <w:pPr>
        <w:pStyle w:val="APDCompleteStar"/>
      </w:pPr>
      <w:r w:rsidRPr="002107F6">
        <w:t>Complete “RACT Date Placed in Service” only if located in the Beaumont/Port Arthur ozone nonattainment area.</w:t>
      </w:r>
    </w:p>
    <w:p w14:paraId="03A75BB2" w14:textId="5513B147" w:rsidR="00F861CF" w:rsidRPr="00EF0801" w:rsidRDefault="00F861CF" w:rsidP="00D7634E">
      <w:pPr>
        <w:pStyle w:val="APDStrong"/>
      </w:pPr>
      <w:r w:rsidRPr="00EF0801">
        <w:t>RACT Date Placed in Service</w:t>
      </w:r>
      <w:r w:rsidRPr="003A1BA2">
        <w:rPr>
          <w:bCs/>
        </w:rPr>
        <w:t>:</w:t>
      </w:r>
    </w:p>
    <w:p w14:paraId="46756074" w14:textId="77777777" w:rsidR="00F861CF" w:rsidRDefault="00F861CF" w:rsidP="002107F6">
      <w:pPr>
        <w:pStyle w:val="APDBodyText"/>
      </w:pPr>
      <w:r w:rsidRPr="00EF0801">
        <w:t>Select one of the following options for the date the unit was placed in service.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764912" w14:paraId="4D437A66" w14:textId="77777777" w:rsidTr="00764912">
        <w:trPr>
          <w:cantSplit/>
          <w:tblHeader/>
        </w:trPr>
        <w:tc>
          <w:tcPr>
            <w:tcW w:w="1530" w:type="dxa"/>
          </w:tcPr>
          <w:p w14:paraId="5548EE1A" w14:textId="0A22B86C" w:rsidR="00764912" w:rsidRPr="00764912" w:rsidRDefault="00764912" w:rsidP="00764912">
            <w:pPr>
              <w:rPr>
                <w:b/>
                <w:bCs/>
              </w:rPr>
            </w:pPr>
            <w:r w:rsidRPr="00764912">
              <w:rPr>
                <w:b/>
                <w:bCs/>
              </w:rPr>
              <w:t>Code</w:t>
            </w:r>
          </w:p>
        </w:tc>
        <w:tc>
          <w:tcPr>
            <w:tcW w:w="8550" w:type="dxa"/>
          </w:tcPr>
          <w:p w14:paraId="69E33A61" w14:textId="7109BD54" w:rsidR="00764912" w:rsidRPr="00764912" w:rsidRDefault="00764912" w:rsidP="00764912">
            <w:pPr>
              <w:rPr>
                <w:b/>
                <w:bCs/>
              </w:rPr>
            </w:pPr>
            <w:r w:rsidRPr="00764912">
              <w:rPr>
                <w:b/>
                <w:bCs/>
              </w:rPr>
              <w:t>Description</w:t>
            </w:r>
          </w:p>
        </w:tc>
      </w:tr>
      <w:tr w:rsidR="00764912" w14:paraId="659C6363" w14:textId="77777777" w:rsidTr="00764912">
        <w:trPr>
          <w:cantSplit/>
          <w:tblHeader/>
        </w:trPr>
        <w:tc>
          <w:tcPr>
            <w:tcW w:w="1530" w:type="dxa"/>
          </w:tcPr>
          <w:p w14:paraId="30BB68C2" w14:textId="1DB14544" w:rsidR="00764912" w:rsidRDefault="00764912" w:rsidP="00764912">
            <w:r w:rsidRPr="007851A4">
              <w:t>92-</w:t>
            </w:r>
          </w:p>
        </w:tc>
        <w:tc>
          <w:tcPr>
            <w:tcW w:w="8550" w:type="dxa"/>
          </w:tcPr>
          <w:p w14:paraId="20AE9BD1" w14:textId="34BAFE05" w:rsidR="00764912" w:rsidRDefault="00764912" w:rsidP="00764912">
            <w:r w:rsidRPr="007851A4">
              <w:t>On or before November 15, 1992</w:t>
            </w:r>
          </w:p>
        </w:tc>
      </w:tr>
      <w:tr w:rsidR="00764912" w14:paraId="6CAF022A" w14:textId="77777777" w:rsidTr="00764912">
        <w:trPr>
          <w:cantSplit/>
          <w:tblHeader/>
        </w:trPr>
        <w:tc>
          <w:tcPr>
            <w:tcW w:w="1530" w:type="dxa"/>
          </w:tcPr>
          <w:p w14:paraId="3B9DAB3A" w14:textId="04AFE820" w:rsidR="00764912" w:rsidRDefault="00764912" w:rsidP="00764912">
            <w:r w:rsidRPr="007851A4">
              <w:t>92-93</w:t>
            </w:r>
          </w:p>
        </w:tc>
        <w:tc>
          <w:tcPr>
            <w:tcW w:w="8550" w:type="dxa"/>
          </w:tcPr>
          <w:p w14:paraId="2ABE96E1" w14:textId="6B68D316" w:rsidR="00764912" w:rsidRDefault="00764912" w:rsidP="00764912">
            <w:r w:rsidRPr="007851A4">
              <w:t>After November 15, 1992, and on or before June 9, 1993</w:t>
            </w:r>
          </w:p>
        </w:tc>
      </w:tr>
      <w:tr w:rsidR="00764912" w14:paraId="3266F511" w14:textId="77777777" w:rsidTr="00764912">
        <w:trPr>
          <w:cantSplit/>
          <w:tblHeader/>
        </w:trPr>
        <w:tc>
          <w:tcPr>
            <w:tcW w:w="1530" w:type="dxa"/>
          </w:tcPr>
          <w:p w14:paraId="10F2E997" w14:textId="2F76ED6D" w:rsidR="00764912" w:rsidRDefault="00764912" w:rsidP="00764912">
            <w:r w:rsidRPr="007851A4">
              <w:t>93-FCD</w:t>
            </w:r>
          </w:p>
        </w:tc>
        <w:tc>
          <w:tcPr>
            <w:tcW w:w="8550" w:type="dxa"/>
          </w:tcPr>
          <w:p w14:paraId="51F801B9" w14:textId="007F40F3" w:rsidR="00764912" w:rsidRDefault="00764912" w:rsidP="00764912">
            <w:r w:rsidRPr="007851A4">
              <w:t>After June 9, 1993, and before the final compliance date specified in 30 TAC §§ 117.9000, 117.9010 or 117.9020</w:t>
            </w:r>
          </w:p>
        </w:tc>
      </w:tr>
      <w:tr w:rsidR="00764912" w14:paraId="0496496C" w14:textId="77777777" w:rsidTr="00764912">
        <w:trPr>
          <w:cantSplit/>
          <w:tblHeader/>
        </w:trPr>
        <w:tc>
          <w:tcPr>
            <w:tcW w:w="1530" w:type="dxa"/>
          </w:tcPr>
          <w:p w14:paraId="32D4655E" w14:textId="2CEB4F4B" w:rsidR="00764912" w:rsidRDefault="00764912" w:rsidP="00764912">
            <w:r w:rsidRPr="007851A4">
              <w:t>FCD+</w:t>
            </w:r>
          </w:p>
        </w:tc>
        <w:tc>
          <w:tcPr>
            <w:tcW w:w="8550" w:type="dxa"/>
          </w:tcPr>
          <w:p w14:paraId="194198F9" w14:textId="5A4DBFBF" w:rsidR="00764912" w:rsidRDefault="00764912" w:rsidP="00764912">
            <w:r w:rsidRPr="007851A4">
              <w:t>On or after the final compliance date specified in 30 TAC §§ 117.9000, 117.9010 or 117.9020</w:t>
            </w:r>
          </w:p>
        </w:tc>
      </w:tr>
    </w:tbl>
    <w:p w14:paraId="2969047D" w14:textId="77777777" w:rsidR="00F861CF" w:rsidRPr="00EF0801" w:rsidRDefault="00F861CF" w:rsidP="00390EE3">
      <w:pPr>
        <w:pStyle w:val="APDCompleteStar"/>
      </w:pPr>
      <w:r w:rsidRPr="00EF0801">
        <w:t>Complete “Functionally Identical Replacement” only if “RACT Date Placed in Service” is “93-FCD.”</w:t>
      </w:r>
    </w:p>
    <w:p w14:paraId="3CDE026E" w14:textId="77777777" w:rsidR="00F861CF" w:rsidRPr="00EF0801" w:rsidRDefault="00F861CF" w:rsidP="00D7634E">
      <w:pPr>
        <w:pStyle w:val="APDStrong"/>
      </w:pPr>
      <w:r w:rsidRPr="00EF0801">
        <w:t>Functionally Identical Replacement</w:t>
      </w:r>
      <w:r w:rsidRPr="003A1BA2">
        <w:rPr>
          <w:bCs/>
        </w:rPr>
        <w:t>:</w:t>
      </w:r>
    </w:p>
    <w:p w14:paraId="2C1019B1" w14:textId="3D387F72" w:rsidR="00F861CF" w:rsidRDefault="00F861CF" w:rsidP="002107F6">
      <w:pPr>
        <w:pStyle w:val="APDBodyText"/>
      </w:pPr>
      <w:r w:rsidRPr="00EF0801">
        <w:t>Select one of the following options to identify if the unit is a functionally identical replacement for a unit or group of units that were in service on or before November</w:t>
      </w:r>
      <w:r w:rsidR="003A1BA2">
        <w:t xml:space="preserve"> </w:t>
      </w:r>
      <w:r w:rsidRPr="00EF0801">
        <w:t>15,</w:t>
      </w:r>
      <w:r w:rsidR="003A1BA2">
        <w:t xml:space="preserve"> </w:t>
      </w:r>
      <w:r w:rsidRPr="00EF0801">
        <w:t>1992.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163D6" w14:paraId="5D5B026B" w14:textId="77777777" w:rsidTr="00B163D6">
        <w:trPr>
          <w:cantSplit/>
          <w:tblHeader/>
        </w:trPr>
        <w:tc>
          <w:tcPr>
            <w:tcW w:w="1530" w:type="dxa"/>
          </w:tcPr>
          <w:p w14:paraId="0EA33C92" w14:textId="53C2B641" w:rsidR="00B163D6" w:rsidRPr="00B163D6" w:rsidRDefault="00B163D6" w:rsidP="00B163D6">
            <w:pPr>
              <w:rPr>
                <w:b/>
                <w:bCs/>
              </w:rPr>
            </w:pPr>
            <w:r w:rsidRPr="00B163D6">
              <w:rPr>
                <w:b/>
                <w:bCs/>
              </w:rPr>
              <w:t>Code</w:t>
            </w:r>
          </w:p>
        </w:tc>
        <w:tc>
          <w:tcPr>
            <w:tcW w:w="8550" w:type="dxa"/>
          </w:tcPr>
          <w:p w14:paraId="27575B6C" w14:textId="6FD6CFE6" w:rsidR="00B163D6" w:rsidRPr="00B163D6" w:rsidRDefault="00B163D6" w:rsidP="00B163D6">
            <w:pPr>
              <w:rPr>
                <w:b/>
                <w:bCs/>
              </w:rPr>
            </w:pPr>
            <w:r w:rsidRPr="00B163D6">
              <w:rPr>
                <w:b/>
                <w:bCs/>
              </w:rPr>
              <w:t>Description</w:t>
            </w:r>
          </w:p>
        </w:tc>
      </w:tr>
      <w:tr w:rsidR="00B163D6" w14:paraId="5646015F" w14:textId="77777777" w:rsidTr="00B163D6">
        <w:trPr>
          <w:cantSplit/>
          <w:tblHeader/>
        </w:trPr>
        <w:tc>
          <w:tcPr>
            <w:tcW w:w="1530" w:type="dxa"/>
          </w:tcPr>
          <w:p w14:paraId="0778A7F4" w14:textId="1EF2A72A" w:rsidR="00B163D6" w:rsidRDefault="00B163D6" w:rsidP="00B163D6">
            <w:r w:rsidRPr="0004786E">
              <w:t>YES</w:t>
            </w:r>
          </w:p>
        </w:tc>
        <w:tc>
          <w:tcPr>
            <w:tcW w:w="8550" w:type="dxa"/>
          </w:tcPr>
          <w:p w14:paraId="3ACFF064" w14:textId="5E03AC6E" w:rsidR="00B163D6" w:rsidRDefault="00B163D6" w:rsidP="00B163D6">
            <w:r w:rsidRPr="0004786E">
              <w:t>Unit is a functionally identical replacement</w:t>
            </w:r>
          </w:p>
        </w:tc>
      </w:tr>
      <w:tr w:rsidR="00B163D6" w14:paraId="00B9E578" w14:textId="77777777" w:rsidTr="00B163D6">
        <w:trPr>
          <w:cantSplit/>
          <w:tblHeader/>
        </w:trPr>
        <w:tc>
          <w:tcPr>
            <w:tcW w:w="1530" w:type="dxa"/>
          </w:tcPr>
          <w:p w14:paraId="56AF7992" w14:textId="4DFADE50" w:rsidR="00B163D6" w:rsidRDefault="00B163D6" w:rsidP="00B163D6">
            <w:r w:rsidRPr="0004786E">
              <w:t>NO</w:t>
            </w:r>
          </w:p>
        </w:tc>
        <w:tc>
          <w:tcPr>
            <w:tcW w:w="8550" w:type="dxa"/>
          </w:tcPr>
          <w:p w14:paraId="24D7AAA3" w14:textId="2C2F818C" w:rsidR="00B163D6" w:rsidRDefault="00B163D6" w:rsidP="00B163D6">
            <w:r w:rsidRPr="0004786E">
              <w:t>Unit is not a functionally identical replacement</w:t>
            </w:r>
          </w:p>
        </w:tc>
      </w:tr>
    </w:tbl>
    <w:p w14:paraId="12DBC850" w14:textId="1EE45E0C" w:rsidR="00F861CF" w:rsidRPr="00EF0801" w:rsidRDefault="00F861CF" w:rsidP="00FD7888">
      <w:pPr>
        <w:pStyle w:val="APDContinueTriangle"/>
      </w:pPr>
      <w:r w:rsidRPr="00EF0801">
        <w:t xml:space="preserve">Do not continue if located in the Beaumont/Port Arthur ozone nonattainment area and “RACT Date Placed in Service” is “92-93” or “FCD+”; </w:t>
      </w:r>
      <w:r w:rsidR="008F3E6D" w:rsidRPr="00EF0801">
        <w:t>or</w:t>
      </w:r>
      <w:r w:rsidRPr="00EF0801">
        <w:t xml:space="preserve"> “RACT Date Placed in Service” is “93-FCD” and “Functionally Identical Replacement” is “</w:t>
      </w:r>
      <w:r w:rsidR="00B42127">
        <w:t>NO</w:t>
      </w:r>
      <w:r w:rsidRPr="00EF0801">
        <w:t>.”</w:t>
      </w:r>
    </w:p>
    <w:p w14:paraId="2419B679" w14:textId="77777777" w:rsidR="00F721FD" w:rsidRDefault="00F721FD" w:rsidP="00D7634E">
      <w:pPr>
        <w:pStyle w:val="APDStrong"/>
        <w:sectPr w:rsidR="00F721FD" w:rsidSect="0031268E">
          <w:pgSz w:w="12240" w:h="15840" w:code="1"/>
          <w:pgMar w:top="720" w:right="720" w:bottom="720" w:left="720" w:header="720" w:footer="720" w:gutter="0"/>
          <w:cols w:space="720"/>
          <w:titlePg/>
          <w:docGrid w:linePitch="360"/>
        </w:sectPr>
      </w:pPr>
    </w:p>
    <w:p w14:paraId="64CAEAD0" w14:textId="77777777" w:rsidR="00F861CF" w:rsidRPr="00EF0801" w:rsidRDefault="00F861CF" w:rsidP="00D7634E">
      <w:pPr>
        <w:pStyle w:val="APDStrong"/>
      </w:pPr>
      <w:r w:rsidRPr="00EF0801">
        <w:lastRenderedPageBreak/>
        <w:t>Fuel Type</w:t>
      </w:r>
      <w:r w:rsidRPr="003A1BA2">
        <w:rPr>
          <w:bCs/>
        </w:rPr>
        <w:t>:</w:t>
      </w:r>
    </w:p>
    <w:p w14:paraId="579F254C" w14:textId="77777777" w:rsidR="00F861CF" w:rsidRDefault="00F861CF" w:rsidP="002107F6">
      <w:pPr>
        <w:pStyle w:val="APDBodyText"/>
      </w:pPr>
      <w:r w:rsidRPr="00EF0801">
        <w:t>Select one of the following options for fuel type.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105A73" w14:paraId="00F61B60" w14:textId="77777777" w:rsidTr="00F6403C">
        <w:trPr>
          <w:cantSplit/>
          <w:tblHeader/>
        </w:trPr>
        <w:tc>
          <w:tcPr>
            <w:tcW w:w="1530" w:type="dxa"/>
          </w:tcPr>
          <w:p w14:paraId="6DE83C49" w14:textId="18AA231F" w:rsidR="00105A73" w:rsidRPr="00F6403C" w:rsidRDefault="00105A73" w:rsidP="0036350C">
            <w:pPr>
              <w:rPr>
                <w:b/>
                <w:bCs/>
              </w:rPr>
            </w:pPr>
            <w:r w:rsidRPr="00F6403C">
              <w:rPr>
                <w:b/>
                <w:bCs/>
              </w:rPr>
              <w:t>Code</w:t>
            </w:r>
          </w:p>
        </w:tc>
        <w:tc>
          <w:tcPr>
            <w:tcW w:w="8550" w:type="dxa"/>
          </w:tcPr>
          <w:p w14:paraId="015DA7AC" w14:textId="1AE6EC58" w:rsidR="00105A73" w:rsidRPr="00F6403C" w:rsidRDefault="00105A73" w:rsidP="0036350C">
            <w:pPr>
              <w:rPr>
                <w:b/>
                <w:bCs/>
              </w:rPr>
            </w:pPr>
            <w:r w:rsidRPr="00F6403C">
              <w:rPr>
                <w:b/>
                <w:bCs/>
              </w:rPr>
              <w:t>Description</w:t>
            </w:r>
          </w:p>
        </w:tc>
      </w:tr>
      <w:tr w:rsidR="00105A73" w14:paraId="022F2FA3" w14:textId="77777777" w:rsidTr="00F6403C">
        <w:trPr>
          <w:cantSplit/>
          <w:tblHeader/>
        </w:trPr>
        <w:tc>
          <w:tcPr>
            <w:tcW w:w="1530" w:type="dxa"/>
          </w:tcPr>
          <w:p w14:paraId="7C84D397" w14:textId="26EFB55D" w:rsidR="00105A73" w:rsidRDefault="00105A73" w:rsidP="0036350C">
            <w:r w:rsidRPr="006B04B0">
              <w:t>NG</w:t>
            </w:r>
          </w:p>
        </w:tc>
        <w:tc>
          <w:tcPr>
            <w:tcW w:w="8550" w:type="dxa"/>
          </w:tcPr>
          <w:p w14:paraId="0EB64985" w14:textId="62084228" w:rsidR="00105A73" w:rsidRDefault="00105A73" w:rsidP="0036350C">
            <w:r w:rsidRPr="006B04B0">
              <w:t>Natural Gas (GOP applicants for GOPs 511, 512, 513 and 514 must select this option, other applicants may select this option)</w:t>
            </w:r>
          </w:p>
        </w:tc>
      </w:tr>
      <w:tr w:rsidR="00105A73" w14:paraId="39E5A47F" w14:textId="77777777" w:rsidTr="00F6403C">
        <w:trPr>
          <w:cantSplit/>
          <w:tblHeader/>
        </w:trPr>
        <w:tc>
          <w:tcPr>
            <w:tcW w:w="1530" w:type="dxa"/>
          </w:tcPr>
          <w:p w14:paraId="67433C28" w14:textId="37FB3560" w:rsidR="00105A73" w:rsidRDefault="00105A73" w:rsidP="0036350C">
            <w:r w:rsidRPr="006B04B0">
              <w:t>GS</w:t>
            </w:r>
          </w:p>
        </w:tc>
        <w:tc>
          <w:tcPr>
            <w:tcW w:w="8550" w:type="dxa"/>
          </w:tcPr>
          <w:p w14:paraId="1967B05D" w14:textId="3452ECBF" w:rsidR="00105A73" w:rsidRDefault="00105A73" w:rsidP="0036350C">
            <w:r w:rsidRPr="006B04B0">
              <w:t>Gaseous fuel other than natural gas landfill gas or renewable non-fossil fuel gases (refinery gas or mixtures, etc.)</w:t>
            </w:r>
          </w:p>
        </w:tc>
      </w:tr>
      <w:tr w:rsidR="00105A73" w14:paraId="4D7E828B" w14:textId="77777777" w:rsidTr="00F6403C">
        <w:trPr>
          <w:cantSplit/>
          <w:tblHeader/>
        </w:trPr>
        <w:tc>
          <w:tcPr>
            <w:tcW w:w="1530" w:type="dxa"/>
          </w:tcPr>
          <w:p w14:paraId="39E46544" w14:textId="2240B3E1" w:rsidR="00105A73" w:rsidRDefault="00105A73" w:rsidP="0036350C">
            <w:r w:rsidRPr="006B04B0">
              <w:t>LFG</w:t>
            </w:r>
          </w:p>
        </w:tc>
        <w:tc>
          <w:tcPr>
            <w:tcW w:w="8550" w:type="dxa"/>
          </w:tcPr>
          <w:p w14:paraId="0A0DC656" w14:textId="24495DDA" w:rsidR="00105A73" w:rsidRDefault="00105A73" w:rsidP="0036350C">
            <w:r w:rsidRPr="006B04B0">
              <w:t>Landfill Gas</w:t>
            </w:r>
          </w:p>
        </w:tc>
      </w:tr>
      <w:tr w:rsidR="00105A73" w14:paraId="55587D50" w14:textId="77777777" w:rsidTr="00F6403C">
        <w:trPr>
          <w:cantSplit/>
          <w:tblHeader/>
        </w:trPr>
        <w:tc>
          <w:tcPr>
            <w:tcW w:w="1530" w:type="dxa"/>
          </w:tcPr>
          <w:p w14:paraId="0962FC45" w14:textId="03CB9874" w:rsidR="00105A73" w:rsidRDefault="00105A73" w:rsidP="0036350C">
            <w:r w:rsidRPr="006B04B0">
              <w:t>ORG</w:t>
            </w:r>
          </w:p>
        </w:tc>
        <w:tc>
          <w:tcPr>
            <w:tcW w:w="8550" w:type="dxa"/>
          </w:tcPr>
          <w:p w14:paraId="35749A84" w14:textId="156B7108" w:rsidR="00105A73" w:rsidRDefault="00105A73" w:rsidP="0036350C">
            <w:r w:rsidRPr="006B04B0">
              <w:t>Renewable non-fossil fuel gas other than landfill gas</w:t>
            </w:r>
          </w:p>
        </w:tc>
      </w:tr>
      <w:tr w:rsidR="00105A73" w14:paraId="2B41B9BD" w14:textId="77777777" w:rsidTr="00F6403C">
        <w:trPr>
          <w:cantSplit/>
          <w:tblHeader/>
        </w:trPr>
        <w:tc>
          <w:tcPr>
            <w:tcW w:w="1530" w:type="dxa"/>
          </w:tcPr>
          <w:p w14:paraId="3ECC4B37" w14:textId="402FB7C0" w:rsidR="00105A73" w:rsidRDefault="00105A73" w:rsidP="0036350C">
            <w:r w:rsidRPr="006B04B0">
              <w:t>LQD</w:t>
            </w:r>
          </w:p>
        </w:tc>
        <w:tc>
          <w:tcPr>
            <w:tcW w:w="8550" w:type="dxa"/>
          </w:tcPr>
          <w:p w14:paraId="3E6E5F10" w14:textId="1FF0A654" w:rsidR="00105A73" w:rsidRDefault="00105A73" w:rsidP="0036350C">
            <w:r w:rsidRPr="006B04B0">
              <w:t>Liquid</w:t>
            </w:r>
          </w:p>
        </w:tc>
      </w:tr>
      <w:tr w:rsidR="00105A73" w14:paraId="49B438BB" w14:textId="77777777" w:rsidTr="00F6403C">
        <w:trPr>
          <w:cantSplit/>
          <w:tblHeader/>
        </w:trPr>
        <w:tc>
          <w:tcPr>
            <w:tcW w:w="1530" w:type="dxa"/>
          </w:tcPr>
          <w:p w14:paraId="137F41BC" w14:textId="08BF3E88" w:rsidR="00105A73" w:rsidRDefault="00105A73" w:rsidP="0036350C">
            <w:r w:rsidRPr="006B04B0">
              <w:t>WD</w:t>
            </w:r>
          </w:p>
        </w:tc>
        <w:tc>
          <w:tcPr>
            <w:tcW w:w="8550" w:type="dxa"/>
          </w:tcPr>
          <w:p w14:paraId="14097402" w14:textId="771533A9" w:rsidR="00105A73" w:rsidRDefault="00105A73" w:rsidP="0036350C">
            <w:r w:rsidRPr="006B04B0">
              <w:t>Wood</w:t>
            </w:r>
          </w:p>
        </w:tc>
      </w:tr>
      <w:tr w:rsidR="00105A73" w14:paraId="5184682C" w14:textId="77777777" w:rsidTr="00F6403C">
        <w:trPr>
          <w:cantSplit/>
          <w:tblHeader/>
        </w:trPr>
        <w:tc>
          <w:tcPr>
            <w:tcW w:w="1530" w:type="dxa"/>
          </w:tcPr>
          <w:p w14:paraId="21F14D21" w14:textId="2DB9DD05" w:rsidR="00105A73" w:rsidRDefault="00105A73" w:rsidP="0036350C">
            <w:r w:rsidRPr="006B04B0">
              <w:t>COKE</w:t>
            </w:r>
          </w:p>
        </w:tc>
        <w:tc>
          <w:tcPr>
            <w:tcW w:w="8550" w:type="dxa"/>
          </w:tcPr>
          <w:p w14:paraId="4128B3BE" w14:textId="17809A6C" w:rsidR="00105A73" w:rsidRDefault="00105A73" w:rsidP="0036350C">
            <w:r w:rsidRPr="006B04B0">
              <w:t>Coke (Houston/Galveston/Brazoria ozone Eight-Hour nonattainment areas only)</w:t>
            </w:r>
          </w:p>
        </w:tc>
      </w:tr>
      <w:tr w:rsidR="00105A73" w14:paraId="370E7BA5" w14:textId="77777777" w:rsidTr="00F6403C">
        <w:trPr>
          <w:cantSplit/>
          <w:tblHeader/>
        </w:trPr>
        <w:tc>
          <w:tcPr>
            <w:tcW w:w="1530" w:type="dxa"/>
          </w:tcPr>
          <w:p w14:paraId="5F9D4C41" w14:textId="18095B29" w:rsidR="00105A73" w:rsidRDefault="00105A73" w:rsidP="0036350C">
            <w:r w:rsidRPr="006B04B0">
              <w:t>RICE</w:t>
            </w:r>
          </w:p>
        </w:tc>
        <w:tc>
          <w:tcPr>
            <w:tcW w:w="8550" w:type="dxa"/>
          </w:tcPr>
          <w:p w14:paraId="30834583" w14:textId="29C0E21F" w:rsidR="00105A73" w:rsidRDefault="00105A73" w:rsidP="0036350C">
            <w:r w:rsidRPr="006B04B0">
              <w:t>Rice Hull (Houston/Galveston/Brazoria ozone Eight-Hour nonattainment areas only)</w:t>
            </w:r>
          </w:p>
        </w:tc>
      </w:tr>
    </w:tbl>
    <w:p w14:paraId="5B2892B0" w14:textId="0DD31790" w:rsidR="00F861CF" w:rsidRDefault="00F861CF" w:rsidP="00853339">
      <w:pPr>
        <w:pStyle w:val="APDBodyText"/>
        <w:spacing w:before="120"/>
      </w:pPr>
      <w:r w:rsidRPr="00EF0801">
        <w:t xml:space="preserve">If a fuel-firing option consists of multiple fuel types being combusted simultaneously, enter the fuel type code for each fuel in a separate column on the same line, with a single SOP index number. If there are more than three fuels being combusted simultaneously, use multiple lines, and start each line with a different SOP index number. Start each additional fuel-firing option on a different line with a different SOP index number. If multiple fuels that use the same code are simultaneously </w:t>
      </w:r>
      <w:r w:rsidR="00C26F82" w:rsidRPr="00EF0801">
        <w:t>combusted,</w:t>
      </w:r>
      <w:r w:rsidRPr="00EF0801">
        <w:t xml:space="preserve"> then enter t</w:t>
      </w:r>
      <w:r w:rsidR="002712C6" w:rsidRPr="00EF0801">
        <w:t>he code once for each fuel (See</w:t>
      </w:r>
      <w:r w:rsidR="003A1BA2">
        <w:t xml:space="preserve"> </w:t>
      </w:r>
      <w:r w:rsidRPr="00EF0801">
        <w:t>Fuel</w:t>
      </w:r>
      <w:r w:rsidR="004E5066" w:rsidRPr="00EF0801">
        <w:noBreakHyphen/>
      </w:r>
      <w:r w:rsidRPr="00EF0801">
        <w:t>firing Option C: for an example of multiple types of liquid fuel fired simultaneously).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Fuel-firing Option A for an example of multiple gaseous fossil fuels combusted simultaneously. "/>
      </w:tblPr>
      <w:tblGrid>
        <w:gridCol w:w="2160"/>
        <w:gridCol w:w="2160"/>
        <w:gridCol w:w="2160"/>
        <w:gridCol w:w="2160"/>
        <w:gridCol w:w="2160"/>
      </w:tblGrid>
      <w:tr w:rsidR="00E92ED4" w14:paraId="1B6CFCA9" w14:textId="77777777" w:rsidTr="00205EAC">
        <w:trPr>
          <w:cantSplit/>
          <w:tblHeader/>
        </w:trPr>
        <w:tc>
          <w:tcPr>
            <w:tcW w:w="2160" w:type="dxa"/>
            <w:tcBorders>
              <w:top w:val="nil"/>
              <w:left w:val="nil"/>
              <w:bottom w:val="nil"/>
              <w:right w:val="double" w:sz="6" w:space="0" w:color="auto"/>
            </w:tcBorders>
          </w:tcPr>
          <w:p w14:paraId="26733A35" w14:textId="77777777" w:rsidR="00E92ED4" w:rsidRDefault="00E92ED4" w:rsidP="00205EAC">
            <w:r w:rsidRPr="00EF0801">
              <w:rPr>
                <w:i/>
              </w:rPr>
              <w:t>Example:</w:t>
            </w:r>
          </w:p>
        </w:tc>
        <w:tc>
          <w:tcPr>
            <w:tcW w:w="2160" w:type="dxa"/>
            <w:tcBorders>
              <w:left w:val="double" w:sz="6" w:space="0" w:color="auto"/>
            </w:tcBorders>
            <w:shd w:val="clear" w:color="auto" w:fill="D9D9D9" w:themeFill="background1" w:themeFillShade="D9"/>
          </w:tcPr>
          <w:p w14:paraId="2D8CCF28" w14:textId="66472A51" w:rsidR="00E92ED4" w:rsidRDefault="00E92ED4" w:rsidP="00205EAC">
            <w:r w:rsidRPr="00EF0801">
              <w:rPr>
                <w:b/>
              </w:rPr>
              <w:t xml:space="preserve">SOP Index </w:t>
            </w:r>
            <w:r w:rsidR="00B42127">
              <w:rPr>
                <w:b/>
              </w:rPr>
              <w:t>N</w:t>
            </w:r>
            <w:r w:rsidR="00F42802">
              <w:rPr>
                <w:b/>
              </w:rPr>
              <w:t>o</w:t>
            </w:r>
            <w:r w:rsidRPr="00EF0801">
              <w:rPr>
                <w:b/>
              </w:rPr>
              <w:t>.</w:t>
            </w:r>
          </w:p>
        </w:tc>
        <w:tc>
          <w:tcPr>
            <w:tcW w:w="2160" w:type="dxa"/>
            <w:shd w:val="clear" w:color="auto" w:fill="D9D9D9" w:themeFill="background1" w:themeFillShade="D9"/>
          </w:tcPr>
          <w:p w14:paraId="0DF40B73" w14:textId="350BB262" w:rsidR="00E92ED4" w:rsidRDefault="00E92ED4" w:rsidP="00205EAC">
            <w:r w:rsidRPr="00EF0801">
              <w:rPr>
                <w:b/>
              </w:rPr>
              <w:t>Fuel Type</w:t>
            </w:r>
          </w:p>
        </w:tc>
        <w:tc>
          <w:tcPr>
            <w:tcW w:w="2160" w:type="dxa"/>
            <w:shd w:val="clear" w:color="auto" w:fill="D9D9D9" w:themeFill="background1" w:themeFillShade="D9"/>
          </w:tcPr>
          <w:p w14:paraId="6667ED0D" w14:textId="1CC71DDD" w:rsidR="00E92ED4" w:rsidRDefault="00E92ED4" w:rsidP="00205EAC">
            <w:r w:rsidRPr="00EF0801">
              <w:rPr>
                <w:b/>
              </w:rPr>
              <w:t>Fuel Type</w:t>
            </w:r>
          </w:p>
        </w:tc>
        <w:tc>
          <w:tcPr>
            <w:tcW w:w="2160" w:type="dxa"/>
            <w:shd w:val="clear" w:color="auto" w:fill="D9D9D9" w:themeFill="background1" w:themeFillShade="D9"/>
          </w:tcPr>
          <w:p w14:paraId="3BFE075B" w14:textId="1DD16CF9" w:rsidR="00E92ED4" w:rsidRDefault="00E92ED4" w:rsidP="00205EAC">
            <w:r w:rsidRPr="00EF0801">
              <w:rPr>
                <w:b/>
              </w:rPr>
              <w:t>Fuel Type</w:t>
            </w:r>
          </w:p>
        </w:tc>
      </w:tr>
      <w:tr w:rsidR="00E92ED4" w14:paraId="3439168A" w14:textId="77777777" w:rsidTr="00205EAC">
        <w:trPr>
          <w:cantSplit/>
          <w:tblHeader/>
        </w:trPr>
        <w:tc>
          <w:tcPr>
            <w:tcW w:w="2160" w:type="dxa"/>
            <w:tcBorders>
              <w:top w:val="nil"/>
              <w:left w:val="nil"/>
              <w:bottom w:val="nil"/>
              <w:right w:val="double" w:sz="6" w:space="0" w:color="auto"/>
            </w:tcBorders>
          </w:tcPr>
          <w:p w14:paraId="3F25A7A0" w14:textId="028A4A6A" w:rsidR="00E92ED4" w:rsidRDefault="00E92ED4" w:rsidP="00E92ED4"/>
        </w:tc>
        <w:tc>
          <w:tcPr>
            <w:tcW w:w="2160" w:type="dxa"/>
            <w:tcBorders>
              <w:left w:val="double" w:sz="6" w:space="0" w:color="auto"/>
            </w:tcBorders>
          </w:tcPr>
          <w:p w14:paraId="229C82DD" w14:textId="26473E50" w:rsidR="00E92ED4" w:rsidRDefault="00E92ED4" w:rsidP="00E92ED4">
            <w:r w:rsidRPr="00EF0801">
              <w:t>R7ICI-I</w:t>
            </w:r>
          </w:p>
        </w:tc>
        <w:tc>
          <w:tcPr>
            <w:tcW w:w="2160" w:type="dxa"/>
          </w:tcPr>
          <w:p w14:paraId="695514AD" w14:textId="162E5257" w:rsidR="00E92ED4" w:rsidRDefault="00E92ED4" w:rsidP="00E92ED4">
            <w:r w:rsidRPr="00EF0801">
              <w:t>GS</w:t>
            </w:r>
          </w:p>
        </w:tc>
        <w:tc>
          <w:tcPr>
            <w:tcW w:w="2160" w:type="dxa"/>
          </w:tcPr>
          <w:p w14:paraId="00071A20" w14:textId="0A198DD4" w:rsidR="00E92ED4" w:rsidRDefault="00E92ED4" w:rsidP="00E92ED4">
            <w:r w:rsidRPr="00EF0801">
              <w:t>LQD</w:t>
            </w:r>
          </w:p>
        </w:tc>
        <w:tc>
          <w:tcPr>
            <w:tcW w:w="2160" w:type="dxa"/>
          </w:tcPr>
          <w:p w14:paraId="2B81F8F8" w14:textId="1162B6AA" w:rsidR="00E92ED4" w:rsidRDefault="00E92ED4" w:rsidP="00E92ED4">
            <w:r w:rsidRPr="00EF0801">
              <w:t>WD</w:t>
            </w:r>
          </w:p>
        </w:tc>
      </w:tr>
      <w:tr w:rsidR="00E92ED4" w14:paraId="7FDAB495" w14:textId="77777777" w:rsidTr="00205EAC">
        <w:trPr>
          <w:cantSplit/>
          <w:tblHeader/>
        </w:trPr>
        <w:tc>
          <w:tcPr>
            <w:tcW w:w="2160" w:type="dxa"/>
            <w:tcBorders>
              <w:top w:val="nil"/>
              <w:left w:val="nil"/>
              <w:bottom w:val="nil"/>
              <w:right w:val="double" w:sz="6" w:space="0" w:color="auto"/>
            </w:tcBorders>
          </w:tcPr>
          <w:p w14:paraId="0D228873" w14:textId="65CA2CC3" w:rsidR="00E92ED4" w:rsidRDefault="00E92ED4" w:rsidP="00E92ED4">
            <w:r w:rsidRPr="00EF0801">
              <w:t>Fuel-firing Option A</w:t>
            </w:r>
          </w:p>
        </w:tc>
        <w:tc>
          <w:tcPr>
            <w:tcW w:w="2160" w:type="dxa"/>
            <w:tcBorders>
              <w:left w:val="double" w:sz="6" w:space="0" w:color="auto"/>
            </w:tcBorders>
          </w:tcPr>
          <w:p w14:paraId="00D94EDE" w14:textId="1E14B006" w:rsidR="00E92ED4" w:rsidRDefault="00E92ED4" w:rsidP="00E92ED4">
            <w:r w:rsidRPr="00EF0801">
              <w:t>R7ICI-2A</w:t>
            </w:r>
          </w:p>
        </w:tc>
        <w:tc>
          <w:tcPr>
            <w:tcW w:w="2160" w:type="dxa"/>
          </w:tcPr>
          <w:p w14:paraId="2BB338C5" w14:textId="1AB1A6E1" w:rsidR="00E92ED4" w:rsidRDefault="00E92ED4" w:rsidP="00E92ED4">
            <w:r w:rsidRPr="00EF0801">
              <w:t>GS</w:t>
            </w:r>
          </w:p>
        </w:tc>
        <w:tc>
          <w:tcPr>
            <w:tcW w:w="2160" w:type="dxa"/>
          </w:tcPr>
          <w:p w14:paraId="1595B829" w14:textId="2C5BD144" w:rsidR="00E92ED4" w:rsidRDefault="00E92ED4" w:rsidP="00E92ED4">
            <w:r w:rsidRPr="00EF0801">
              <w:t>LQD</w:t>
            </w:r>
          </w:p>
        </w:tc>
        <w:tc>
          <w:tcPr>
            <w:tcW w:w="2160" w:type="dxa"/>
          </w:tcPr>
          <w:p w14:paraId="2BC6ACAA" w14:textId="5977FB23" w:rsidR="00E92ED4" w:rsidRDefault="00E92ED4" w:rsidP="00E92ED4">
            <w:r w:rsidRPr="00EF0801">
              <w:t>WD</w:t>
            </w:r>
          </w:p>
        </w:tc>
      </w:tr>
      <w:tr w:rsidR="00E92ED4" w14:paraId="67F27230" w14:textId="77777777" w:rsidTr="00205EAC">
        <w:trPr>
          <w:cantSplit/>
          <w:tblHeader/>
        </w:trPr>
        <w:tc>
          <w:tcPr>
            <w:tcW w:w="2160" w:type="dxa"/>
            <w:tcBorders>
              <w:top w:val="nil"/>
              <w:left w:val="nil"/>
              <w:bottom w:val="nil"/>
              <w:right w:val="double" w:sz="6" w:space="0" w:color="auto"/>
            </w:tcBorders>
          </w:tcPr>
          <w:p w14:paraId="044EB0E1" w14:textId="77777777" w:rsidR="00E92ED4" w:rsidRDefault="00E92ED4" w:rsidP="00E92ED4">
            <w:r w:rsidRPr="00EF0801">
              <w:t>Fuel-firing Option B</w:t>
            </w:r>
          </w:p>
        </w:tc>
        <w:tc>
          <w:tcPr>
            <w:tcW w:w="2160" w:type="dxa"/>
            <w:tcBorders>
              <w:left w:val="double" w:sz="6" w:space="0" w:color="auto"/>
            </w:tcBorders>
          </w:tcPr>
          <w:p w14:paraId="59E46374" w14:textId="20ACA360" w:rsidR="00E92ED4" w:rsidRDefault="00E92ED4" w:rsidP="00E92ED4">
            <w:r w:rsidRPr="00EF0801">
              <w:t>R7ICI-2B</w:t>
            </w:r>
          </w:p>
        </w:tc>
        <w:tc>
          <w:tcPr>
            <w:tcW w:w="2160" w:type="dxa"/>
          </w:tcPr>
          <w:p w14:paraId="29C8506E" w14:textId="1A0466D4" w:rsidR="00E92ED4" w:rsidRDefault="00E92ED4" w:rsidP="00E92ED4">
            <w:r w:rsidRPr="00EF0801">
              <w:t>H50-A</w:t>
            </w:r>
          </w:p>
        </w:tc>
        <w:tc>
          <w:tcPr>
            <w:tcW w:w="2160" w:type="dxa"/>
          </w:tcPr>
          <w:p w14:paraId="04C24609" w14:textId="75B8BCBD" w:rsidR="00E92ED4" w:rsidRDefault="00E92ED4" w:rsidP="00E92ED4"/>
        </w:tc>
        <w:tc>
          <w:tcPr>
            <w:tcW w:w="2160" w:type="dxa"/>
          </w:tcPr>
          <w:p w14:paraId="2C0571FB" w14:textId="77777777" w:rsidR="00E92ED4" w:rsidRDefault="00E92ED4" w:rsidP="00E92ED4"/>
        </w:tc>
      </w:tr>
      <w:tr w:rsidR="00E92ED4" w14:paraId="4F9A2812" w14:textId="77777777" w:rsidTr="00205EAC">
        <w:trPr>
          <w:cantSplit/>
          <w:tblHeader/>
        </w:trPr>
        <w:tc>
          <w:tcPr>
            <w:tcW w:w="2160" w:type="dxa"/>
            <w:tcBorders>
              <w:top w:val="nil"/>
              <w:left w:val="nil"/>
              <w:bottom w:val="nil"/>
              <w:right w:val="double" w:sz="6" w:space="0" w:color="auto"/>
            </w:tcBorders>
          </w:tcPr>
          <w:p w14:paraId="5B138AA1" w14:textId="77777777" w:rsidR="00E92ED4" w:rsidRDefault="00E92ED4" w:rsidP="00E92ED4">
            <w:r w:rsidRPr="00EF0801">
              <w:t>Fuel-firing Option C</w:t>
            </w:r>
          </w:p>
        </w:tc>
        <w:tc>
          <w:tcPr>
            <w:tcW w:w="2160" w:type="dxa"/>
            <w:tcBorders>
              <w:left w:val="double" w:sz="6" w:space="0" w:color="auto"/>
            </w:tcBorders>
          </w:tcPr>
          <w:p w14:paraId="17BA319C" w14:textId="7F85B946" w:rsidR="00E92ED4" w:rsidRDefault="00E92ED4" w:rsidP="00E92ED4">
            <w:r w:rsidRPr="00EF0801">
              <w:t>R7ICI-3</w:t>
            </w:r>
          </w:p>
        </w:tc>
        <w:tc>
          <w:tcPr>
            <w:tcW w:w="2160" w:type="dxa"/>
          </w:tcPr>
          <w:p w14:paraId="5D0DEF75" w14:textId="4821BA6D" w:rsidR="00E92ED4" w:rsidRDefault="00E92ED4" w:rsidP="00E92ED4">
            <w:r w:rsidRPr="00EF0801">
              <w:t>LQD</w:t>
            </w:r>
          </w:p>
        </w:tc>
        <w:tc>
          <w:tcPr>
            <w:tcW w:w="2160" w:type="dxa"/>
          </w:tcPr>
          <w:p w14:paraId="7AA847C6" w14:textId="50F9B526" w:rsidR="00E92ED4" w:rsidRDefault="00E92ED4" w:rsidP="00E92ED4">
            <w:r w:rsidRPr="00EF0801">
              <w:t>LQD</w:t>
            </w:r>
          </w:p>
        </w:tc>
        <w:tc>
          <w:tcPr>
            <w:tcW w:w="2160" w:type="dxa"/>
          </w:tcPr>
          <w:p w14:paraId="24D662D4" w14:textId="746FCA43" w:rsidR="00E92ED4" w:rsidRDefault="00E92ED4" w:rsidP="00E92ED4"/>
        </w:tc>
      </w:tr>
    </w:tbl>
    <w:p w14:paraId="4A8E970C" w14:textId="77777777" w:rsidR="00F861CF" w:rsidRPr="00EF0801" w:rsidRDefault="00F861CF" w:rsidP="00390EE3">
      <w:pPr>
        <w:pStyle w:val="APDCompleteStar"/>
      </w:pPr>
      <w:r w:rsidRPr="00EF0801">
        <w:t>Complete “Annual Heat Input” only if application type is SOP.</w:t>
      </w:r>
    </w:p>
    <w:p w14:paraId="5B4585FE" w14:textId="77777777" w:rsidR="00F861CF" w:rsidRPr="00EF0801" w:rsidRDefault="00F861CF" w:rsidP="00D7634E">
      <w:pPr>
        <w:pStyle w:val="APDStrong"/>
      </w:pPr>
      <w:r w:rsidRPr="00EF0801">
        <w:t>Annual Heat Input</w:t>
      </w:r>
      <w:r w:rsidRPr="003A1BA2">
        <w:rPr>
          <w:bCs/>
        </w:rPr>
        <w:t>:</w:t>
      </w:r>
    </w:p>
    <w:p w14:paraId="15324AED" w14:textId="77777777" w:rsidR="00F861CF" w:rsidRPr="00EF0801" w:rsidRDefault="00F861CF" w:rsidP="00240A21">
      <w:pPr>
        <w:pStyle w:val="APDBodyText"/>
      </w:pPr>
      <w:r w:rsidRPr="00EF0801">
        <w:t>Select one of the following options for the annual heat input. Enter the code on the form.</w:t>
      </w:r>
    </w:p>
    <w:p w14:paraId="45711DEB" w14:textId="77777777" w:rsidR="00F861CF" w:rsidRDefault="00F861CF" w:rsidP="00240A21">
      <w:pPr>
        <w:pStyle w:val="APDCodeIdentifiers"/>
      </w:pPr>
      <w:r w:rsidRPr="00EF0801">
        <w:t>For units with a “MRC” designation of “40-100:”</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C6415" w14:paraId="376C35F5" w14:textId="77777777" w:rsidTr="00BC6415">
        <w:trPr>
          <w:cantSplit/>
          <w:tblHeader/>
        </w:trPr>
        <w:tc>
          <w:tcPr>
            <w:tcW w:w="1530" w:type="dxa"/>
          </w:tcPr>
          <w:p w14:paraId="3E142682" w14:textId="03D5A120" w:rsidR="00BC6415" w:rsidRPr="00BC6415" w:rsidRDefault="00BC6415" w:rsidP="00BC6415">
            <w:pPr>
              <w:rPr>
                <w:b/>
                <w:bCs/>
              </w:rPr>
            </w:pPr>
            <w:r w:rsidRPr="00BC6415">
              <w:rPr>
                <w:b/>
                <w:bCs/>
              </w:rPr>
              <w:t>Code</w:t>
            </w:r>
          </w:p>
        </w:tc>
        <w:tc>
          <w:tcPr>
            <w:tcW w:w="8550" w:type="dxa"/>
          </w:tcPr>
          <w:p w14:paraId="26160FE3" w14:textId="35930877" w:rsidR="00BC6415" w:rsidRPr="00BC6415" w:rsidRDefault="00BC6415" w:rsidP="00BC6415">
            <w:pPr>
              <w:rPr>
                <w:b/>
                <w:bCs/>
              </w:rPr>
            </w:pPr>
            <w:r w:rsidRPr="00BC6415">
              <w:rPr>
                <w:b/>
                <w:bCs/>
              </w:rPr>
              <w:t>Description</w:t>
            </w:r>
          </w:p>
        </w:tc>
      </w:tr>
      <w:tr w:rsidR="00BC6415" w14:paraId="024B681E" w14:textId="77777777" w:rsidTr="00BC6415">
        <w:trPr>
          <w:cantSplit/>
          <w:tblHeader/>
        </w:trPr>
        <w:tc>
          <w:tcPr>
            <w:tcW w:w="1530" w:type="dxa"/>
          </w:tcPr>
          <w:p w14:paraId="4D5EBE36" w14:textId="64B88DC7" w:rsidR="00BC6415" w:rsidRDefault="00BC6415" w:rsidP="00BC6415">
            <w:r w:rsidRPr="0053095E">
              <w:t>28-</w:t>
            </w:r>
          </w:p>
        </w:tc>
        <w:tc>
          <w:tcPr>
            <w:tcW w:w="8550" w:type="dxa"/>
          </w:tcPr>
          <w:p w14:paraId="46B3FF06" w14:textId="1723EF40" w:rsidR="00BC6415" w:rsidRDefault="00BC6415" w:rsidP="00BC6415">
            <w:r w:rsidRPr="0053095E">
              <w:t>Annual Heat Input is less than or equal to 2.8 (10</w:t>
            </w:r>
            <w:r w:rsidRPr="006C65E6">
              <w:rPr>
                <w:vertAlign w:val="superscript"/>
              </w:rPr>
              <w:t>11</w:t>
            </w:r>
            <w:r w:rsidRPr="0053095E">
              <w:t>) Btu/yr, based on rolling 12</w:t>
            </w:r>
            <w:r w:rsidRPr="0053095E">
              <w:noBreakHyphen/>
              <w:t>month average (Low annual capacity factor boilers)</w:t>
            </w:r>
          </w:p>
        </w:tc>
      </w:tr>
      <w:tr w:rsidR="00BC6415" w14:paraId="0066777E" w14:textId="77777777" w:rsidTr="00BC6415">
        <w:trPr>
          <w:cantSplit/>
          <w:tblHeader/>
        </w:trPr>
        <w:tc>
          <w:tcPr>
            <w:tcW w:w="1530" w:type="dxa"/>
          </w:tcPr>
          <w:p w14:paraId="21E5FFB2" w14:textId="589E2990" w:rsidR="00BC6415" w:rsidRDefault="00BC6415" w:rsidP="00BC6415">
            <w:r w:rsidRPr="0053095E">
              <w:t>28+</w:t>
            </w:r>
          </w:p>
        </w:tc>
        <w:tc>
          <w:tcPr>
            <w:tcW w:w="8550" w:type="dxa"/>
          </w:tcPr>
          <w:p w14:paraId="0F8F1D5F" w14:textId="46AD65CF" w:rsidR="00BC6415" w:rsidRDefault="00BC6415" w:rsidP="00BC6415">
            <w:r w:rsidRPr="0053095E">
              <w:t>Annual Heat Input is greater than 2.8 (10</w:t>
            </w:r>
            <w:r w:rsidRPr="006C65E6">
              <w:rPr>
                <w:vertAlign w:val="superscript"/>
              </w:rPr>
              <w:t>11</w:t>
            </w:r>
            <w:r w:rsidRPr="0053095E">
              <w:t>) Btu/yr, based on rolling 12-month average</w:t>
            </w:r>
          </w:p>
        </w:tc>
      </w:tr>
    </w:tbl>
    <w:p w14:paraId="1745201D" w14:textId="77777777" w:rsidR="00F861CF" w:rsidRDefault="00F861CF" w:rsidP="00BC6415">
      <w:pPr>
        <w:pStyle w:val="APDCodeIdentifiers"/>
        <w:spacing w:before="120"/>
      </w:pPr>
      <w:r w:rsidRPr="00EF0801">
        <w:t>For units with a “MRC” designation of “100-200,” “200-250,” or “250+:”</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257484" w14:paraId="66E6C675" w14:textId="77777777" w:rsidTr="00257484">
        <w:trPr>
          <w:cantSplit/>
          <w:tblHeader/>
        </w:trPr>
        <w:tc>
          <w:tcPr>
            <w:tcW w:w="1530" w:type="dxa"/>
          </w:tcPr>
          <w:p w14:paraId="091A0CEA" w14:textId="3825B4A6" w:rsidR="00257484" w:rsidRPr="00257484" w:rsidRDefault="00257484" w:rsidP="00257484">
            <w:pPr>
              <w:rPr>
                <w:b/>
                <w:bCs/>
              </w:rPr>
            </w:pPr>
            <w:r w:rsidRPr="00257484">
              <w:rPr>
                <w:b/>
                <w:bCs/>
              </w:rPr>
              <w:t>Code</w:t>
            </w:r>
          </w:p>
        </w:tc>
        <w:tc>
          <w:tcPr>
            <w:tcW w:w="8550" w:type="dxa"/>
          </w:tcPr>
          <w:p w14:paraId="476E20A2" w14:textId="199025F0" w:rsidR="00257484" w:rsidRPr="00257484" w:rsidRDefault="00257484" w:rsidP="00257484">
            <w:pPr>
              <w:rPr>
                <w:b/>
                <w:bCs/>
              </w:rPr>
            </w:pPr>
            <w:r w:rsidRPr="00257484">
              <w:rPr>
                <w:b/>
                <w:bCs/>
              </w:rPr>
              <w:t>Description</w:t>
            </w:r>
          </w:p>
        </w:tc>
      </w:tr>
      <w:tr w:rsidR="00257484" w14:paraId="3B1066AC" w14:textId="77777777" w:rsidTr="00257484">
        <w:trPr>
          <w:cantSplit/>
          <w:tblHeader/>
        </w:trPr>
        <w:tc>
          <w:tcPr>
            <w:tcW w:w="1530" w:type="dxa"/>
          </w:tcPr>
          <w:p w14:paraId="3E586E04" w14:textId="4A0C35AA" w:rsidR="00257484" w:rsidRDefault="00257484" w:rsidP="00257484">
            <w:r w:rsidRPr="004140B8">
              <w:t>22-</w:t>
            </w:r>
          </w:p>
        </w:tc>
        <w:tc>
          <w:tcPr>
            <w:tcW w:w="8550" w:type="dxa"/>
          </w:tcPr>
          <w:p w14:paraId="61815E6D" w14:textId="51738D8E" w:rsidR="00257484" w:rsidRDefault="00257484" w:rsidP="00257484">
            <w:r w:rsidRPr="004140B8">
              <w:t>Annual Heat Input is less than or equal to 2.2 (10</w:t>
            </w:r>
            <w:r w:rsidRPr="006C65E6">
              <w:rPr>
                <w:vertAlign w:val="superscript"/>
              </w:rPr>
              <w:t>11</w:t>
            </w:r>
            <w:r w:rsidRPr="004140B8">
              <w:t>) Btu/yr, based on rolling 12</w:t>
            </w:r>
            <w:r w:rsidRPr="004140B8">
              <w:noBreakHyphen/>
              <w:t>month average (Low annual capacity factor boilers)</w:t>
            </w:r>
          </w:p>
        </w:tc>
      </w:tr>
      <w:tr w:rsidR="00257484" w14:paraId="621E757F" w14:textId="77777777" w:rsidTr="00257484">
        <w:trPr>
          <w:cantSplit/>
          <w:tblHeader/>
        </w:trPr>
        <w:tc>
          <w:tcPr>
            <w:tcW w:w="1530" w:type="dxa"/>
          </w:tcPr>
          <w:p w14:paraId="7F3F9D9C" w14:textId="590A4F69" w:rsidR="00257484" w:rsidRDefault="00257484" w:rsidP="00257484">
            <w:r w:rsidRPr="004140B8">
              <w:t>22+</w:t>
            </w:r>
          </w:p>
        </w:tc>
        <w:tc>
          <w:tcPr>
            <w:tcW w:w="8550" w:type="dxa"/>
          </w:tcPr>
          <w:p w14:paraId="468E74AA" w14:textId="7B954C47" w:rsidR="00257484" w:rsidRDefault="00257484" w:rsidP="00257484">
            <w:r w:rsidRPr="004140B8">
              <w:t>Annual Heat Input is greater than 2.2 (10</w:t>
            </w:r>
            <w:r w:rsidRPr="006C65E6">
              <w:rPr>
                <w:vertAlign w:val="superscript"/>
              </w:rPr>
              <w:t>11</w:t>
            </w:r>
            <w:r w:rsidRPr="004140B8">
              <w:t>) Btu/yr, based on rolling 12-month average</w:t>
            </w:r>
          </w:p>
        </w:tc>
      </w:tr>
    </w:tbl>
    <w:p w14:paraId="340A2FC5" w14:textId="77777777" w:rsidR="00460E71" w:rsidRDefault="00460E71" w:rsidP="00F861CF">
      <w:pPr>
        <w:pBdr>
          <w:bottom w:val="double" w:sz="6" w:space="1" w:color="auto"/>
        </w:pBdr>
        <w:sectPr w:rsidR="00460E71" w:rsidSect="0031268E">
          <w:pgSz w:w="12240" w:h="15840" w:code="1"/>
          <w:pgMar w:top="720" w:right="720" w:bottom="720" w:left="720" w:header="720" w:footer="720" w:gutter="0"/>
          <w:cols w:space="720"/>
          <w:titlePg/>
          <w:docGrid w:linePitch="360"/>
        </w:sectPr>
      </w:pPr>
    </w:p>
    <w:p w14:paraId="1CA109E9" w14:textId="77777777" w:rsidR="00F861CF" w:rsidRPr="00EF0801" w:rsidRDefault="00F861CF" w:rsidP="00F861CF">
      <w:pPr>
        <w:pBdr>
          <w:bottom w:val="double" w:sz="6" w:space="1" w:color="auto"/>
        </w:pBdr>
      </w:pPr>
    </w:p>
    <w:p w14:paraId="69436881" w14:textId="705EE61E" w:rsidR="00F861CF" w:rsidRPr="0014590B" w:rsidRDefault="00F861CF" w:rsidP="00A85DB6">
      <w:pPr>
        <w:pStyle w:val="APDChapterTitles"/>
        <w:rPr>
          <w:rStyle w:val="APDTableChapterChar"/>
          <w:rFonts w:eastAsia="Calibri"/>
          <w:b/>
          <w:bCs w:val="0"/>
        </w:rPr>
      </w:pPr>
      <w:hyperlink w:anchor="TBL_5b" w:tooltip="Table 5b" w:history="1">
        <w:bookmarkStart w:id="58" w:name="_Toc180398501"/>
        <w:bookmarkStart w:id="59" w:name="_Toc180398555"/>
        <w:r w:rsidRPr="002524A1">
          <w:rPr>
            <w:rStyle w:val="Hyperlink"/>
            <w:rFonts w:eastAsia="Calibri"/>
            <w:b/>
            <w:bCs w:val="0"/>
          </w:rPr>
          <w:t>Table 5b</w:t>
        </w:r>
      </w:hyperlink>
      <w:r w:rsidRPr="002524A1">
        <w:rPr>
          <w:rStyle w:val="Hyperlink"/>
          <w:rFonts w:eastAsia="Calibri"/>
          <w:b/>
          <w:bCs w:val="0"/>
        </w:rPr>
        <w:t>:</w:t>
      </w:r>
      <w:r w:rsidRPr="00EF0801">
        <w:rPr>
          <w:rFonts w:eastAsia="Calibri"/>
          <w:szCs w:val="20"/>
        </w:rPr>
        <w:tab/>
      </w:r>
      <w:r w:rsidRPr="0014590B">
        <w:rPr>
          <w:rStyle w:val="APDTableChapterChar"/>
          <w:rFonts w:eastAsia="Calibri"/>
          <w:b/>
        </w:rPr>
        <w:t>Title 30 Texas Administrative Code Chapter 117 (30 TAC Chapter 117)</w:t>
      </w:r>
      <w:r w:rsidR="004062A6" w:rsidRPr="0014590B">
        <w:rPr>
          <w:rStyle w:val="APDTableChapterChar"/>
          <w:rFonts w:eastAsia="Calibri"/>
          <w:b/>
        </w:rPr>
        <w:t xml:space="preserve">, </w:t>
      </w:r>
      <w:r w:rsidRPr="0014590B">
        <w:rPr>
          <w:rStyle w:val="APDTableChapterChar"/>
          <w:rFonts w:eastAsia="Calibri"/>
          <w:b/>
        </w:rPr>
        <w:t>Subchapter B: Combustion Control at Major Industrial, Commercial, and Institutional Sources in Ozone Nonattainment Areas</w:t>
      </w:r>
      <w:bookmarkEnd w:id="58"/>
      <w:bookmarkEnd w:id="59"/>
    </w:p>
    <w:p w14:paraId="5A0CFDF8" w14:textId="77777777" w:rsidR="00F861CF" w:rsidRPr="00EF0801" w:rsidRDefault="00F861CF" w:rsidP="00FD7888">
      <w:pPr>
        <w:pStyle w:val="APDContinueTriangle"/>
      </w:pPr>
      <w:r w:rsidRPr="00EF0801">
        <w:t>Continue only if one of the following conditions is met:</w:t>
      </w:r>
    </w:p>
    <w:p w14:paraId="3F77FC85" w14:textId="77777777" w:rsidR="00F861CF" w:rsidRPr="00EF0801" w:rsidRDefault="00F861CF" w:rsidP="006138CD">
      <w:pPr>
        <w:pStyle w:val="APDBulletList038076"/>
        <w:spacing w:after="120"/>
      </w:pPr>
      <w:r w:rsidRPr="00EF0801">
        <w:t>“Unit Type” is “ICIB-X” or “FCCUB,” and the unit is located in the Beaumont/Port Arthur ozone nonattainment area and the unit is to be included in the Alternative Plant-wide Emission Specifications or Source Cap as an Opt-in Unit, or the “Unit Type” is “ICIB” and the unit is located in the Beaumont/Port Arthur or Dallas/Fort Worth Eight-Hour ozone nonattainment areas</w:t>
      </w:r>
    </w:p>
    <w:p w14:paraId="1D0C0171" w14:textId="77777777" w:rsidR="00264E69" w:rsidRDefault="00F861CF" w:rsidP="00D01E8C">
      <w:pPr>
        <w:pStyle w:val="APDBulletList038076"/>
      </w:pPr>
      <w:r w:rsidRPr="00EF0801">
        <w:t>Unit is located in the Houston/Galveston/Brazoria</w:t>
      </w:r>
    </w:p>
    <w:p w14:paraId="3F7110C9" w14:textId="76796F39" w:rsidR="00F861CF" w:rsidRPr="00EF0801" w:rsidRDefault="00F861CF" w:rsidP="00626E51">
      <w:pPr>
        <w:pStyle w:val="APDStrong"/>
        <w:spacing w:before="120"/>
      </w:pPr>
      <w:r w:rsidRPr="00EF0801">
        <w:t xml:space="preserve">Unit ID </w:t>
      </w:r>
      <w:r w:rsidR="00B42127">
        <w:t>N</w:t>
      </w:r>
      <w:r w:rsidR="00FF547C">
        <w:t>o</w:t>
      </w:r>
      <w:r w:rsidRPr="003A1BA2">
        <w:rPr>
          <w:bCs/>
        </w:rPr>
        <w:t>.:</w:t>
      </w:r>
    </w:p>
    <w:p w14:paraId="26DB7BA8" w14:textId="51D87542" w:rsidR="00055FC0" w:rsidRDefault="00F861CF" w:rsidP="00A171DB">
      <w:pPr>
        <w:pStyle w:val="APDBodyText"/>
      </w:pPr>
      <w:r w:rsidRPr="00EF0801">
        <w:t xml:space="preserve">Enter the identification number (ID </w:t>
      </w:r>
      <w:r w:rsidR="00B42127">
        <w:t>N</w:t>
      </w:r>
      <w:r w:rsidR="005667BA">
        <w:t>o</w:t>
      </w:r>
      <w:r w:rsidRPr="00EF0801">
        <w:t>.) for the unit (maximum 10 characters) as li</w:t>
      </w:r>
      <w:r w:rsidR="004B5FCD" w:rsidRPr="00EF0801">
        <w:t>sted on Form OP-SUM (Individual</w:t>
      </w:r>
      <w:r w:rsidR="00FB050E">
        <w:t> </w:t>
      </w:r>
      <w:r w:rsidRPr="00EF0801">
        <w:t>Unit Summary).</w:t>
      </w:r>
    </w:p>
    <w:p w14:paraId="11A2C372" w14:textId="11D11155" w:rsidR="00F861CF" w:rsidRPr="00EF0801" w:rsidRDefault="00F861CF" w:rsidP="00D7634E">
      <w:pPr>
        <w:pStyle w:val="APDStrong"/>
      </w:pPr>
      <w:r w:rsidRPr="00EF0801">
        <w:t xml:space="preserve">SOP/GOP Index </w:t>
      </w:r>
      <w:r w:rsidR="00B42127">
        <w:t>N</w:t>
      </w:r>
      <w:r w:rsidR="00FF547C">
        <w:t>o</w:t>
      </w:r>
      <w:r w:rsidRPr="003A1BA2">
        <w:rPr>
          <w:bCs/>
        </w:rPr>
        <w:t>.:</w:t>
      </w:r>
    </w:p>
    <w:p w14:paraId="2F44B9E3" w14:textId="3BA19F65" w:rsidR="00D108F5" w:rsidRDefault="00F861CF" w:rsidP="00A171DB">
      <w:pPr>
        <w:pStyle w:val="APDBodyText"/>
      </w:pPr>
      <w:r w:rsidRPr="00EF0801">
        <w:t xml:space="preserve">Site operating permit (SOP) applicants should indicate the SOP index number for the </w:t>
      </w:r>
      <w:r w:rsidR="004B5FCD" w:rsidRPr="00EF0801">
        <w:t>unit or group of units (maximum</w:t>
      </w:r>
      <w:r w:rsidR="00FB050E">
        <w:t> </w:t>
      </w:r>
      <w:r w:rsidR="004B5FCD" w:rsidRPr="00EF0801">
        <w:t>15</w:t>
      </w:r>
      <w:r w:rsidR="00FB050E">
        <w:t> </w:t>
      </w:r>
      <w:r w:rsidRPr="00EF0801">
        <w:t xml:space="preserve">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For additional information relating to SOP </w:t>
      </w:r>
      <w:r w:rsidR="005D01DF">
        <w:t xml:space="preserve">and GOP </w:t>
      </w:r>
      <w:r w:rsidRPr="00EF0801">
        <w:t>index numbers</w:t>
      </w:r>
      <w:r w:rsidR="00775600">
        <w:t xml:space="preserve">, </w:t>
      </w:r>
      <w:r w:rsidR="00775600" w:rsidRPr="00EF0801">
        <w:t xml:space="preserve">please </w:t>
      </w:r>
      <w:r w:rsidR="00775600">
        <w:t xml:space="preserve">see the Completing FOP Applications – Additional Guidance on the </w:t>
      </w:r>
      <w:r w:rsidR="00775600" w:rsidRPr="00EF0801">
        <w:t xml:space="preserve">TCEQ website at </w:t>
      </w:r>
      <w:hyperlink r:id="rId27" w:tooltip="TCEQ - Completing FOP Applications - Additional Guidance" w:history="1">
        <w:r w:rsidR="00775600" w:rsidRPr="00F47022">
          <w:rPr>
            <w:rStyle w:val="Hyperlink"/>
          </w:rPr>
          <w:t>www.tceq.texas.gov/permitting/air/guidance/titlev/tv_fop_guidance.html</w:t>
        </w:r>
      </w:hyperlink>
      <w:r w:rsidR="00775600" w:rsidRPr="00EF0801">
        <w:t>.</w:t>
      </w:r>
    </w:p>
    <w:p w14:paraId="5F5ECBEA" w14:textId="77777777" w:rsidR="00F861CF" w:rsidRPr="00EF0801" w:rsidRDefault="00F861CF" w:rsidP="00D7634E">
      <w:pPr>
        <w:pStyle w:val="APDStrong"/>
      </w:pPr>
      <w:r w:rsidRPr="00EF0801">
        <w:t>NO</w:t>
      </w:r>
      <w:r w:rsidRPr="00EF0801">
        <w:rPr>
          <w:vertAlign w:val="subscript"/>
        </w:rPr>
        <w:t>x</w:t>
      </w:r>
      <w:r w:rsidRPr="00EF0801">
        <w:t xml:space="preserve"> Emission Limitation</w:t>
      </w:r>
      <w:r w:rsidRPr="003A1BA2">
        <w:rPr>
          <w:bCs/>
        </w:rPr>
        <w:t>:</w:t>
      </w:r>
    </w:p>
    <w:p w14:paraId="52C1B563" w14:textId="77777777" w:rsidR="00F861CF" w:rsidRPr="00EF0801" w:rsidRDefault="00F861CF" w:rsidP="00A171DB">
      <w:pPr>
        <w:pStyle w:val="APDBodyText"/>
      </w:pPr>
      <w:r w:rsidRPr="00EF0801">
        <w:t>Title 30 TAC Chapter 117 provides several methods to be in compliance with the applicable emission specifications. Select one of the following options. Enter the code on the form.</w:t>
      </w:r>
    </w:p>
    <w:p w14:paraId="6C586796" w14:textId="77777777" w:rsidR="00F861CF" w:rsidRDefault="00F861CF" w:rsidP="00A171DB">
      <w:pPr>
        <w:pStyle w:val="APDCodeIdentifiers"/>
      </w:pPr>
      <w:r w:rsidRPr="00EF0801">
        <w:t>For GOP applications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FE5CA4" w14:paraId="299FDC55" w14:textId="77777777" w:rsidTr="00FE5CA4">
        <w:trPr>
          <w:cantSplit/>
          <w:tblHeader/>
        </w:trPr>
        <w:tc>
          <w:tcPr>
            <w:tcW w:w="1530" w:type="dxa"/>
          </w:tcPr>
          <w:p w14:paraId="48C92903" w14:textId="7DE435F4" w:rsidR="00FE5CA4" w:rsidRPr="00FE5CA4" w:rsidRDefault="00FE5CA4" w:rsidP="00FE5CA4">
            <w:pPr>
              <w:rPr>
                <w:b/>
                <w:bCs/>
              </w:rPr>
            </w:pPr>
            <w:r w:rsidRPr="00FE5CA4">
              <w:rPr>
                <w:b/>
                <w:bCs/>
              </w:rPr>
              <w:t>Code</w:t>
            </w:r>
          </w:p>
        </w:tc>
        <w:tc>
          <w:tcPr>
            <w:tcW w:w="8550" w:type="dxa"/>
          </w:tcPr>
          <w:p w14:paraId="68373958" w14:textId="36F6C422" w:rsidR="00FE5CA4" w:rsidRPr="00FE5CA4" w:rsidRDefault="00FE5CA4" w:rsidP="00FE5CA4">
            <w:pPr>
              <w:rPr>
                <w:b/>
                <w:bCs/>
              </w:rPr>
            </w:pPr>
            <w:r w:rsidRPr="00FE5CA4">
              <w:rPr>
                <w:b/>
                <w:bCs/>
              </w:rPr>
              <w:t>Description</w:t>
            </w:r>
          </w:p>
        </w:tc>
      </w:tr>
      <w:tr w:rsidR="00FE5CA4" w14:paraId="7F6E1D9B" w14:textId="77777777" w:rsidTr="00FE5CA4">
        <w:trPr>
          <w:cantSplit/>
          <w:tblHeader/>
        </w:trPr>
        <w:tc>
          <w:tcPr>
            <w:tcW w:w="1530" w:type="dxa"/>
          </w:tcPr>
          <w:p w14:paraId="74D469EA" w14:textId="33CF14CF" w:rsidR="00FE5CA4" w:rsidRDefault="00FE5CA4" w:rsidP="00FE5CA4">
            <w:r w:rsidRPr="006577EE">
              <w:t>X03B</w:t>
            </w:r>
          </w:p>
        </w:tc>
        <w:tc>
          <w:tcPr>
            <w:tcW w:w="8550" w:type="dxa"/>
          </w:tcPr>
          <w:p w14:paraId="13F02953" w14:textId="2A5E157A" w:rsidR="00FE5CA4" w:rsidRDefault="00FE5CA4" w:rsidP="00FE5CA4">
            <w:r w:rsidRPr="006577EE">
              <w:t>Title 30 TAC §§ 117.103(b)(1) or 117.303(b)(1) exemption (for all GOP boilers potentially subject to RACT)</w:t>
            </w:r>
          </w:p>
        </w:tc>
      </w:tr>
      <w:tr w:rsidR="00FE5CA4" w14:paraId="0E41A744" w14:textId="77777777" w:rsidTr="00FE5CA4">
        <w:trPr>
          <w:cantSplit/>
          <w:tblHeader/>
        </w:trPr>
        <w:tc>
          <w:tcPr>
            <w:tcW w:w="1530" w:type="dxa"/>
          </w:tcPr>
          <w:p w14:paraId="3E72B5F3" w14:textId="766ABFB6" w:rsidR="00FE5CA4" w:rsidRDefault="00FE5CA4" w:rsidP="00FE5CA4">
            <w:r w:rsidRPr="006577EE">
              <w:t>103A</w:t>
            </w:r>
          </w:p>
        </w:tc>
        <w:tc>
          <w:tcPr>
            <w:tcW w:w="8550" w:type="dxa"/>
          </w:tcPr>
          <w:p w14:paraId="51BB01D2" w14:textId="78499383" w:rsidR="00FE5CA4" w:rsidRDefault="00FE5CA4" w:rsidP="00FE5CA4">
            <w:r w:rsidRPr="006577EE">
              <w:t>Title 30 TAC § 117.103(a)(2) exemption (use for boilers located in the Beaumont/Port Arthur ozone nonattainment area and rated less than 40 MMBtu/hr, may be used for exemption from both RACT and ESAD requirements)</w:t>
            </w:r>
          </w:p>
        </w:tc>
      </w:tr>
      <w:tr w:rsidR="00FE5CA4" w14:paraId="782D89F3" w14:textId="77777777" w:rsidTr="00FE5CA4">
        <w:trPr>
          <w:cantSplit/>
          <w:tblHeader/>
        </w:trPr>
        <w:tc>
          <w:tcPr>
            <w:tcW w:w="1530" w:type="dxa"/>
          </w:tcPr>
          <w:p w14:paraId="07BA843E" w14:textId="39AD0618" w:rsidR="00FE5CA4" w:rsidRDefault="00FE5CA4" w:rsidP="00FE5CA4">
            <w:r w:rsidRPr="006577EE">
              <w:t>103C</w:t>
            </w:r>
          </w:p>
        </w:tc>
        <w:tc>
          <w:tcPr>
            <w:tcW w:w="8550" w:type="dxa"/>
          </w:tcPr>
          <w:p w14:paraId="196FFC44" w14:textId="3DCFAA26" w:rsidR="00FE5CA4" w:rsidRDefault="00FE5CA4" w:rsidP="00FE5CA4">
            <w:r w:rsidRPr="006577EE">
              <w:t>Title 30 TAC § 117.103(c) exemption (use for boilers located in the Beaumont/Port Arthur ozone nonattainment area rated greater than 40 MMBtu/hr and qualifies as a low annual capacity boiler under 30 TAC § 117.103(b)(2), use for exemption from ESAD requirements)</w:t>
            </w:r>
          </w:p>
        </w:tc>
      </w:tr>
      <w:tr w:rsidR="00FE5CA4" w14:paraId="3B2FE1FE" w14:textId="77777777" w:rsidTr="00FE5CA4">
        <w:trPr>
          <w:cantSplit/>
          <w:tblHeader/>
        </w:trPr>
        <w:tc>
          <w:tcPr>
            <w:tcW w:w="1530" w:type="dxa"/>
          </w:tcPr>
          <w:p w14:paraId="061239E6" w14:textId="62BF4F11" w:rsidR="00FE5CA4" w:rsidRDefault="00FE5CA4" w:rsidP="00FE5CA4">
            <w:r w:rsidRPr="006577EE">
              <w:t>110A</w:t>
            </w:r>
          </w:p>
        </w:tc>
        <w:tc>
          <w:tcPr>
            <w:tcW w:w="8550" w:type="dxa"/>
          </w:tcPr>
          <w:p w14:paraId="0443E188" w14:textId="60492228" w:rsidR="00FE5CA4" w:rsidRDefault="00FE5CA4" w:rsidP="00FE5CA4">
            <w:r w:rsidRPr="006577EE">
              <w:t>Title 30 TAC § 117.110(a)(1) (use for boilers located in the Beaumont/Port Arthur ozone nonattainment area and rated greater than 40 MMBtu/hr and does not qualify as a low annual capacity boiler, for ESAD applicability.)</w:t>
            </w:r>
          </w:p>
        </w:tc>
      </w:tr>
      <w:tr w:rsidR="00FE5CA4" w14:paraId="3472409C" w14:textId="77777777" w:rsidTr="00FE5CA4">
        <w:trPr>
          <w:cantSplit/>
          <w:tblHeader/>
        </w:trPr>
        <w:tc>
          <w:tcPr>
            <w:tcW w:w="1530" w:type="dxa"/>
          </w:tcPr>
          <w:p w14:paraId="36FDA0F8" w14:textId="70B03058" w:rsidR="00FE5CA4" w:rsidRDefault="00FE5CA4" w:rsidP="00FE5CA4">
            <w:r w:rsidRPr="006577EE">
              <w:t>310A</w:t>
            </w:r>
          </w:p>
        </w:tc>
        <w:tc>
          <w:tcPr>
            <w:tcW w:w="8550" w:type="dxa"/>
          </w:tcPr>
          <w:p w14:paraId="3B151FD0" w14:textId="323B9BAD" w:rsidR="00FE5CA4" w:rsidRDefault="00FE5CA4" w:rsidP="00FE5CA4">
            <w:r w:rsidRPr="006577EE">
              <w:t>Title 30 TAC § 117.310(a) (use for boilers located in the Houston/Galveston/Brazoria ozone nonattainment area)</w:t>
            </w:r>
          </w:p>
        </w:tc>
      </w:tr>
      <w:tr w:rsidR="00FE5CA4" w14:paraId="4EDD8886" w14:textId="77777777" w:rsidTr="00FE5CA4">
        <w:trPr>
          <w:cantSplit/>
          <w:tblHeader/>
        </w:trPr>
        <w:tc>
          <w:tcPr>
            <w:tcW w:w="1530" w:type="dxa"/>
          </w:tcPr>
          <w:p w14:paraId="1E25768B" w14:textId="33D0117E" w:rsidR="00FE5CA4" w:rsidRDefault="00FE5CA4" w:rsidP="00FE5CA4">
            <w:r w:rsidRPr="006577EE">
              <w:t>410A</w:t>
            </w:r>
          </w:p>
        </w:tc>
        <w:tc>
          <w:tcPr>
            <w:tcW w:w="8550" w:type="dxa"/>
          </w:tcPr>
          <w:p w14:paraId="1E416C1E" w14:textId="503BD9DA" w:rsidR="00FE5CA4" w:rsidRDefault="00FE5CA4" w:rsidP="00FE5CA4">
            <w:r w:rsidRPr="006577EE">
              <w:t>Title 30 TAC § 117.410(a) (use for boilers located in the Dallas/Fort Worth Eight-Hour ozone nonattainment area)</w:t>
            </w:r>
          </w:p>
        </w:tc>
      </w:tr>
    </w:tbl>
    <w:p w14:paraId="42139E63" w14:textId="77777777" w:rsidR="008462A2" w:rsidRDefault="008462A2" w:rsidP="00250791">
      <w:pPr>
        <w:pStyle w:val="APDCodeIdentifiers"/>
        <w:spacing w:before="120"/>
        <w:sectPr w:rsidR="008462A2" w:rsidSect="0031268E">
          <w:pgSz w:w="12240" w:h="15840" w:code="1"/>
          <w:pgMar w:top="720" w:right="720" w:bottom="720" w:left="720" w:header="720" w:footer="720" w:gutter="0"/>
          <w:cols w:space="720"/>
          <w:titlePg/>
          <w:docGrid w:linePitch="360"/>
        </w:sectPr>
      </w:pPr>
    </w:p>
    <w:p w14:paraId="7A1627B5" w14:textId="77777777" w:rsidR="00F861CF" w:rsidRPr="00EF0801" w:rsidRDefault="00F861CF" w:rsidP="00250791">
      <w:pPr>
        <w:pStyle w:val="APDCodeIdentifiers"/>
        <w:spacing w:before="120"/>
      </w:pPr>
      <w:r w:rsidRPr="00EF0801">
        <w:lastRenderedPageBreak/>
        <w:t>For SOP applications</w:t>
      </w:r>
    </w:p>
    <w:p w14:paraId="3EFE3B5F" w14:textId="2B95504B" w:rsidR="00F861CF" w:rsidRDefault="00F861CF" w:rsidP="00A171DB">
      <w:pPr>
        <w:pStyle w:val="APDCodeIdentifiers"/>
      </w:pPr>
      <w:r w:rsidRPr="00EF0801">
        <w:t>For boilers located in the Beaumont/Port Arthur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462A2" w14:paraId="291D0747" w14:textId="77777777" w:rsidTr="00D2443B">
        <w:trPr>
          <w:cantSplit/>
          <w:tblHeader/>
        </w:trPr>
        <w:tc>
          <w:tcPr>
            <w:tcW w:w="1530" w:type="dxa"/>
          </w:tcPr>
          <w:p w14:paraId="4063EF8D" w14:textId="5A34D76C" w:rsidR="008462A2" w:rsidRPr="00D2443B" w:rsidRDefault="008462A2" w:rsidP="008462A2">
            <w:pPr>
              <w:rPr>
                <w:b/>
                <w:bCs/>
              </w:rPr>
            </w:pPr>
            <w:r w:rsidRPr="00D2443B">
              <w:rPr>
                <w:b/>
                <w:bCs/>
              </w:rPr>
              <w:t>Code</w:t>
            </w:r>
          </w:p>
        </w:tc>
        <w:tc>
          <w:tcPr>
            <w:tcW w:w="8550" w:type="dxa"/>
          </w:tcPr>
          <w:p w14:paraId="54E9D1A8" w14:textId="38391F47" w:rsidR="008462A2" w:rsidRPr="00D2443B" w:rsidRDefault="008462A2" w:rsidP="008462A2">
            <w:pPr>
              <w:rPr>
                <w:b/>
                <w:bCs/>
              </w:rPr>
            </w:pPr>
            <w:r w:rsidRPr="00D2443B">
              <w:rPr>
                <w:b/>
                <w:bCs/>
              </w:rPr>
              <w:t>Description</w:t>
            </w:r>
          </w:p>
        </w:tc>
      </w:tr>
      <w:tr w:rsidR="008462A2" w14:paraId="0D465B7A" w14:textId="77777777" w:rsidTr="00D2443B">
        <w:trPr>
          <w:cantSplit/>
          <w:tblHeader/>
        </w:trPr>
        <w:tc>
          <w:tcPr>
            <w:tcW w:w="1530" w:type="dxa"/>
          </w:tcPr>
          <w:p w14:paraId="59AD0230" w14:textId="0271C6DB" w:rsidR="008462A2" w:rsidRDefault="008462A2" w:rsidP="008462A2">
            <w:r w:rsidRPr="00B47742">
              <w:t>105</w:t>
            </w:r>
          </w:p>
        </w:tc>
        <w:tc>
          <w:tcPr>
            <w:tcW w:w="8550" w:type="dxa"/>
          </w:tcPr>
          <w:p w14:paraId="5D39CBA5" w14:textId="61E66DCA" w:rsidR="008462A2" w:rsidRDefault="008462A2" w:rsidP="008462A2">
            <w:r w:rsidRPr="00B47742">
              <w:t>Title 30 TAC § 117.105 (relating to Emission Specifications for Reasonably Available Control Technology)</w:t>
            </w:r>
          </w:p>
        </w:tc>
      </w:tr>
      <w:tr w:rsidR="008462A2" w14:paraId="22A57108" w14:textId="77777777" w:rsidTr="00D2443B">
        <w:trPr>
          <w:cantSplit/>
          <w:tblHeader/>
        </w:trPr>
        <w:tc>
          <w:tcPr>
            <w:tcW w:w="1530" w:type="dxa"/>
          </w:tcPr>
          <w:p w14:paraId="5F300553" w14:textId="600EBAFF" w:rsidR="008462A2" w:rsidRDefault="008462A2" w:rsidP="008462A2">
            <w:r w:rsidRPr="00B47742">
              <w:t>110A</w:t>
            </w:r>
          </w:p>
        </w:tc>
        <w:tc>
          <w:tcPr>
            <w:tcW w:w="8550" w:type="dxa"/>
          </w:tcPr>
          <w:p w14:paraId="50492F39" w14:textId="3028A699" w:rsidR="008462A2" w:rsidRDefault="008462A2" w:rsidP="008462A2">
            <w:r w:rsidRPr="00B47742">
              <w:t xml:space="preserve">Title 30 TAC § 117.110(a) (use for boilers located in the Beaumont/Port Arthur ozone nonattainment area and rated greater than 40 MMBtu/hr and does not qualify as a low annual capacity unit.) </w:t>
            </w:r>
          </w:p>
        </w:tc>
      </w:tr>
      <w:tr w:rsidR="008462A2" w14:paraId="4242AFB2" w14:textId="77777777" w:rsidTr="00D2443B">
        <w:trPr>
          <w:cantSplit/>
          <w:tblHeader/>
        </w:trPr>
        <w:tc>
          <w:tcPr>
            <w:tcW w:w="1530" w:type="dxa"/>
          </w:tcPr>
          <w:p w14:paraId="3FEDF2C8" w14:textId="228C0CE2" w:rsidR="008462A2" w:rsidRDefault="008462A2" w:rsidP="008462A2">
            <w:r w:rsidRPr="00B47742">
              <w:t>APES</w:t>
            </w:r>
          </w:p>
        </w:tc>
        <w:tc>
          <w:tcPr>
            <w:tcW w:w="8550" w:type="dxa"/>
          </w:tcPr>
          <w:p w14:paraId="2687C94F" w14:textId="71D6F0A6" w:rsidR="008462A2" w:rsidRDefault="008462A2" w:rsidP="008462A2">
            <w:r w:rsidRPr="00B47742">
              <w:t>Unit is complying with an Alternative Plant-wide Emissions Specification under Title 30 TAC § 117.115</w:t>
            </w:r>
          </w:p>
        </w:tc>
      </w:tr>
      <w:tr w:rsidR="008462A2" w14:paraId="56CC277B" w14:textId="77777777" w:rsidTr="00D2443B">
        <w:trPr>
          <w:cantSplit/>
          <w:tblHeader/>
        </w:trPr>
        <w:tc>
          <w:tcPr>
            <w:tcW w:w="1530" w:type="dxa"/>
          </w:tcPr>
          <w:p w14:paraId="135B0AE5" w14:textId="5DDAF322" w:rsidR="008462A2" w:rsidRDefault="008462A2" w:rsidP="008462A2">
            <w:r w:rsidRPr="00B47742">
              <w:t>ACSS</w:t>
            </w:r>
          </w:p>
        </w:tc>
        <w:tc>
          <w:tcPr>
            <w:tcW w:w="8550" w:type="dxa"/>
          </w:tcPr>
          <w:p w14:paraId="26BDB4C1" w14:textId="33AE4FAC" w:rsidR="008462A2" w:rsidRDefault="008462A2" w:rsidP="008462A2">
            <w:r w:rsidRPr="00B47742">
              <w:t>Unit is complying with an Alternative Case-specific Specification under Title 30 TAC § 117.125</w:t>
            </w:r>
          </w:p>
        </w:tc>
      </w:tr>
      <w:tr w:rsidR="008462A2" w14:paraId="203656AD" w14:textId="77777777" w:rsidTr="00D2443B">
        <w:trPr>
          <w:cantSplit/>
          <w:tblHeader/>
        </w:trPr>
        <w:tc>
          <w:tcPr>
            <w:tcW w:w="1530" w:type="dxa"/>
          </w:tcPr>
          <w:p w14:paraId="71136B94" w14:textId="413337AD" w:rsidR="008462A2" w:rsidRDefault="008462A2" w:rsidP="008462A2">
            <w:r w:rsidRPr="00B47742">
              <w:t>SC</w:t>
            </w:r>
          </w:p>
        </w:tc>
        <w:tc>
          <w:tcPr>
            <w:tcW w:w="8550" w:type="dxa"/>
          </w:tcPr>
          <w:p w14:paraId="1112FB10" w14:textId="64EBB88B" w:rsidR="008462A2" w:rsidRDefault="008462A2" w:rsidP="008462A2">
            <w:r w:rsidRPr="00B47742">
              <w:t>Unit is complying with a Source Cap under Title 30 TAC § 117.123</w:t>
            </w:r>
          </w:p>
        </w:tc>
      </w:tr>
    </w:tbl>
    <w:p w14:paraId="33C62EA7" w14:textId="4F6613CE" w:rsidR="00F861CF" w:rsidRDefault="00F861CF" w:rsidP="00D2443B">
      <w:pPr>
        <w:pStyle w:val="APDCodeIdentifiers"/>
        <w:spacing w:before="120"/>
      </w:pPr>
      <w:r w:rsidRPr="00EF0801">
        <w:t>For boilers located in the Houston/Galveston/Brazoria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E6760" w14:paraId="55780421" w14:textId="77777777" w:rsidTr="00BD1296">
        <w:trPr>
          <w:cantSplit/>
          <w:tblHeader/>
        </w:trPr>
        <w:tc>
          <w:tcPr>
            <w:tcW w:w="1530" w:type="dxa"/>
          </w:tcPr>
          <w:p w14:paraId="54DB5D5A" w14:textId="13715970" w:rsidR="00AE6760" w:rsidRPr="00AE6760" w:rsidRDefault="00AE6760" w:rsidP="00AE6760">
            <w:pPr>
              <w:rPr>
                <w:b/>
                <w:bCs/>
              </w:rPr>
            </w:pPr>
            <w:r w:rsidRPr="00AE6760">
              <w:rPr>
                <w:b/>
                <w:bCs/>
              </w:rPr>
              <w:t>Code</w:t>
            </w:r>
          </w:p>
        </w:tc>
        <w:tc>
          <w:tcPr>
            <w:tcW w:w="8550" w:type="dxa"/>
          </w:tcPr>
          <w:p w14:paraId="7E992D9E" w14:textId="7E80E0BF" w:rsidR="00AE6760" w:rsidRPr="00AE6760" w:rsidRDefault="00AE6760" w:rsidP="00AE6760">
            <w:pPr>
              <w:rPr>
                <w:b/>
                <w:bCs/>
              </w:rPr>
            </w:pPr>
            <w:r w:rsidRPr="00AE6760">
              <w:rPr>
                <w:b/>
                <w:bCs/>
              </w:rPr>
              <w:t>Description</w:t>
            </w:r>
          </w:p>
        </w:tc>
      </w:tr>
      <w:tr w:rsidR="00AE6760" w14:paraId="5F5229D9" w14:textId="77777777" w:rsidTr="00BD1296">
        <w:trPr>
          <w:cantSplit/>
          <w:tblHeader/>
        </w:trPr>
        <w:tc>
          <w:tcPr>
            <w:tcW w:w="1530" w:type="dxa"/>
          </w:tcPr>
          <w:p w14:paraId="78433808" w14:textId="313AEF08" w:rsidR="00AE6760" w:rsidRDefault="00AE6760" w:rsidP="00AE6760">
            <w:r w:rsidRPr="009772E5">
              <w:t>310D</w:t>
            </w:r>
          </w:p>
        </w:tc>
        <w:tc>
          <w:tcPr>
            <w:tcW w:w="8550" w:type="dxa"/>
          </w:tcPr>
          <w:p w14:paraId="45C98723" w14:textId="3CF0D242" w:rsidR="00AE6760" w:rsidRDefault="00AE6760" w:rsidP="00AE6760">
            <w:r w:rsidRPr="009772E5">
              <w:t>Title 30 TAC § 117.310(d)(3) [relating to mass emissions cap and trade in Chapter 101, Subchapter H: Division 3 and Emission Specifications for Attainment Demonstration]</w:t>
            </w:r>
          </w:p>
        </w:tc>
      </w:tr>
      <w:tr w:rsidR="00AE6760" w14:paraId="69A32E7B" w14:textId="77777777" w:rsidTr="00BD1296">
        <w:trPr>
          <w:cantSplit/>
          <w:tblHeader/>
        </w:trPr>
        <w:tc>
          <w:tcPr>
            <w:tcW w:w="1530" w:type="dxa"/>
          </w:tcPr>
          <w:p w14:paraId="6E1C4564" w14:textId="7DBF0B55" w:rsidR="00AE6760" w:rsidRDefault="00AE6760" w:rsidP="00AE6760">
            <w:r w:rsidRPr="009772E5">
              <w:t>ACF</w:t>
            </w:r>
          </w:p>
        </w:tc>
        <w:tc>
          <w:tcPr>
            <w:tcW w:w="8550" w:type="dxa"/>
          </w:tcPr>
          <w:p w14:paraId="4D9F0C2E" w14:textId="2522C885" w:rsidR="00AE6760" w:rsidRDefault="00AE6760" w:rsidP="00AE6760">
            <w:r w:rsidRPr="009772E5">
              <w:t>Boiler is complying with an annual capacity factor specification under Title 30 TAC §§ 117.310(d)(3) and 117.310(a)(17)</w:t>
            </w:r>
          </w:p>
        </w:tc>
      </w:tr>
    </w:tbl>
    <w:p w14:paraId="04A3CEC7" w14:textId="4189B289" w:rsidR="00F861CF" w:rsidRDefault="00F861CF" w:rsidP="00AE6760">
      <w:pPr>
        <w:pStyle w:val="APDCodeIdentifiers"/>
        <w:spacing w:before="120"/>
      </w:pPr>
      <w:r w:rsidRPr="00EF0801">
        <w:t>For boilers located in the Dallas/Fort Worth Eight-Hour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D1296" w14:paraId="5C5CE6AB" w14:textId="77777777" w:rsidTr="00BD1296">
        <w:trPr>
          <w:cantSplit/>
          <w:tblHeader/>
        </w:trPr>
        <w:tc>
          <w:tcPr>
            <w:tcW w:w="1530" w:type="dxa"/>
          </w:tcPr>
          <w:p w14:paraId="72BAC972" w14:textId="25A3432A" w:rsidR="00BD1296" w:rsidRPr="00BD1296" w:rsidRDefault="00BD1296" w:rsidP="00BD1296">
            <w:pPr>
              <w:rPr>
                <w:b/>
                <w:bCs/>
              </w:rPr>
            </w:pPr>
            <w:r w:rsidRPr="00BD1296">
              <w:rPr>
                <w:b/>
                <w:bCs/>
              </w:rPr>
              <w:t>Code</w:t>
            </w:r>
          </w:p>
        </w:tc>
        <w:tc>
          <w:tcPr>
            <w:tcW w:w="8550" w:type="dxa"/>
          </w:tcPr>
          <w:p w14:paraId="02CF0E1B" w14:textId="03545E34" w:rsidR="00BD1296" w:rsidRPr="00BD1296" w:rsidRDefault="00BD1296" w:rsidP="00BD1296">
            <w:pPr>
              <w:rPr>
                <w:b/>
                <w:bCs/>
              </w:rPr>
            </w:pPr>
            <w:r w:rsidRPr="00BD1296">
              <w:rPr>
                <w:b/>
                <w:bCs/>
              </w:rPr>
              <w:t>Description</w:t>
            </w:r>
          </w:p>
        </w:tc>
      </w:tr>
      <w:tr w:rsidR="00BD1296" w14:paraId="6264955D" w14:textId="77777777" w:rsidTr="00BD1296">
        <w:trPr>
          <w:cantSplit/>
          <w:tblHeader/>
        </w:trPr>
        <w:tc>
          <w:tcPr>
            <w:tcW w:w="1530" w:type="dxa"/>
          </w:tcPr>
          <w:p w14:paraId="730A0530" w14:textId="56AEB05B" w:rsidR="00BD1296" w:rsidRDefault="00BD1296" w:rsidP="00BD1296">
            <w:r w:rsidRPr="007C6340">
              <w:t>410A</w:t>
            </w:r>
          </w:p>
        </w:tc>
        <w:tc>
          <w:tcPr>
            <w:tcW w:w="8550" w:type="dxa"/>
          </w:tcPr>
          <w:p w14:paraId="6275F5D3" w14:textId="06B06722" w:rsidR="00BD1296" w:rsidRDefault="00BD1296" w:rsidP="00BD1296">
            <w:r w:rsidRPr="007C6340">
              <w:t xml:space="preserve">Title 30 TAC § 117.410(a) (use for boilers located in the Dallas/Fort Worth Eight-Hour ozone nonattainment area) </w:t>
            </w:r>
          </w:p>
        </w:tc>
      </w:tr>
      <w:tr w:rsidR="00BD1296" w14:paraId="16CC967E" w14:textId="77777777" w:rsidTr="00BD1296">
        <w:trPr>
          <w:cantSplit/>
          <w:tblHeader/>
        </w:trPr>
        <w:tc>
          <w:tcPr>
            <w:tcW w:w="1530" w:type="dxa"/>
          </w:tcPr>
          <w:p w14:paraId="47C2F856" w14:textId="38714630" w:rsidR="00BD1296" w:rsidRDefault="00BD1296" w:rsidP="00BD1296">
            <w:r w:rsidRPr="007C6340">
              <w:t>ACF</w:t>
            </w:r>
          </w:p>
        </w:tc>
        <w:tc>
          <w:tcPr>
            <w:tcW w:w="8550" w:type="dxa"/>
          </w:tcPr>
          <w:p w14:paraId="1DBDD622" w14:textId="6C9E7A2C" w:rsidR="00BD1296" w:rsidRDefault="00BD1296" w:rsidP="00BD1296">
            <w:r w:rsidRPr="007C6340">
              <w:t>Boiler is complying with an annual capacity factor specification under Title 30 TAC § 117.410(a)(14)</w:t>
            </w:r>
          </w:p>
        </w:tc>
      </w:tr>
      <w:tr w:rsidR="00BD1296" w14:paraId="4AF67F02" w14:textId="77777777" w:rsidTr="00BD1296">
        <w:trPr>
          <w:cantSplit/>
          <w:tblHeader/>
        </w:trPr>
        <w:tc>
          <w:tcPr>
            <w:tcW w:w="1530" w:type="dxa"/>
          </w:tcPr>
          <w:p w14:paraId="41B625D5" w14:textId="16C1E8EA" w:rsidR="00BD1296" w:rsidRDefault="00BD1296" w:rsidP="00BD1296">
            <w:r w:rsidRPr="007C6340">
              <w:t>SC</w:t>
            </w:r>
          </w:p>
        </w:tc>
        <w:tc>
          <w:tcPr>
            <w:tcW w:w="8550" w:type="dxa"/>
          </w:tcPr>
          <w:p w14:paraId="03D62FDA" w14:textId="28112776" w:rsidR="00BD1296" w:rsidRDefault="00BD1296" w:rsidP="00BD1296">
            <w:r w:rsidRPr="007C6340">
              <w:t>Unit is complying with a Source Cap under Title 30 TAC § 117.423</w:t>
            </w:r>
          </w:p>
        </w:tc>
      </w:tr>
      <w:tr w:rsidR="00BD1296" w14:paraId="619F9820" w14:textId="77777777" w:rsidTr="00BD1296">
        <w:trPr>
          <w:cantSplit/>
          <w:tblHeader/>
        </w:trPr>
        <w:tc>
          <w:tcPr>
            <w:tcW w:w="1530" w:type="dxa"/>
          </w:tcPr>
          <w:p w14:paraId="6D734E22" w14:textId="3523942A" w:rsidR="00BD1296" w:rsidRDefault="00BD1296" w:rsidP="00BD1296">
            <w:r w:rsidRPr="007C6340">
              <w:t>405A</w:t>
            </w:r>
          </w:p>
        </w:tc>
        <w:tc>
          <w:tcPr>
            <w:tcW w:w="8550" w:type="dxa"/>
          </w:tcPr>
          <w:p w14:paraId="7B896975" w14:textId="30F7CEE0" w:rsidR="00BD1296" w:rsidRDefault="00BD1296" w:rsidP="00BD1296">
            <w:r w:rsidRPr="007C6340">
              <w:t>Title 30 TAC § 117.405(a) (use for wood-fired boilers located in the Dallas/Fort Worth Eight</w:t>
            </w:r>
            <w:r w:rsidRPr="007C6340">
              <w:noBreakHyphen/>
              <w:t>Hour ozone nonattainment area</w:t>
            </w:r>
          </w:p>
        </w:tc>
      </w:tr>
    </w:tbl>
    <w:p w14:paraId="44986986" w14:textId="77777777" w:rsidR="00F861CF" w:rsidRPr="00EF0801" w:rsidRDefault="00F861CF" w:rsidP="00FD7888">
      <w:pPr>
        <w:pStyle w:val="APDContinueTriangle"/>
      </w:pPr>
      <w:r w:rsidRPr="00EF0801">
        <w:t>Continue only if application type is SOP.</w:t>
      </w:r>
    </w:p>
    <w:p w14:paraId="26151EE9" w14:textId="77777777" w:rsidR="00F861CF" w:rsidRPr="00C809EA" w:rsidRDefault="00F861CF" w:rsidP="00390EE3">
      <w:pPr>
        <w:pStyle w:val="APDCompleteStar"/>
      </w:pPr>
      <w:r w:rsidRPr="00C809EA">
        <w:t>Complete “Opt-in Unit” only if the site is located in the Beaumont-Port Arthur ozone nonattainment area and “Emission Limitation” is “APES” or “SC.”</w:t>
      </w:r>
    </w:p>
    <w:p w14:paraId="134F9355" w14:textId="77777777" w:rsidR="00F861CF" w:rsidRPr="00EF0801" w:rsidRDefault="00F861CF" w:rsidP="00D7634E">
      <w:pPr>
        <w:pStyle w:val="APDStrong"/>
      </w:pPr>
      <w:bookmarkStart w:id="60" w:name="_Hlk31281029"/>
      <w:r w:rsidRPr="00EF0801">
        <w:t>Opt-In Unit</w:t>
      </w:r>
      <w:bookmarkEnd w:id="60"/>
      <w:r w:rsidRPr="00287A45">
        <w:rPr>
          <w:bCs/>
        </w:rPr>
        <w:t>:</w:t>
      </w:r>
    </w:p>
    <w:p w14:paraId="6ED3F0AE" w14:textId="4E82CAA7" w:rsidR="009C0F72" w:rsidRDefault="00F861CF" w:rsidP="00A171DB">
      <w:pPr>
        <w:pStyle w:val="APDBodyText"/>
      </w:pPr>
      <w:r w:rsidRPr="00EF0801">
        <w:t>Enter “</w:t>
      </w:r>
      <w:r w:rsidR="00B42127">
        <w:t>YES</w:t>
      </w:r>
      <w:r w:rsidRPr="00EF0801">
        <w:t xml:space="preserve">” if the unit is an opt-in unit listed in 30 TAC § 117.115(f) that the owner or operator has chosen to include into the Plant-wide emission or Source Cap to comply with § 117.105 or § 117.110 (for </w:t>
      </w:r>
      <w:bookmarkStart w:id="61" w:name="_Hlk31281250"/>
      <w:r w:rsidR="00AF1AAC">
        <w:t xml:space="preserve">FCCU Unit Type </w:t>
      </w:r>
      <w:r w:rsidR="0085603C">
        <w:t>only</w:t>
      </w:r>
      <w:bookmarkEnd w:id="61"/>
      <w:r w:rsidRPr="00EF0801">
        <w:t>). Otherwise, enter “</w:t>
      </w:r>
      <w:r w:rsidR="00B42127">
        <w:t>NO</w:t>
      </w:r>
      <w:r w:rsidRPr="00EF0801">
        <w:t>.”</w:t>
      </w:r>
    </w:p>
    <w:p w14:paraId="53C52404" w14:textId="77777777" w:rsidR="00F861CF" w:rsidRPr="00EF0801" w:rsidRDefault="00F861CF" w:rsidP="00390EE3">
      <w:pPr>
        <w:pStyle w:val="APDCompleteStar"/>
      </w:pPr>
      <w:r w:rsidRPr="00EF0801">
        <w:t>Complete “23C-Option” only if “NO</w:t>
      </w:r>
      <w:r w:rsidRPr="00EF0801">
        <w:rPr>
          <w:vertAlign w:val="subscript"/>
        </w:rPr>
        <w:t>x</w:t>
      </w:r>
      <w:r w:rsidRPr="00EF0801">
        <w:t xml:space="preserve"> Emission Limitation” is “SC.”</w:t>
      </w:r>
    </w:p>
    <w:p w14:paraId="5502CB40" w14:textId="77777777" w:rsidR="007D0736" w:rsidRDefault="007D0736" w:rsidP="00D7634E">
      <w:pPr>
        <w:pStyle w:val="APDStrong"/>
        <w:sectPr w:rsidR="007D0736" w:rsidSect="0031268E">
          <w:pgSz w:w="12240" w:h="15840" w:code="1"/>
          <w:pgMar w:top="720" w:right="720" w:bottom="720" w:left="720" w:header="720" w:footer="720" w:gutter="0"/>
          <w:cols w:space="720"/>
          <w:titlePg/>
          <w:docGrid w:linePitch="360"/>
        </w:sectPr>
      </w:pPr>
    </w:p>
    <w:p w14:paraId="4D03A15E" w14:textId="77777777" w:rsidR="00F861CF" w:rsidRPr="00EF0801" w:rsidRDefault="00F861CF" w:rsidP="00D7634E">
      <w:pPr>
        <w:pStyle w:val="APDStrong"/>
      </w:pPr>
      <w:r w:rsidRPr="00EF0801">
        <w:lastRenderedPageBreak/>
        <w:t>23C-Option</w:t>
      </w:r>
      <w:r w:rsidRPr="003A1BA2">
        <w:rPr>
          <w:bCs/>
        </w:rPr>
        <w:t>:</w:t>
      </w:r>
    </w:p>
    <w:p w14:paraId="1F526CEA" w14:textId="77777777" w:rsidR="00F861CF" w:rsidRDefault="00F861CF" w:rsidP="001E1E4E">
      <w:pPr>
        <w:pStyle w:val="APDBodyText"/>
      </w:pPr>
      <w:r w:rsidRPr="00EF0801">
        <w:t>Select one of the following § 117.123(c)(1) or 423(c)(1) options for monitoring.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461924" w14:paraId="7C878495" w14:textId="77777777" w:rsidTr="009F268A">
        <w:trPr>
          <w:cantSplit/>
          <w:tblHeader/>
        </w:trPr>
        <w:tc>
          <w:tcPr>
            <w:tcW w:w="1530" w:type="dxa"/>
          </w:tcPr>
          <w:p w14:paraId="5F270954" w14:textId="0BBDA769" w:rsidR="00461924" w:rsidRPr="00461924" w:rsidRDefault="00461924" w:rsidP="00461924">
            <w:pPr>
              <w:rPr>
                <w:b/>
                <w:bCs/>
              </w:rPr>
            </w:pPr>
            <w:r w:rsidRPr="00461924">
              <w:rPr>
                <w:b/>
                <w:bCs/>
              </w:rPr>
              <w:t>Code</w:t>
            </w:r>
          </w:p>
        </w:tc>
        <w:tc>
          <w:tcPr>
            <w:tcW w:w="8550" w:type="dxa"/>
          </w:tcPr>
          <w:p w14:paraId="779DD1D3" w14:textId="05CC1335" w:rsidR="00461924" w:rsidRPr="00461924" w:rsidRDefault="00461924" w:rsidP="00461924">
            <w:pPr>
              <w:rPr>
                <w:b/>
                <w:bCs/>
              </w:rPr>
            </w:pPr>
            <w:r w:rsidRPr="00461924">
              <w:rPr>
                <w:b/>
                <w:bCs/>
              </w:rPr>
              <w:t>Description</w:t>
            </w:r>
          </w:p>
        </w:tc>
      </w:tr>
      <w:tr w:rsidR="00461924" w14:paraId="503C5EEF" w14:textId="77777777" w:rsidTr="009F268A">
        <w:trPr>
          <w:cantSplit/>
          <w:tblHeader/>
        </w:trPr>
        <w:tc>
          <w:tcPr>
            <w:tcW w:w="1530" w:type="dxa"/>
          </w:tcPr>
          <w:p w14:paraId="75F64EEC" w14:textId="0109843E" w:rsidR="00461924" w:rsidRDefault="00461924" w:rsidP="00461924">
            <w:r w:rsidRPr="005F4BFD">
              <w:t>23C-A</w:t>
            </w:r>
          </w:p>
        </w:tc>
        <w:tc>
          <w:tcPr>
            <w:tcW w:w="8550" w:type="dxa"/>
          </w:tcPr>
          <w:p w14:paraId="053EAB40" w14:textId="6522E389" w:rsidR="00461924" w:rsidRDefault="00461924" w:rsidP="00461924">
            <w:r w:rsidRPr="005F4BFD">
              <w:t>NOx, CO, O</w:t>
            </w:r>
            <w:r w:rsidRPr="006C65E6">
              <w:rPr>
                <w:vertAlign w:val="subscript"/>
              </w:rPr>
              <w:t>2</w:t>
            </w:r>
            <w:r w:rsidRPr="005F4BFD">
              <w:t xml:space="preserve"> (or CO</w:t>
            </w:r>
            <w:r w:rsidRPr="006C65E6">
              <w:rPr>
                <w:vertAlign w:val="subscript"/>
              </w:rPr>
              <w:t>2</w:t>
            </w:r>
            <w:r w:rsidRPr="005F4BFD">
              <w:t>) CEMS and a totalizing fuel flow meter per § 117.123(c)(1)(A) or § 117.423(c)(1)(A).</w:t>
            </w:r>
          </w:p>
        </w:tc>
      </w:tr>
      <w:tr w:rsidR="00461924" w14:paraId="1B557F0A" w14:textId="77777777" w:rsidTr="009F268A">
        <w:trPr>
          <w:cantSplit/>
          <w:tblHeader/>
        </w:trPr>
        <w:tc>
          <w:tcPr>
            <w:tcW w:w="1530" w:type="dxa"/>
          </w:tcPr>
          <w:p w14:paraId="3712E8DE" w14:textId="067FF4A3" w:rsidR="00461924" w:rsidRDefault="00461924" w:rsidP="00461924">
            <w:r w:rsidRPr="005F4BFD">
              <w:t>23C-B</w:t>
            </w:r>
          </w:p>
        </w:tc>
        <w:tc>
          <w:tcPr>
            <w:tcW w:w="8550" w:type="dxa"/>
          </w:tcPr>
          <w:p w14:paraId="6B7C51A8" w14:textId="75D8C570" w:rsidR="00461924" w:rsidRDefault="00461924" w:rsidP="00461924">
            <w:r w:rsidRPr="005F4BFD">
              <w:t>PEMS and a totalizing fuel flow meter per § 117.123(c)(1)(B) or § 117.423(c)(1)(B).</w:t>
            </w:r>
          </w:p>
        </w:tc>
      </w:tr>
      <w:tr w:rsidR="00461924" w14:paraId="0196652C" w14:textId="77777777" w:rsidTr="009F268A">
        <w:trPr>
          <w:cantSplit/>
          <w:tblHeader/>
        </w:trPr>
        <w:tc>
          <w:tcPr>
            <w:tcW w:w="1530" w:type="dxa"/>
          </w:tcPr>
          <w:p w14:paraId="39F7506A" w14:textId="181B4AAF" w:rsidR="00461924" w:rsidRDefault="00461924" w:rsidP="00461924">
            <w:r w:rsidRPr="005F4BFD">
              <w:t>23C-C</w:t>
            </w:r>
          </w:p>
        </w:tc>
        <w:tc>
          <w:tcPr>
            <w:tcW w:w="8550" w:type="dxa"/>
          </w:tcPr>
          <w:p w14:paraId="5FD4CBAC" w14:textId="6A0CCBC0" w:rsidR="00461924" w:rsidRDefault="00461924" w:rsidP="00461924">
            <w:r w:rsidRPr="005F4BFD">
              <w:t>Rate measured by hourly emission rate testing per § 117.123(c)(1)(C) or § 117.423(c)(1)(C).</w:t>
            </w:r>
          </w:p>
        </w:tc>
      </w:tr>
    </w:tbl>
    <w:p w14:paraId="73C97CCC" w14:textId="77777777" w:rsidR="00F861CF" w:rsidRPr="00EF0801" w:rsidRDefault="00F861CF" w:rsidP="00390EE3">
      <w:pPr>
        <w:pStyle w:val="APDCompleteStar"/>
      </w:pPr>
      <w:r w:rsidRPr="00EF0801">
        <w:t>Complete “30 TAC Chapter 116 Permit Limit” only if “NO</w:t>
      </w:r>
      <w:r w:rsidRPr="00EF0801">
        <w:rPr>
          <w:vertAlign w:val="subscript"/>
        </w:rPr>
        <w:t>x</w:t>
      </w:r>
      <w:r w:rsidRPr="00EF0801">
        <w:t xml:space="preserve"> Emission Limitation” is “105.”</w:t>
      </w:r>
    </w:p>
    <w:p w14:paraId="13C5843D" w14:textId="77777777" w:rsidR="00F861CF" w:rsidRPr="00EF0801" w:rsidRDefault="00F861CF" w:rsidP="00D7634E">
      <w:pPr>
        <w:pStyle w:val="APDStrong"/>
      </w:pPr>
      <w:r w:rsidRPr="00EF0801">
        <w:t>30 TAC Chapter 116 Permit Limit</w:t>
      </w:r>
      <w:r w:rsidRPr="003A1BA2">
        <w:rPr>
          <w:bCs/>
        </w:rPr>
        <w:t>:</w:t>
      </w:r>
    </w:p>
    <w:p w14:paraId="1B6EE1D1" w14:textId="77777777" w:rsidR="00F861CF" w:rsidRPr="00EF0801" w:rsidRDefault="00F861CF" w:rsidP="00A171DB">
      <w:pPr>
        <w:pStyle w:val="APDBodyText"/>
      </w:pPr>
      <w:r w:rsidRPr="00EF0801">
        <w:t>Select one of the following options for 30 TAC Chapter 116 permit limit. Enter the code on the form.</w:t>
      </w:r>
    </w:p>
    <w:p w14:paraId="297E695E" w14:textId="77777777" w:rsidR="00DE4ADB" w:rsidRDefault="00F861CF" w:rsidP="00DE4ADB">
      <w:pPr>
        <w:pStyle w:val="APDCodeIdentifiers"/>
      </w:pPr>
      <w:r w:rsidRPr="00EF0801">
        <w:t>For units with a 30 TAC Chapter 116 permit in effect on June 9, 1993:</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9F268A" w14:paraId="47FA61E8" w14:textId="77777777" w:rsidTr="009F268A">
        <w:tc>
          <w:tcPr>
            <w:tcW w:w="1530" w:type="dxa"/>
          </w:tcPr>
          <w:p w14:paraId="1F1435CC" w14:textId="270E4E8E" w:rsidR="009F268A" w:rsidRDefault="009F268A" w:rsidP="009F268A">
            <w:r w:rsidRPr="00450F9B">
              <w:rPr>
                <w:b/>
              </w:rPr>
              <w:t>Code</w:t>
            </w:r>
          </w:p>
        </w:tc>
        <w:tc>
          <w:tcPr>
            <w:tcW w:w="8550" w:type="dxa"/>
          </w:tcPr>
          <w:p w14:paraId="6560A72D" w14:textId="6AE87639" w:rsidR="009F268A" w:rsidRDefault="009F268A" w:rsidP="009F268A">
            <w:r w:rsidRPr="00450F9B">
              <w:rPr>
                <w:b/>
              </w:rPr>
              <w:t>Description</w:t>
            </w:r>
          </w:p>
        </w:tc>
      </w:tr>
      <w:tr w:rsidR="009F268A" w14:paraId="2B567EC0" w14:textId="77777777" w:rsidTr="009F268A">
        <w:tc>
          <w:tcPr>
            <w:tcW w:w="1530" w:type="dxa"/>
          </w:tcPr>
          <w:p w14:paraId="6B8AE515" w14:textId="730C6456" w:rsidR="009F268A" w:rsidRDefault="009F268A" w:rsidP="009F268A">
            <w:r w:rsidRPr="00450F9B">
              <w:t>93Y</w:t>
            </w:r>
          </w:p>
        </w:tc>
        <w:tc>
          <w:tcPr>
            <w:tcW w:w="8550" w:type="dxa"/>
          </w:tcPr>
          <w:p w14:paraId="4A8354BC" w14:textId="3D722C5B" w:rsidR="009F268A" w:rsidRDefault="009F268A" w:rsidP="009F268A">
            <w:r w:rsidRPr="00450F9B">
              <w:t>NOx emission limit in 30 TAC § 117.105 is greater than the NOx emission limit in a 30 TAC Chapter 116 permit</w:t>
            </w:r>
          </w:p>
        </w:tc>
      </w:tr>
      <w:tr w:rsidR="009F268A" w14:paraId="5452A776" w14:textId="77777777" w:rsidTr="009F268A">
        <w:tc>
          <w:tcPr>
            <w:tcW w:w="1530" w:type="dxa"/>
          </w:tcPr>
          <w:p w14:paraId="3049460C" w14:textId="601C754D" w:rsidR="009F268A" w:rsidRDefault="009F268A" w:rsidP="009F268A">
            <w:r w:rsidRPr="00450F9B">
              <w:t>93N</w:t>
            </w:r>
          </w:p>
        </w:tc>
        <w:tc>
          <w:tcPr>
            <w:tcW w:w="8550" w:type="dxa"/>
          </w:tcPr>
          <w:p w14:paraId="0610F9FA" w14:textId="3ECCE76F" w:rsidR="009F268A" w:rsidRDefault="009F268A" w:rsidP="009F268A">
            <w:r w:rsidRPr="00450F9B">
              <w:t>NOx emission limit in 30 TAC § 117.105 is not greater than the NOx emission limit in a 30 TAC Chapter 116 permit</w:t>
            </w:r>
          </w:p>
        </w:tc>
      </w:tr>
    </w:tbl>
    <w:p w14:paraId="22818B37" w14:textId="77777777" w:rsidR="00F861CF" w:rsidRDefault="00F861CF" w:rsidP="00770D17">
      <w:pPr>
        <w:pStyle w:val="APDBodyText"/>
        <w:spacing w:before="120"/>
      </w:pPr>
      <w:r w:rsidRPr="00EF0801">
        <w:t>For units placed in service after June 9, 1993, and prior to the final compliance date of 30 TAC § 117.9000 as a functionally identical replacement for an existing unit or group of units and limited to the cumulative MRC of the units replaced:</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25A5B" w14:paraId="0916C2D8" w14:textId="77777777" w:rsidTr="00B25A5B">
        <w:trPr>
          <w:cantSplit/>
          <w:tblHeader/>
        </w:trPr>
        <w:tc>
          <w:tcPr>
            <w:tcW w:w="1530" w:type="dxa"/>
          </w:tcPr>
          <w:p w14:paraId="603D0AE3" w14:textId="31A794F5" w:rsidR="00B25A5B" w:rsidRPr="00B25A5B" w:rsidRDefault="00B25A5B" w:rsidP="00B25A5B">
            <w:pPr>
              <w:rPr>
                <w:b/>
                <w:bCs/>
              </w:rPr>
            </w:pPr>
            <w:r w:rsidRPr="00B25A5B">
              <w:rPr>
                <w:b/>
                <w:bCs/>
              </w:rPr>
              <w:t>Code</w:t>
            </w:r>
          </w:p>
        </w:tc>
        <w:tc>
          <w:tcPr>
            <w:tcW w:w="8550" w:type="dxa"/>
          </w:tcPr>
          <w:p w14:paraId="20D7925D" w14:textId="050A4CC1" w:rsidR="00B25A5B" w:rsidRPr="00B25A5B" w:rsidRDefault="00B25A5B" w:rsidP="00B25A5B">
            <w:pPr>
              <w:rPr>
                <w:b/>
                <w:bCs/>
              </w:rPr>
            </w:pPr>
            <w:r w:rsidRPr="00B25A5B">
              <w:rPr>
                <w:b/>
                <w:bCs/>
              </w:rPr>
              <w:t>Description</w:t>
            </w:r>
          </w:p>
        </w:tc>
      </w:tr>
      <w:tr w:rsidR="00B25A5B" w14:paraId="630E304E" w14:textId="77777777" w:rsidTr="00B25A5B">
        <w:trPr>
          <w:cantSplit/>
          <w:tblHeader/>
        </w:trPr>
        <w:tc>
          <w:tcPr>
            <w:tcW w:w="1530" w:type="dxa"/>
          </w:tcPr>
          <w:p w14:paraId="493D8FC4" w14:textId="772F421B" w:rsidR="00B25A5B" w:rsidRDefault="00B25A5B" w:rsidP="00B25A5B">
            <w:r w:rsidRPr="00645255">
              <w:t>95Y</w:t>
            </w:r>
          </w:p>
        </w:tc>
        <w:tc>
          <w:tcPr>
            <w:tcW w:w="8550" w:type="dxa"/>
          </w:tcPr>
          <w:p w14:paraId="59C12DFD" w14:textId="6B07F646" w:rsidR="00B25A5B" w:rsidRDefault="00B25A5B" w:rsidP="00B25A5B">
            <w:r w:rsidRPr="00645255">
              <w:t>Emission limit in 30 TAC § 117.105 is greater than the NOx emission limit in any 30 TAC Chapter 116 permit issued after June 9, 1993</w:t>
            </w:r>
          </w:p>
        </w:tc>
      </w:tr>
      <w:tr w:rsidR="00B25A5B" w14:paraId="5AF79045" w14:textId="77777777" w:rsidTr="00B25A5B">
        <w:trPr>
          <w:cantSplit/>
          <w:tblHeader/>
        </w:trPr>
        <w:tc>
          <w:tcPr>
            <w:tcW w:w="1530" w:type="dxa"/>
          </w:tcPr>
          <w:p w14:paraId="326001AB" w14:textId="2B7FCDFF" w:rsidR="00B25A5B" w:rsidRDefault="00B25A5B" w:rsidP="00B25A5B">
            <w:r w:rsidRPr="00645255">
              <w:t>95N</w:t>
            </w:r>
          </w:p>
        </w:tc>
        <w:tc>
          <w:tcPr>
            <w:tcW w:w="8550" w:type="dxa"/>
          </w:tcPr>
          <w:p w14:paraId="282CD517" w14:textId="610E7F22" w:rsidR="00B25A5B" w:rsidRDefault="00B25A5B" w:rsidP="00B25A5B">
            <w:r w:rsidRPr="00645255">
              <w:t>Emission limit in 30 TAC § 117.105 is not greater than the NOx emission limit in any 30 TAC Chapter 116 permit issued after June 9, 1993</w:t>
            </w:r>
          </w:p>
        </w:tc>
      </w:tr>
    </w:tbl>
    <w:p w14:paraId="1785F7FE" w14:textId="25197869" w:rsidR="00F861CF" w:rsidRDefault="00F861CF" w:rsidP="00CF5A7D">
      <w:pPr>
        <w:pStyle w:val="APDBodyText"/>
        <w:spacing w:before="120"/>
      </w:pPr>
      <w:r w:rsidRPr="00EF0801">
        <w:t xml:space="preserve">For existing units without a 30 TAC Chapter 116 permit in effect on June 9, </w:t>
      </w:r>
      <w:r w:rsidR="00D75D6A" w:rsidRPr="00EF0801">
        <w:t>1993,</w:t>
      </w:r>
      <w:r w:rsidRPr="00EF0801">
        <w:t xml:space="preserve"> or for units placed in service after the final compliance date of 30 TAC § 117.9000 as a functionally identical replacement for an existing unit or group of units and limited to the cumulative MRC of the units replaced:</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7C1C64" w14:paraId="2182F639" w14:textId="77777777" w:rsidTr="007C1C64">
        <w:trPr>
          <w:cantSplit/>
          <w:tblHeader/>
        </w:trPr>
        <w:tc>
          <w:tcPr>
            <w:tcW w:w="1530" w:type="dxa"/>
          </w:tcPr>
          <w:p w14:paraId="1009416A" w14:textId="3F0C82AB" w:rsidR="007C1C64" w:rsidRPr="007C1C64" w:rsidRDefault="007C1C64" w:rsidP="007C1C64">
            <w:pPr>
              <w:rPr>
                <w:b/>
                <w:bCs/>
              </w:rPr>
            </w:pPr>
            <w:r w:rsidRPr="007C1C64">
              <w:rPr>
                <w:b/>
                <w:bCs/>
              </w:rPr>
              <w:t>Code</w:t>
            </w:r>
          </w:p>
        </w:tc>
        <w:tc>
          <w:tcPr>
            <w:tcW w:w="8550" w:type="dxa"/>
          </w:tcPr>
          <w:p w14:paraId="4E1F4ABC" w14:textId="5DFDB60E" w:rsidR="007C1C64" w:rsidRPr="007C1C64" w:rsidRDefault="007C1C64" w:rsidP="007C1C64">
            <w:pPr>
              <w:rPr>
                <w:b/>
                <w:bCs/>
              </w:rPr>
            </w:pPr>
            <w:r w:rsidRPr="007C1C64">
              <w:rPr>
                <w:b/>
                <w:bCs/>
              </w:rPr>
              <w:t>Description</w:t>
            </w:r>
          </w:p>
        </w:tc>
      </w:tr>
      <w:tr w:rsidR="007C1C64" w14:paraId="27FB0268" w14:textId="77777777" w:rsidTr="007C1C64">
        <w:trPr>
          <w:cantSplit/>
          <w:tblHeader/>
        </w:trPr>
        <w:tc>
          <w:tcPr>
            <w:tcW w:w="1530" w:type="dxa"/>
          </w:tcPr>
          <w:p w14:paraId="382CC013" w14:textId="693E326A" w:rsidR="007C1C64" w:rsidRDefault="007C1C64" w:rsidP="007C1C64">
            <w:r w:rsidRPr="00904FC9">
              <w:t>N/A</w:t>
            </w:r>
          </w:p>
        </w:tc>
        <w:tc>
          <w:tcPr>
            <w:tcW w:w="8550" w:type="dxa"/>
          </w:tcPr>
          <w:p w14:paraId="27D16ACD" w14:textId="12210BF7" w:rsidR="007C1C64" w:rsidRDefault="007C1C64" w:rsidP="007C1C64">
            <w:r w:rsidRPr="00904FC9">
              <w:t>NOx emission limit in 30 TAC § 117.105 applies for purposes of 30 TAC Chapter 117</w:t>
            </w:r>
          </w:p>
        </w:tc>
      </w:tr>
    </w:tbl>
    <w:p w14:paraId="75DE0F4B" w14:textId="4E1CC61C" w:rsidR="00D108F5" w:rsidRDefault="00F861CF" w:rsidP="00390EE3">
      <w:pPr>
        <w:pStyle w:val="APDCompleteStar"/>
      </w:pPr>
      <w:r w:rsidRPr="00EF0801">
        <w:t>Complete “EGF System Cap Unit” only if located in the Houston/Galveston/Brazoria ozone nonattainment area.</w:t>
      </w:r>
    </w:p>
    <w:p w14:paraId="62FDA5F5" w14:textId="77777777" w:rsidR="00F861CF" w:rsidRPr="00C21A97" w:rsidRDefault="00F861CF" w:rsidP="00C21A97">
      <w:pPr>
        <w:pStyle w:val="APDStrong"/>
      </w:pPr>
      <w:r w:rsidRPr="00C21A97">
        <w:t>EGF System Cap Unit:</w:t>
      </w:r>
    </w:p>
    <w:p w14:paraId="37D48FA1" w14:textId="040EA335" w:rsidR="00F861CF" w:rsidRPr="00EF0801" w:rsidRDefault="00F861CF" w:rsidP="00A171DB">
      <w:pPr>
        <w:pStyle w:val="APDBodyText"/>
      </w:pPr>
      <w:r w:rsidRPr="00EF0801">
        <w:t>Enter “</w:t>
      </w:r>
      <w:r w:rsidR="00B42127">
        <w:t>YES</w:t>
      </w:r>
      <w:r w:rsidRPr="00EF0801">
        <w:t>” if the unit is used as an electric generating facility to generate electricity for sale to the electric grid. Otherwise, enter “</w:t>
      </w:r>
      <w:r w:rsidR="00B42127">
        <w:t>NO</w:t>
      </w:r>
      <w:r w:rsidRPr="00EF0801">
        <w:t>.”</w:t>
      </w:r>
    </w:p>
    <w:p w14:paraId="4240CC2C" w14:textId="1655C4AA" w:rsidR="009C0F72" w:rsidRDefault="00F861CF" w:rsidP="00A171DB">
      <w:pPr>
        <w:pStyle w:val="APDBodyText"/>
        <w:rPr>
          <w:b/>
        </w:rPr>
      </w:pPr>
      <w:r w:rsidRPr="00EF0801">
        <w:t>Units with electric output entirely dedicated to industrial customers or that generate electricity primarily for internal use are not considered as electric generating facilities generating electricity for sale to the electric grid and are not subject to the system cap requirements of 30 TAC § 117.320. “Entirely dedicated” may include up to two weeks per year of service to the electric grid when the industrial customer’s load sources are not operating. Units generating electricity primarily for internal use are those that have previously or will transfer generated electricity to a utility power distribution system at a rate less than 3.85% of actual electrical generation.</w:t>
      </w:r>
      <w:bookmarkStart w:id="62" w:name="_Hlk31281438"/>
    </w:p>
    <w:p w14:paraId="02FAA1A1" w14:textId="77777777" w:rsidR="00580DE0" w:rsidRDefault="00580DE0" w:rsidP="00C21A97">
      <w:pPr>
        <w:pStyle w:val="APDStrong"/>
        <w:sectPr w:rsidR="00580DE0" w:rsidSect="0031268E">
          <w:pgSz w:w="12240" w:h="15840" w:code="1"/>
          <w:pgMar w:top="720" w:right="720" w:bottom="720" w:left="720" w:header="720" w:footer="720" w:gutter="0"/>
          <w:cols w:space="720"/>
          <w:titlePg/>
          <w:docGrid w:linePitch="360"/>
        </w:sectPr>
      </w:pPr>
    </w:p>
    <w:p w14:paraId="6A4F1359" w14:textId="22055955" w:rsidR="00F861CF" w:rsidRPr="00C21A97" w:rsidRDefault="00F861CF" w:rsidP="00C21A97">
      <w:pPr>
        <w:pStyle w:val="APDStrong"/>
      </w:pPr>
      <w:r w:rsidRPr="00C21A97">
        <w:lastRenderedPageBreak/>
        <w:t>NOx Emission Limit Average:</w:t>
      </w:r>
    </w:p>
    <w:bookmarkEnd w:id="62"/>
    <w:p w14:paraId="76A62A33" w14:textId="77777777" w:rsidR="00F861CF" w:rsidRDefault="00F861CF" w:rsidP="00A171DB">
      <w:pPr>
        <w:pStyle w:val="APDBodyText"/>
      </w:pPr>
      <w:r w:rsidRPr="00EF0801">
        <w:t>Select one of the following options for the NO</w:t>
      </w:r>
      <w:r w:rsidRPr="00EF0801">
        <w:rPr>
          <w:vertAlign w:val="subscript"/>
        </w:rPr>
        <w:t>x</w:t>
      </w:r>
      <w:r w:rsidRPr="00EF0801">
        <w:t xml:space="preserve"> emission limit.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62D49" w14:paraId="72B60BFC" w14:textId="77777777" w:rsidTr="00862D49">
        <w:trPr>
          <w:cantSplit/>
          <w:tblHeader/>
        </w:trPr>
        <w:tc>
          <w:tcPr>
            <w:tcW w:w="1530" w:type="dxa"/>
          </w:tcPr>
          <w:p w14:paraId="266EAEF1" w14:textId="142EEC59" w:rsidR="00862D49" w:rsidRPr="00862D49" w:rsidRDefault="00862D49" w:rsidP="00862D49">
            <w:pPr>
              <w:rPr>
                <w:b/>
                <w:bCs/>
              </w:rPr>
            </w:pPr>
            <w:r w:rsidRPr="00862D49">
              <w:rPr>
                <w:b/>
                <w:bCs/>
              </w:rPr>
              <w:t>Code</w:t>
            </w:r>
          </w:p>
        </w:tc>
        <w:tc>
          <w:tcPr>
            <w:tcW w:w="8550" w:type="dxa"/>
          </w:tcPr>
          <w:p w14:paraId="7F3A17F5" w14:textId="672DBE2A" w:rsidR="00862D49" w:rsidRPr="00862D49" w:rsidRDefault="00862D49" w:rsidP="00862D49">
            <w:pPr>
              <w:rPr>
                <w:b/>
                <w:bCs/>
              </w:rPr>
            </w:pPr>
            <w:r w:rsidRPr="00862D49">
              <w:rPr>
                <w:b/>
                <w:bCs/>
              </w:rPr>
              <w:t>Description</w:t>
            </w:r>
          </w:p>
        </w:tc>
      </w:tr>
      <w:tr w:rsidR="00862D49" w14:paraId="3DE8DDAD" w14:textId="77777777" w:rsidTr="00862D49">
        <w:trPr>
          <w:cantSplit/>
          <w:tblHeader/>
        </w:trPr>
        <w:tc>
          <w:tcPr>
            <w:tcW w:w="1530" w:type="dxa"/>
          </w:tcPr>
          <w:p w14:paraId="4CF6B7A9" w14:textId="60E53510" w:rsidR="00862D49" w:rsidRDefault="00862D49" w:rsidP="00862D49">
            <w:bookmarkStart w:id="63" w:name="_Hlk31281500"/>
            <w:r w:rsidRPr="009736E2">
              <w:t>30DAY</w:t>
            </w:r>
            <w:bookmarkEnd w:id="63"/>
          </w:p>
        </w:tc>
        <w:tc>
          <w:tcPr>
            <w:tcW w:w="8550" w:type="dxa"/>
          </w:tcPr>
          <w:p w14:paraId="2FF0A4A3" w14:textId="54317E8D" w:rsidR="00862D49" w:rsidRDefault="00862D49" w:rsidP="00862D49">
            <w:bookmarkStart w:id="64" w:name="_Hlk31281608"/>
            <w:r w:rsidRPr="009736E2">
              <w:t xml:space="preserve">Comply with the applicable </w:t>
            </w:r>
            <w:bookmarkEnd w:id="64"/>
            <w:r w:rsidRPr="009736E2">
              <w:t>emission limit in pounds/MMBtu on a rolling 30-day average</w:t>
            </w:r>
          </w:p>
        </w:tc>
      </w:tr>
      <w:tr w:rsidR="00862D49" w14:paraId="1ED569F9" w14:textId="77777777" w:rsidTr="00862D49">
        <w:trPr>
          <w:cantSplit/>
          <w:tblHeader/>
        </w:trPr>
        <w:tc>
          <w:tcPr>
            <w:tcW w:w="1530" w:type="dxa"/>
          </w:tcPr>
          <w:p w14:paraId="298D153C" w14:textId="09D0DBF7" w:rsidR="00862D49" w:rsidRDefault="00862D49" w:rsidP="00862D49">
            <w:r w:rsidRPr="009736E2">
              <w:t>30/24</w:t>
            </w:r>
          </w:p>
        </w:tc>
        <w:tc>
          <w:tcPr>
            <w:tcW w:w="8550" w:type="dxa"/>
          </w:tcPr>
          <w:p w14:paraId="24745B0B" w14:textId="2C93460F" w:rsidR="00862D49" w:rsidRDefault="00862D49" w:rsidP="00862D49">
            <w:r w:rsidRPr="009736E2">
              <w:t>Emission limit in pounds/MMBtu on a rolling 30-day and 24-hour average</w:t>
            </w:r>
          </w:p>
        </w:tc>
      </w:tr>
      <w:tr w:rsidR="00862D49" w14:paraId="33A81218" w14:textId="77777777" w:rsidTr="00862D49">
        <w:trPr>
          <w:cantSplit/>
          <w:tblHeader/>
        </w:trPr>
        <w:tc>
          <w:tcPr>
            <w:tcW w:w="1530" w:type="dxa"/>
          </w:tcPr>
          <w:p w14:paraId="7C4F390A" w14:textId="28F37130" w:rsidR="00862D49" w:rsidRDefault="00862D49" w:rsidP="00862D49">
            <w:bookmarkStart w:id="65" w:name="_Hlk31281516"/>
            <w:r w:rsidRPr="009736E2">
              <w:t>BLK1-LB</w:t>
            </w:r>
            <w:bookmarkEnd w:id="65"/>
          </w:p>
        </w:tc>
        <w:tc>
          <w:tcPr>
            <w:tcW w:w="8550" w:type="dxa"/>
          </w:tcPr>
          <w:p w14:paraId="064C2EB2" w14:textId="1E49F9B5" w:rsidR="00862D49" w:rsidRDefault="00862D49" w:rsidP="00862D49">
            <w:r w:rsidRPr="009736E2">
              <w:t>Comply with the applicable emission limit using block one-hour average</w:t>
            </w:r>
          </w:p>
        </w:tc>
      </w:tr>
      <w:tr w:rsidR="00862D49" w14:paraId="6754DF5A" w14:textId="77777777" w:rsidTr="00862D49">
        <w:trPr>
          <w:cantSplit/>
          <w:tblHeader/>
        </w:trPr>
        <w:tc>
          <w:tcPr>
            <w:tcW w:w="1530" w:type="dxa"/>
          </w:tcPr>
          <w:p w14:paraId="51CAFBBC" w14:textId="16FD623C" w:rsidR="00862D49" w:rsidRDefault="00862D49" w:rsidP="00862D49">
            <w:r w:rsidRPr="009736E2">
              <w:t>PPMV</w:t>
            </w:r>
          </w:p>
        </w:tc>
        <w:tc>
          <w:tcPr>
            <w:tcW w:w="8550" w:type="dxa"/>
          </w:tcPr>
          <w:p w14:paraId="73282D0A" w14:textId="11AE443C" w:rsidR="00862D49" w:rsidRDefault="00862D49" w:rsidP="00862D49">
            <w:r w:rsidRPr="009736E2">
              <w:t>Emission limit in parts per million by volume (ppmv)</w:t>
            </w:r>
          </w:p>
        </w:tc>
      </w:tr>
      <w:tr w:rsidR="00862D49" w14:paraId="601ABD33" w14:textId="77777777" w:rsidTr="00862D49">
        <w:trPr>
          <w:cantSplit/>
          <w:tblHeader/>
        </w:trPr>
        <w:tc>
          <w:tcPr>
            <w:tcW w:w="1530" w:type="dxa"/>
          </w:tcPr>
          <w:p w14:paraId="3E097050" w14:textId="657C5A42" w:rsidR="00862D49" w:rsidRDefault="00862D49" w:rsidP="00862D49">
            <w:r w:rsidRPr="009736E2">
              <w:t>OTHER</w:t>
            </w:r>
          </w:p>
        </w:tc>
        <w:tc>
          <w:tcPr>
            <w:tcW w:w="8550" w:type="dxa"/>
          </w:tcPr>
          <w:p w14:paraId="0B268721" w14:textId="6E9F731C" w:rsidR="00862D49" w:rsidRDefault="00862D49" w:rsidP="00862D49">
            <w:r w:rsidRPr="009736E2">
              <w:t>Other emission limit basis</w:t>
            </w:r>
          </w:p>
        </w:tc>
      </w:tr>
    </w:tbl>
    <w:p w14:paraId="724448F1" w14:textId="77777777" w:rsidR="00F861CF" w:rsidRPr="00C21A97" w:rsidRDefault="00F861CF" w:rsidP="00AE0E86">
      <w:pPr>
        <w:pStyle w:val="APDStrong"/>
        <w:spacing w:before="120"/>
      </w:pPr>
      <w:r w:rsidRPr="00C21A97">
        <w:t>NOx Reduction:</w:t>
      </w:r>
    </w:p>
    <w:p w14:paraId="40AF3EDC" w14:textId="77777777" w:rsidR="00F861CF" w:rsidRDefault="00F861CF" w:rsidP="00A171DB">
      <w:pPr>
        <w:pStyle w:val="APDBodyText"/>
      </w:pPr>
      <w:r w:rsidRPr="00EF0801">
        <w:t>Select one of the following NO</w:t>
      </w:r>
      <w:r w:rsidRPr="00EF0801">
        <w:rPr>
          <w:vertAlign w:val="subscript"/>
        </w:rPr>
        <w:t>x</w:t>
      </w:r>
      <w:r w:rsidRPr="00EF0801">
        <w:t xml:space="preserve"> reduction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36"/>
        <w:gridCol w:w="8644"/>
      </w:tblGrid>
      <w:tr w:rsidR="00F84331" w14:paraId="7C06AABE" w14:textId="77777777" w:rsidTr="009719EF">
        <w:trPr>
          <w:cantSplit/>
          <w:tblHeader/>
        </w:trPr>
        <w:tc>
          <w:tcPr>
            <w:tcW w:w="1530" w:type="dxa"/>
          </w:tcPr>
          <w:p w14:paraId="3A6E3A5E" w14:textId="79D4926C" w:rsidR="00F84331" w:rsidRPr="00F84331" w:rsidRDefault="00F84331" w:rsidP="00F84331">
            <w:pPr>
              <w:rPr>
                <w:b/>
                <w:bCs/>
              </w:rPr>
            </w:pPr>
            <w:r w:rsidRPr="00F84331">
              <w:rPr>
                <w:b/>
                <w:bCs/>
              </w:rPr>
              <w:t>Code</w:t>
            </w:r>
          </w:p>
        </w:tc>
        <w:tc>
          <w:tcPr>
            <w:tcW w:w="9260" w:type="dxa"/>
          </w:tcPr>
          <w:p w14:paraId="31C20A02" w14:textId="6B023D08" w:rsidR="00F84331" w:rsidRPr="00F84331" w:rsidRDefault="00F84331" w:rsidP="00F84331">
            <w:pPr>
              <w:rPr>
                <w:b/>
                <w:bCs/>
              </w:rPr>
            </w:pPr>
            <w:r w:rsidRPr="00F84331">
              <w:rPr>
                <w:b/>
                <w:bCs/>
              </w:rPr>
              <w:t>Description</w:t>
            </w:r>
          </w:p>
        </w:tc>
      </w:tr>
      <w:tr w:rsidR="00F84331" w14:paraId="09DEBDBC" w14:textId="77777777" w:rsidTr="009719EF">
        <w:trPr>
          <w:cantSplit/>
          <w:tblHeader/>
        </w:trPr>
        <w:tc>
          <w:tcPr>
            <w:tcW w:w="1530" w:type="dxa"/>
          </w:tcPr>
          <w:p w14:paraId="26D127D2" w14:textId="4FEC493A" w:rsidR="00F84331" w:rsidRDefault="00F84331" w:rsidP="00F84331">
            <w:r w:rsidRPr="006E0253">
              <w:t>FRCFG</w:t>
            </w:r>
          </w:p>
        </w:tc>
        <w:tc>
          <w:tcPr>
            <w:tcW w:w="9260" w:type="dxa"/>
          </w:tcPr>
          <w:p w14:paraId="40F1733D" w14:textId="36C21082" w:rsidR="00F84331" w:rsidRDefault="00F84331" w:rsidP="00F84331">
            <w:r w:rsidRPr="006E0253">
              <w:t>Forced flue gas recirculation</w:t>
            </w:r>
          </w:p>
        </w:tc>
      </w:tr>
      <w:tr w:rsidR="00F84331" w14:paraId="3084B0EF" w14:textId="77777777" w:rsidTr="009719EF">
        <w:trPr>
          <w:cantSplit/>
          <w:tblHeader/>
        </w:trPr>
        <w:tc>
          <w:tcPr>
            <w:tcW w:w="1530" w:type="dxa"/>
          </w:tcPr>
          <w:p w14:paraId="41218F37" w14:textId="4E002E48" w:rsidR="00F84331" w:rsidRDefault="00F84331" w:rsidP="00F84331">
            <w:r w:rsidRPr="006E0253">
              <w:t>INDFG</w:t>
            </w:r>
          </w:p>
        </w:tc>
        <w:tc>
          <w:tcPr>
            <w:tcW w:w="9260" w:type="dxa"/>
          </w:tcPr>
          <w:p w14:paraId="3F801A7B" w14:textId="77FC5EF0" w:rsidR="00F84331" w:rsidRDefault="00F84331" w:rsidP="00F84331">
            <w:r w:rsidRPr="006E0253">
              <w:t>Induced flue gas recirculation</w:t>
            </w:r>
          </w:p>
        </w:tc>
      </w:tr>
      <w:tr w:rsidR="00F84331" w14:paraId="58C77656" w14:textId="77777777" w:rsidTr="009719EF">
        <w:trPr>
          <w:cantSplit/>
          <w:tblHeader/>
        </w:trPr>
        <w:tc>
          <w:tcPr>
            <w:tcW w:w="1530" w:type="dxa"/>
          </w:tcPr>
          <w:p w14:paraId="6D8488E7" w14:textId="27D314C6" w:rsidR="00F84331" w:rsidRDefault="00F84331" w:rsidP="00F84331">
            <w:r w:rsidRPr="006E0253">
              <w:t>WATER</w:t>
            </w:r>
          </w:p>
        </w:tc>
        <w:tc>
          <w:tcPr>
            <w:tcW w:w="9260" w:type="dxa"/>
          </w:tcPr>
          <w:p w14:paraId="1084FC15" w14:textId="67D0C5DF" w:rsidR="00F84331" w:rsidRDefault="00F84331" w:rsidP="00F84331">
            <w:r w:rsidRPr="006E0253">
              <w:t>Water or steam injection</w:t>
            </w:r>
          </w:p>
        </w:tc>
      </w:tr>
      <w:tr w:rsidR="00F84331" w14:paraId="68E05BD6" w14:textId="77777777" w:rsidTr="009719EF">
        <w:trPr>
          <w:cantSplit/>
          <w:tblHeader/>
        </w:trPr>
        <w:tc>
          <w:tcPr>
            <w:tcW w:w="1530" w:type="dxa"/>
          </w:tcPr>
          <w:p w14:paraId="7713B0BC" w14:textId="4F43E2F6" w:rsidR="00F84331" w:rsidRDefault="00F84331" w:rsidP="00F84331">
            <w:r w:rsidRPr="006E0253">
              <w:t>POST1</w:t>
            </w:r>
          </w:p>
        </w:tc>
        <w:tc>
          <w:tcPr>
            <w:tcW w:w="9260" w:type="dxa"/>
          </w:tcPr>
          <w:p w14:paraId="497000ED" w14:textId="7A66E73B" w:rsidR="00F84331" w:rsidRDefault="00F84331" w:rsidP="00F84331">
            <w:r w:rsidRPr="006E0253">
              <w:t>Post combustion control technique with ammonia or urea injection</w:t>
            </w:r>
          </w:p>
        </w:tc>
      </w:tr>
      <w:tr w:rsidR="00F84331" w14:paraId="7C69CB9C" w14:textId="77777777" w:rsidTr="009719EF">
        <w:trPr>
          <w:cantSplit/>
          <w:tblHeader/>
        </w:trPr>
        <w:tc>
          <w:tcPr>
            <w:tcW w:w="1530" w:type="dxa"/>
          </w:tcPr>
          <w:p w14:paraId="0230157C" w14:textId="58C1C9E7" w:rsidR="00F84331" w:rsidRDefault="00F84331" w:rsidP="00F84331">
            <w:r w:rsidRPr="006E0253">
              <w:t>POST2</w:t>
            </w:r>
          </w:p>
        </w:tc>
        <w:tc>
          <w:tcPr>
            <w:tcW w:w="9260" w:type="dxa"/>
          </w:tcPr>
          <w:p w14:paraId="09B4E960" w14:textId="1D6B8C58" w:rsidR="00F84331" w:rsidRDefault="00F84331" w:rsidP="00F84331">
            <w:r w:rsidRPr="006E0253">
              <w:t>Post combustion control technique with chemical reagent injection other than ammonia or urea</w:t>
            </w:r>
          </w:p>
        </w:tc>
      </w:tr>
      <w:tr w:rsidR="00F84331" w14:paraId="7E270B58" w14:textId="77777777" w:rsidTr="009719EF">
        <w:trPr>
          <w:cantSplit/>
          <w:tblHeader/>
        </w:trPr>
        <w:tc>
          <w:tcPr>
            <w:tcW w:w="1530" w:type="dxa"/>
          </w:tcPr>
          <w:p w14:paraId="01B5184D" w14:textId="41F3D540" w:rsidR="00F84331" w:rsidRDefault="00F84331" w:rsidP="00F84331">
            <w:r w:rsidRPr="006E0253">
              <w:t>OTHER</w:t>
            </w:r>
          </w:p>
        </w:tc>
        <w:tc>
          <w:tcPr>
            <w:tcW w:w="9260" w:type="dxa"/>
          </w:tcPr>
          <w:p w14:paraId="1B71F740" w14:textId="4248C474" w:rsidR="00F84331" w:rsidRDefault="00F84331" w:rsidP="00F84331">
            <w:r w:rsidRPr="006E0253">
              <w:t>Other NOx reduction method</w:t>
            </w:r>
          </w:p>
        </w:tc>
      </w:tr>
      <w:tr w:rsidR="00F84331" w14:paraId="6F8423DF" w14:textId="77777777" w:rsidTr="009719EF">
        <w:trPr>
          <w:cantSplit/>
          <w:tblHeader/>
        </w:trPr>
        <w:tc>
          <w:tcPr>
            <w:tcW w:w="1530" w:type="dxa"/>
          </w:tcPr>
          <w:p w14:paraId="3AEB2F8C" w14:textId="7CA56590" w:rsidR="00F84331" w:rsidRDefault="00F84331" w:rsidP="00F84331">
            <w:r w:rsidRPr="006E0253">
              <w:t>NONE</w:t>
            </w:r>
          </w:p>
        </w:tc>
        <w:tc>
          <w:tcPr>
            <w:tcW w:w="9260" w:type="dxa"/>
          </w:tcPr>
          <w:p w14:paraId="6B8BDC02" w14:textId="703633D4" w:rsidR="00F84331" w:rsidRDefault="00F84331" w:rsidP="00F84331">
            <w:r w:rsidRPr="006E0253">
              <w:t>No NOx reduction</w:t>
            </w:r>
          </w:p>
        </w:tc>
      </w:tr>
    </w:tbl>
    <w:p w14:paraId="040909A7" w14:textId="77777777" w:rsidR="00A85FB5" w:rsidRDefault="00F861CF" w:rsidP="00390EE3">
      <w:pPr>
        <w:pStyle w:val="APDCompleteStar"/>
      </w:pPr>
      <w:r w:rsidRPr="00EF0801">
        <w:t>Complete “Common Stack Combined” only if the unit is located in the Beaumont/Port Arthur ozone nonattainment area</w:t>
      </w:r>
    </w:p>
    <w:p w14:paraId="210353CD" w14:textId="77777777" w:rsidR="00F861CF" w:rsidRPr="00C21A97" w:rsidRDefault="00F861CF" w:rsidP="00C21A97">
      <w:pPr>
        <w:pStyle w:val="APDStrong"/>
      </w:pPr>
      <w:r w:rsidRPr="00C21A97">
        <w:t>Common Stack Combined:</w:t>
      </w:r>
    </w:p>
    <w:p w14:paraId="17B29B45" w14:textId="59CE2188" w:rsidR="00F861CF" w:rsidRPr="00EF0801" w:rsidRDefault="00F861CF" w:rsidP="00905C82">
      <w:pPr>
        <w:pStyle w:val="APDBodyText"/>
      </w:pPr>
      <w:r w:rsidRPr="00EF0801">
        <w:t>Enter “</w:t>
      </w:r>
      <w:r w:rsidR="00B42127">
        <w:t>YES</w:t>
      </w:r>
      <w:r w:rsidRPr="00EF0801">
        <w:t>” if the unit is vented through a common stack; the total rated heat input from combined units is greater than or equal to 250 MMBtu/h</w:t>
      </w:r>
      <w:r w:rsidR="003B5897">
        <w:t>r</w:t>
      </w:r>
      <w:r w:rsidRPr="00EF0801">
        <w:t xml:space="preserve"> and the annual combined heat input is greater than 2.2</w:t>
      </w:r>
      <w:r w:rsidR="0085603C">
        <w:t xml:space="preserve"> </w:t>
      </w:r>
      <w:r w:rsidRPr="00EF0801">
        <w:t>(10</w:t>
      </w:r>
      <w:r w:rsidRPr="000B6F8A">
        <w:rPr>
          <w:vertAlign w:val="superscript"/>
        </w:rPr>
        <w:t>11</w:t>
      </w:r>
      <w:r w:rsidRPr="00EF0801">
        <w:t>) Btu/yr. Otherwise, enter “</w:t>
      </w:r>
      <w:r w:rsidR="00B42127">
        <w:t>NO</w:t>
      </w:r>
      <w:r w:rsidRPr="00EF0801">
        <w:t>.”</w:t>
      </w:r>
    </w:p>
    <w:p w14:paraId="0AE15C86" w14:textId="77E30301" w:rsidR="00741127" w:rsidRPr="00EF0801" w:rsidRDefault="00741127" w:rsidP="00741127">
      <w:pPr>
        <w:pBdr>
          <w:bottom w:val="double" w:sz="6" w:space="1" w:color="auto"/>
        </w:pBdr>
      </w:pPr>
    </w:p>
    <w:bookmarkStart w:id="66" w:name="Table_5c"/>
    <w:p w14:paraId="51DB6E1E" w14:textId="6585E3F9" w:rsidR="00F861CF" w:rsidRPr="00EF70DD" w:rsidRDefault="005F7C62" w:rsidP="00A85DB6">
      <w:pPr>
        <w:pStyle w:val="APDChapterTitles"/>
        <w:rPr>
          <w:rStyle w:val="APDTableChapterChar"/>
          <w:rFonts w:eastAsia="Calibri"/>
        </w:rPr>
      </w:pPr>
      <w:r w:rsidRPr="002524A1">
        <w:rPr>
          <w:rStyle w:val="Hyperlink"/>
          <w:rFonts w:eastAsia="Calibri"/>
          <w:b/>
          <w:bCs w:val="0"/>
        </w:rPr>
        <w:fldChar w:fldCharType="begin"/>
      </w:r>
      <w:r w:rsidR="00AB6ED7" w:rsidRPr="002524A1">
        <w:rPr>
          <w:rStyle w:val="Hyperlink"/>
          <w:b/>
          <w:bCs w:val="0"/>
        </w:rPr>
        <w:instrText>HYPERLINK  \l "TBL_5c" \o "Table 5c"</w:instrText>
      </w:r>
      <w:r w:rsidRPr="002524A1">
        <w:rPr>
          <w:rStyle w:val="Hyperlink"/>
          <w:rFonts w:eastAsia="Calibri"/>
          <w:b/>
          <w:bCs w:val="0"/>
        </w:rPr>
      </w:r>
      <w:r w:rsidRPr="002524A1">
        <w:rPr>
          <w:rStyle w:val="Hyperlink"/>
          <w:rFonts w:eastAsia="Calibri"/>
          <w:b/>
          <w:bCs w:val="0"/>
        </w:rPr>
        <w:fldChar w:fldCharType="separate"/>
      </w:r>
      <w:bookmarkStart w:id="67" w:name="_Toc180398502"/>
      <w:bookmarkStart w:id="68" w:name="_Toc180398556"/>
      <w:r w:rsidR="00F861CF" w:rsidRPr="002524A1">
        <w:rPr>
          <w:rStyle w:val="Hyperlink"/>
          <w:rFonts w:eastAsia="Calibri"/>
          <w:b/>
          <w:bCs w:val="0"/>
        </w:rPr>
        <w:t>Table 5c</w:t>
      </w:r>
      <w:r w:rsidRPr="002524A1">
        <w:rPr>
          <w:rStyle w:val="Hyperlink"/>
          <w:rFonts w:eastAsia="Calibri"/>
          <w:b/>
          <w:bCs w:val="0"/>
        </w:rPr>
        <w:fldChar w:fldCharType="end"/>
      </w:r>
      <w:bookmarkEnd w:id="66"/>
      <w:r w:rsidR="00F861CF" w:rsidRPr="002524A1">
        <w:rPr>
          <w:rStyle w:val="Hyperlink"/>
          <w:rFonts w:eastAsia="Calibri"/>
          <w:b/>
          <w:bCs w:val="0"/>
        </w:rPr>
        <w:t>:</w:t>
      </w:r>
      <w:r w:rsidR="00F861CF" w:rsidRPr="00EF0801">
        <w:rPr>
          <w:rFonts w:eastAsia="Calibri"/>
          <w:szCs w:val="20"/>
        </w:rPr>
        <w:tab/>
      </w:r>
      <w:r w:rsidR="00F861CF" w:rsidRPr="006D67FD">
        <w:rPr>
          <w:rStyle w:val="APDTableChapterChar"/>
          <w:rFonts w:eastAsia="Calibri"/>
          <w:b/>
        </w:rPr>
        <w:t>Title 30 Texas Administrative Code Chapter 117 (30 TAC Chapter 117)</w:t>
      </w:r>
      <w:r w:rsidR="004062A6" w:rsidRPr="006D67FD">
        <w:rPr>
          <w:rStyle w:val="APDTableChapterChar"/>
          <w:rFonts w:eastAsia="Calibri"/>
          <w:b/>
        </w:rPr>
        <w:t xml:space="preserve">, </w:t>
      </w:r>
      <w:r w:rsidR="00F861CF" w:rsidRPr="006D67FD">
        <w:rPr>
          <w:rStyle w:val="APDTableChapterChar"/>
          <w:rFonts w:eastAsia="Calibri"/>
          <w:b/>
        </w:rPr>
        <w:t>Subchapter B: Combustion Control at Major Industrial, Commercial, and Institutional Sources in Ozone Nonattainment Areas</w:t>
      </w:r>
      <w:bookmarkEnd w:id="67"/>
      <w:bookmarkEnd w:id="68"/>
      <w:r w:rsidR="00F861CF" w:rsidRPr="00EF70DD">
        <w:rPr>
          <w:rStyle w:val="APDTableChapterChar"/>
          <w:rFonts w:eastAsia="Calibri"/>
        </w:rPr>
        <w:t xml:space="preserve"> </w:t>
      </w:r>
    </w:p>
    <w:p w14:paraId="6A1C5674" w14:textId="3A23AA82" w:rsidR="00F861CF" w:rsidRPr="00C21A97" w:rsidRDefault="00F861CF" w:rsidP="00C21A97">
      <w:pPr>
        <w:pStyle w:val="APDStrong"/>
      </w:pPr>
      <w:r w:rsidRPr="00C21A97">
        <w:t xml:space="preserve">Unit ID </w:t>
      </w:r>
      <w:r w:rsidR="00B42127">
        <w:t>N</w:t>
      </w:r>
      <w:r w:rsidR="00FF547C">
        <w:t>o</w:t>
      </w:r>
      <w:r w:rsidRPr="00C21A97">
        <w:t>.:</w:t>
      </w:r>
    </w:p>
    <w:p w14:paraId="5C2D8D03" w14:textId="30195ADB" w:rsidR="00F861CF" w:rsidRPr="00EF0801" w:rsidRDefault="00F861CF" w:rsidP="00455DC4">
      <w:pPr>
        <w:pStyle w:val="APDBodyText"/>
      </w:pPr>
      <w:r w:rsidRPr="00EF0801">
        <w:t xml:space="preserve">Enter the identification number (ID </w:t>
      </w:r>
      <w:r w:rsidR="00B42127">
        <w:t>N</w:t>
      </w:r>
      <w:r w:rsidR="005667BA">
        <w:t>o</w:t>
      </w:r>
      <w:r w:rsidRPr="00EF0801">
        <w:t>.) for the unit (maximum 10 characters) as li</w:t>
      </w:r>
      <w:r w:rsidR="007743B4" w:rsidRPr="00EF0801">
        <w:t>sted on Form OP-SUM (Individual</w:t>
      </w:r>
      <w:r w:rsidR="00FB050E">
        <w:t> </w:t>
      </w:r>
      <w:r w:rsidRPr="00EF0801">
        <w:t>Unit Summary).</w:t>
      </w:r>
    </w:p>
    <w:p w14:paraId="5A878301" w14:textId="11B846D1" w:rsidR="00F861CF" w:rsidRPr="00C21A97" w:rsidRDefault="00F861CF" w:rsidP="00C21A97">
      <w:pPr>
        <w:pStyle w:val="APDStrong"/>
      </w:pPr>
      <w:r w:rsidRPr="00C21A97">
        <w:t xml:space="preserve">SOP/GOP Index </w:t>
      </w:r>
      <w:r w:rsidR="00B42127">
        <w:t>N</w:t>
      </w:r>
      <w:r w:rsidR="00FF547C">
        <w:t>o</w:t>
      </w:r>
      <w:r w:rsidRPr="00C21A97">
        <w:t>.:</w:t>
      </w:r>
    </w:p>
    <w:p w14:paraId="7D222692" w14:textId="6197CFFC" w:rsidR="00D108F5" w:rsidRDefault="00F861CF" w:rsidP="00455DC4">
      <w:pPr>
        <w:pStyle w:val="APDBodyText"/>
      </w:pPr>
      <w:r w:rsidRPr="00EF0801">
        <w:t xml:space="preserve">Site operating permit (SOP) applicants should indicate the SOP index number for the </w:t>
      </w:r>
      <w:r w:rsidR="007743B4" w:rsidRPr="00EF0801">
        <w:t>unit or group of units (maximum</w:t>
      </w:r>
      <w:r w:rsidR="00FB050E">
        <w:t> </w:t>
      </w:r>
      <w:r w:rsidR="007743B4" w:rsidRPr="00EF0801">
        <w:t>15</w:t>
      </w:r>
      <w:r w:rsidR="00FB050E">
        <w:t> </w:t>
      </w:r>
      <w:r w:rsidRPr="00EF0801">
        <w:t>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For additional information relating to SOP</w:t>
      </w:r>
      <w:r w:rsidR="005D01DF">
        <w:t xml:space="preserve"> and GOP</w:t>
      </w:r>
      <w:r w:rsidRPr="00EF0801">
        <w:t xml:space="preserve"> index numbers</w:t>
      </w:r>
      <w:r w:rsidR="00775600">
        <w:t xml:space="preserve">, </w:t>
      </w:r>
      <w:r w:rsidR="00775600" w:rsidRPr="00EF0801">
        <w:t xml:space="preserve">please </w:t>
      </w:r>
      <w:r w:rsidR="00775600">
        <w:t xml:space="preserve">see the Completing FOP Applications – Additional Guidance on the </w:t>
      </w:r>
      <w:r w:rsidR="00775600" w:rsidRPr="00EF0801">
        <w:t xml:space="preserve">TCEQ website at </w:t>
      </w:r>
      <w:hyperlink r:id="rId28" w:tooltip="TCEQ - Completing FOP Applications - Additional Guidance" w:history="1">
        <w:r w:rsidR="00775600" w:rsidRPr="00F47022">
          <w:rPr>
            <w:rStyle w:val="Hyperlink"/>
          </w:rPr>
          <w:t>www.tceq.texas.gov/permitting/air/guidance/titlev/tv_fop_guidance.html</w:t>
        </w:r>
      </w:hyperlink>
      <w:r w:rsidR="00775600" w:rsidRPr="00EF0801">
        <w:t>.</w:t>
      </w:r>
    </w:p>
    <w:p w14:paraId="3DF54901" w14:textId="77777777" w:rsidR="00F861CF" w:rsidRPr="00EF0801" w:rsidRDefault="00F861CF" w:rsidP="00390EE3">
      <w:pPr>
        <w:pStyle w:val="APDCompleteStar"/>
      </w:pPr>
      <w:r w:rsidRPr="00EF0801">
        <w:t>Complete “Fuel Type Heat Input” only if “NO</w:t>
      </w:r>
      <w:r w:rsidRPr="00EF0801">
        <w:rPr>
          <w:vertAlign w:val="subscript"/>
        </w:rPr>
        <w:t>x</w:t>
      </w:r>
      <w:r w:rsidRPr="00EF0801">
        <w:t xml:space="preserve"> Emission Limitation” is “APES.”</w:t>
      </w:r>
    </w:p>
    <w:p w14:paraId="72945569" w14:textId="77777777" w:rsidR="00B30964" w:rsidRDefault="00B30964" w:rsidP="00C21A97">
      <w:pPr>
        <w:pStyle w:val="APDStrong"/>
        <w:sectPr w:rsidR="00B30964" w:rsidSect="0031268E">
          <w:pgSz w:w="12240" w:h="15840" w:code="1"/>
          <w:pgMar w:top="720" w:right="720" w:bottom="720" w:left="720" w:header="720" w:footer="720" w:gutter="0"/>
          <w:cols w:space="720"/>
          <w:titlePg/>
          <w:docGrid w:linePitch="360"/>
        </w:sectPr>
      </w:pPr>
    </w:p>
    <w:p w14:paraId="05FE9158" w14:textId="77777777" w:rsidR="00F861CF" w:rsidRPr="00C21A97" w:rsidRDefault="00F861CF" w:rsidP="00C21A97">
      <w:pPr>
        <w:pStyle w:val="APDStrong"/>
      </w:pPr>
      <w:r w:rsidRPr="00C21A97">
        <w:lastRenderedPageBreak/>
        <w:t>Fuel Type Heat Input:</w:t>
      </w:r>
    </w:p>
    <w:p w14:paraId="121A989D" w14:textId="77777777" w:rsidR="00F861CF" w:rsidRDefault="00F861CF" w:rsidP="00455DC4">
      <w:pPr>
        <w:pStyle w:val="APDBodyText"/>
      </w:pPr>
      <w:r w:rsidRPr="00EF0801">
        <w:t>Select one of the following options for the annual heat input.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914E8" w14:paraId="6D4552DF" w14:textId="77777777" w:rsidTr="006B23F3">
        <w:trPr>
          <w:cantSplit/>
          <w:tblHeader/>
        </w:trPr>
        <w:tc>
          <w:tcPr>
            <w:tcW w:w="1530" w:type="dxa"/>
          </w:tcPr>
          <w:p w14:paraId="0D1D32F3" w14:textId="7DCE98B2" w:rsidR="00B914E8" w:rsidRPr="00B914E8" w:rsidRDefault="00B914E8" w:rsidP="00B914E8">
            <w:pPr>
              <w:rPr>
                <w:b/>
                <w:bCs/>
              </w:rPr>
            </w:pPr>
            <w:r w:rsidRPr="00B914E8">
              <w:rPr>
                <w:b/>
                <w:bCs/>
              </w:rPr>
              <w:t>Code</w:t>
            </w:r>
          </w:p>
        </w:tc>
        <w:tc>
          <w:tcPr>
            <w:tcW w:w="8550" w:type="dxa"/>
          </w:tcPr>
          <w:p w14:paraId="343841E9" w14:textId="79C4F127" w:rsidR="00B914E8" w:rsidRPr="00B914E8" w:rsidRDefault="00B914E8" w:rsidP="00B914E8">
            <w:pPr>
              <w:rPr>
                <w:b/>
                <w:bCs/>
              </w:rPr>
            </w:pPr>
            <w:r w:rsidRPr="00B914E8">
              <w:rPr>
                <w:b/>
                <w:bCs/>
              </w:rPr>
              <w:t>Description</w:t>
            </w:r>
          </w:p>
        </w:tc>
      </w:tr>
      <w:tr w:rsidR="00B914E8" w14:paraId="52C6CB5A" w14:textId="77777777" w:rsidTr="006B23F3">
        <w:trPr>
          <w:cantSplit/>
          <w:tblHeader/>
        </w:trPr>
        <w:tc>
          <w:tcPr>
            <w:tcW w:w="1530" w:type="dxa"/>
          </w:tcPr>
          <w:p w14:paraId="17891CF1" w14:textId="13645530" w:rsidR="00B914E8" w:rsidRDefault="00B914E8" w:rsidP="00B914E8">
            <w:r w:rsidRPr="002B56D3">
              <w:t>GAS50</w:t>
            </w:r>
          </w:p>
        </w:tc>
        <w:tc>
          <w:tcPr>
            <w:tcW w:w="8550" w:type="dxa"/>
          </w:tcPr>
          <w:p w14:paraId="0227FAA2" w14:textId="0B24DB32" w:rsidR="00B914E8" w:rsidRDefault="00B914E8" w:rsidP="00B914E8">
            <w:r w:rsidRPr="002B56D3">
              <w:t>Boiler is fired with gaseous and liquid fuel, and derives more than 50% annual heat input from gaseous fuel</w:t>
            </w:r>
          </w:p>
        </w:tc>
      </w:tr>
      <w:tr w:rsidR="00B914E8" w14:paraId="757F3EE6" w14:textId="77777777" w:rsidTr="006B23F3">
        <w:trPr>
          <w:cantSplit/>
          <w:tblHeader/>
        </w:trPr>
        <w:tc>
          <w:tcPr>
            <w:tcW w:w="1530" w:type="dxa"/>
          </w:tcPr>
          <w:p w14:paraId="2F7425DF" w14:textId="1FF9CEF4" w:rsidR="00B914E8" w:rsidRDefault="00B914E8" w:rsidP="00B914E8">
            <w:r w:rsidRPr="002B56D3">
              <w:t>LIQ50</w:t>
            </w:r>
          </w:p>
        </w:tc>
        <w:tc>
          <w:tcPr>
            <w:tcW w:w="8550" w:type="dxa"/>
          </w:tcPr>
          <w:p w14:paraId="15DDB541" w14:textId="4D852C8C" w:rsidR="00B914E8" w:rsidRDefault="00B914E8" w:rsidP="00B914E8">
            <w:r w:rsidRPr="002B56D3">
              <w:t>Boiler is fired with gaseous and liquid fuel, and derives more than 50% annual heat input from liquid fuel</w:t>
            </w:r>
          </w:p>
        </w:tc>
      </w:tr>
      <w:tr w:rsidR="00B914E8" w14:paraId="11BCA099" w14:textId="77777777" w:rsidTr="006B23F3">
        <w:trPr>
          <w:cantSplit/>
          <w:tblHeader/>
        </w:trPr>
        <w:tc>
          <w:tcPr>
            <w:tcW w:w="1530" w:type="dxa"/>
          </w:tcPr>
          <w:p w14:paraId="2D9CF7EA" w14:textId="090AE2C3" w:rsidR="00B914E8" w:rsidRDefault="00B914E8" w:rsidP="00B914E8">
            <w:r w:rsidRPr="002B56D3">
              <w:t>SOLID</w:t>
            </w:r>
          </w:p>
        </w:tc>
        <w:tc>
          <w:tcPr>
            <w:tcW w:w="8550" w:type="dxa"/>
          </w:tcPr>
          <w:p w14:paraId="79DF974F" w14:textId="01A9F589" w:rsidR="00B914E8" w:rsidRDefault="00B914E8" w:rsidP="00B914E8">
            <w:r w:rsidRPr="002B56D3">
              <w:t>Boiler is fired with a combination of gaseous (or liquid) and solid fuels</w:t>
            </w:r>
          </w:p>
        </w:tc>
      </w:tr>
      <w:tr w:rsidR="00B914E8" w14:paraId="1561CE47" w14:textId="77777777" w:rsidTr="006B23F3">
        <w:trPr>
          <w:cantSplit/>
          <w:tblHeader/>
        </w:trPr>
        <w:tc>
          <w:tcPr>
            <w:tcW w:w="1530" w:type="dxa"/>
          </w:tcPr>
          <w:p w14:paraId="0C69BA78" w14:textId="703D4010" w:rsidR="00B914E8" w:rsidRDefault="00B914E8" w:rsidP="00B914E8">
            <w:r w:rsidRPr="002B56D3">
              <w:t>NONE</w:t>
            </w:r>
          </w:p>
        </w:tc>
        <w:tc>
          <w:tcPr>
            <w:tcW w:w="8550" w:type="dxa"/>
          </w:tcPr>
          <w:p w14:paraId="4F233980" w14:textId="78CFA7F6" w:rsidR="00B914E8" w:rsidRDefault="00B914E8" w:rsidP="00B914E8">
            <w:r w:rsidRPr="002B56D3">
              <w:t>Boiler is fired with none of the above combinations</w:t>
            </w:r>
          </w:p>
        </w:tc>
      </w:tr>
    </w:tbl>
    <w:p w14:paraId="50D79437" w14:textId="130EE793" w:rsidR="00F861CF" w:rsidRPr="00EF0801" w:rsidRDefault="00F861CF" w:rsidP="0080772E">
      <w:pPr>
        <w:pStyle w:val="APDBodyTextItalics"/>
        <w:spacing w:before="120"/>
      </w:pPr>
      <w:r w:rsidRPr="00EF0801">
        <w:t>Note: Boilers that derive exactly 50% annual heat input from gaseous fuel and 50% from liquid fuel may choose either GAS50 or LIQ50.</w:t>
      </w:r>
    </w:p>
    <w:p w14:paraId="1FCFA416" w14:textId="77777777" w:rsidR="00F861CF" w:rsidRPr="00C21A97" w:rsidRDefault="00F861CF" w:rsidP="00C21A97">
      <w:pPr>
        <w:pStyle w:val="APDStrong"/>
      </w:pPr>
      <w:r w:rsidRPr="00C21A97">
        <w:t>NOx Monitoring System:</w:t>
      </w:r>
    </w:p>
    <w:p w14:paraId="7BD69C28" w14:textId="77777777" w:rsidR="00F861CF" w:rsidRDefault="00F861CF" w:rsidP="00455DC4">
      <w:pPr>
        <w:pStyle w:val="APDBodyText"/>
      </w:pPr>
      <w:r w:rsidRPr="00EF0801">
        <w:t>Select one of the following monitoring system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C3FF1" w14:paraId="19BD79B7" w14:textId="77777777" w:rsidTr="008C3FF1">
        <w:tc>
          <w:tcPr>
            <w:tcW w:w="1530" w:type="dxa"/>
          </w:tcPr>
          <w:p w14:paraId="065321ED" w14:textId="4E11D1A9" w:rsidR="008C3FF1" w:rsidRDefault="008C3FF1" w:rsidP="008C3FF1">
            <w:r w:rsidRPr="006D1F8D">
              <w:t>Code</w:t>
            </w:r>
          </w:p>
        </w:tc>
        <w:tc>
          <w:tcPr>
            <w:tcW w:w="8550" w:type="dxa"/>
          </w:tcPr>
          <w:p w14:paraId="3E493686" w14:textId="1CA52746" w:rsidR="008C3FF1" w:rsidRDefault="008C3FF1" w:rsidP="008C3FF1">
            <w:r w:rsidRPr="006D1F8D">
              <w:t>Description</w:t>
            </w:r>
          </w:p>
        </w:tc>
      </w:tr>
      <w:tr w:rsidR="008C3FF1" w14:paraId="3E753F4E" w14:textId="77777777" w:rsidTr="008C3FF1">
        <w:tc>
          <w:tcPr>
            <w:tcW w:w="1530" w:type="dxa"/>
          </w:tcPr>
          <w:p w14:paraId="14F31C74" w14:textId="06E06AF8" w:rsidR="008C3FF1" w:rsidRDefault="008C3FF1" w:rsidP="008C3FF1">
            <w:r w:rsidRPr="006D1F8D">
              <w:t>75ARC</w:t>
            </w:r>
          </w:p>
        </w:tc>
        <w:tc>
          <w:tcPr>
            <w:tcW w:w="8550" w:type="dxa"/>
          </w:tcPr>
          <w:p w14:paraId="4D973FBE" w14:textId="6A746AF5" w:rsidR="008C3FF1" w:rsidRDefault="008C3FF1" w:rsidP="008C3FF1">
            <w:r w:rsidRPr="006D1F8D">
              <w:t>Acid rain affected unit subject to continuous emissions monitoring requirements of 40 CFR Part 75</w:t>
            </w:r>
          </w:p>
        </w:tc>
      </w:tr>
      <w:tr w:rsidR="008C3FF1" w14:paraId="01426A78" w14:textId="77777777" w:rsidTr="008C3FF1">
        <w:tc>
          <w:tcPr>
            <w:tcW w:w="1530" w:type="dxa"/>
          </w:tcPr>
          <w:p w14:paraId="330A60AA" w14:textId="0F38220F" w:rsidR="008C3FF1" w:rsidRDefault="008C3FF1" w:rsidP="008C3FF1">
            <w:r w:rsidRPr="006D1F8D">
              <w:t>75ARP</w:t>
            </w:r>
          </w:p>
        </w:tc>
        <w:tc>
          <w:tcPr>
            <w:tcW w:w="8550" w:type="dxa"/>
          </w:tcPr>
          <w:p w14:paraId="302B1E9E" w14:textId="777F3FE2" w:rsidR="008C3FF1" w:rsidRDefault="008C3FF1" w:rsidP="008C3FF1">
            <w:r w:rsidRPr="006D1F8D">
              <w:t>Acid rain affected unit subject to predictive emissions monitoring requirements of 40 CFR Part 75</w:t>
            </w:r>
          </w:p>
        </w:tc>
      </w:tr>
      <w:tr w:rsidR="008C3FF1" w14:paraId="2D1079D4" w14:textId="77777777" w:rsidTr="008C3FF1">
        <w:tc>
          <w:tcPr>
            <w:tcW w:w="1530" w:type="dxa"/>
          </w:tcPr>
          <w:p w14:paraId="6BFB339D" w14:textId="67C2C845" w:rsidR="008C3FF1" w:rsidRDefault="008C3FF1" w:rsidP="008C3FF1">
            <w:r w:rsidRPr="006D1F8D">
              <w:t>CEMS</w:t>
            </w:r>
          </w:p>
        </w:tc>
        <w:tc>
          <w:tcPr>
            <w:tcW w:w="8550" w:type="dxa"/>
          </w:tcPr>
          <w:p w14:paraId="1EF80CD1" w14:textId="3689F2FB" w:rsidR="008C3FF1" w:rsidRDefault="008C3FF1" w:rsidP="008C3FF1">
            <w:r w:rsidRPr="006D1F8D">
              <w:t>Continuous emissions monitoring system</w:t>
            </w:r>
          </w:p>
        </w:tc>
      </w:tr>
      <w:tr w:rsidR="008C3FF1" w14:paraId="52AABCCA" w14:textId="77777777" w:rsidTr="008C3FF1">
        <w:tc>
          <w:tcPr>
            <w:tcW w:w="1530" w:type="dxa"/>
          </w:tcPr>
          <w:p w14:paraId="6C1E93ED" w14:textId="653B60F2" w:rsidR="008C3FF1" w:rsidRDefault="008C3FF1" w:rsidP="008C3FF1">
            <w:r w:rsidRPr="006D1F8D">
              <w:t>PEMS</w:t>
            </w:r>
          </w:p>
        </w:tc>
        <w:tc>
          <w:tcPr>
            <w:tcW w:w="8550" w:type="dxa"/>
          </w:tcPr>
          <w:p w14:paraId="6C1DEA19" w14:textId="320314FB" w:rsidR="008C3FF1" w:rsidRDefault="008C3FF1" w:rsidP="008C3FF1">
            <w:r w:rsidRPr="006D1F8D">
              <w:t>Predictive emissions monitoring system</w:t>
            </w:r>
          </w:p>
        </w:tc>
      </w:tr>
      <w:tr w:rsidR="008C3FF1" w14:paraId="3E12A7E7" w14:textId="77777777" w:rsidTr="008C3FF1">
        <w:tc>
          <w:tcPr>
            <w:tcW w:w="1530" w:type="dxa"/>
          </w:tcPr>
          <w:p w14:paraId="7B196706" w14:textId="3B48BEB2" w:rsidR="008C3FF1" w:rsidRDefault="008C3FF1" w:rsidP="008C3FF1">
            <w:r w:rsidRPr="006D1F8D">
              <w:t>MERT</w:t>
            </w:r>
          </w:p>
        </w:tc>
        <w:tc>
          <w:tcPr>
            <w:tcW w:w="8550" w:type="dxa"/>
          </w:tcPr>
          <w:p w14:paraId="189242A0" w14:textId="70C88083" w:rsidR="008C3FF1" w:rsidRDefault="008C3FF1" w:rsidP="008C3FF1">
            <w:r w:rsidRPr="006D1F8D">
              <w:t>Maximum emissions rate testing</w:t>
            </w:r>
          </w:p>
        </w:tc>
      </w:tr>
    </w:tbl>
    <w:p w14:paraId="48940683" w14:textId="77777777" w:rsidR="00F861CF" w:rsidRPr="00C21A97" w:rsidRDefault="00F861CF" w:rsidP="008C3FF1">
      <w:pPr>
        <w:pStyle w:val="APDStrong"/>
        <w:spacing w:before="120"/>
      </w:pPr>
      <w:r w:rsidRPr="00C21A97">
        <w:t>Fuel Flow Monitoring:</w:t>
      </w:r>
    </w:p>
    <w:p w14:paraId="71CAA6A7" w14:textId="77777777" w:rsidR="00F861CF" w:rsidRDefault="00F861CF" w:rsidP="00455DC4">
      <w:pPr>
        <w:pStyle w:val="APDBodyText"/>
      </w:pPr>
      <w:r w:rsidRPr="00EF0801">
        <w:t>Select one of the following options to indicate how fuel flow is monitored.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36"/>
        <w:gridCol w:w="8644"/>
      </w:tblGrid>
      <w:tr w:rsidR="00691148" w14:paraId="3558B64E" w14:textId="77777777" w:rsidTr="00691148">
        <w:trPr>
          <w:cantSplit/>
          <w:tblHeader/>
        </w:trPr>
        <w:tc>
          <w:tcPr>
            <w:tcW w:w="1530" w:type="dxa"/>
          </w:tcPr>
          <w:p w14:paraId="4554E876" w14:textId="6A91DFBC" w:rsidR="00691148" w:rsidRPr="00691148" w:rsidRDefault="00691148" w:rsidP="00691148">
            <w:pPr>
              <w:rPr>
                <w:b/>
                <w:bCs/>
              </w:rPr>
            </w:pPr>
            <w:r w:rsidRPr="00691148">
              <w:rPr>
                <w:b/>
                <w:bCs/>
              </w:rPr>
              <w:t>Code</w:t>
            </w:r>
          </w:p>
        </w:tc>
        <w:tc>
          <w:tcPr>
            <w:tcW w:w="9260" w:type="dxa"/>
          </w:tcPr>
          <w:p w14:paraId="6566D726" w14:textId="794118B8" w:rsidR="00691148" w:rsidRPr="00691148" w:rsidRDefault="00691148" w:rsidP="00691148">
            <w:pPr>
              <w:rPr>
                <w:b/>
                <w:bCs/>
              </w:rPr>
            </w:pPr>
            <w:r w:rsidRPr="00691148">
              <w:rPr>
                <w:b/>
                <w:bCs/>
              </w:rPr>
              <w:t>Description</w:t>
            </w:r>
          </w:p>
        </w:tc>
      </w:tr>
      <w:tr w:rsidR="00691148" w14:paraId="6A65DF33" w14:textId="77777777" w:rsidTr="00691148">
        <w:trPr>
          <w:cantSplit/>
          <w:tblHeader/>
        </w:trPr>
        <w:tc>
          <w:tcPr>
            <w:tcW w:w="1530" w:type="dxa"/>
          </w:tcPr>
          <w:p w14:paraId="27569E96" w14:textId="515E3A7C" w:rsidR="00691148" w:rsidRDefault="00691148" w:rsidP="00691148">
            <w:r w:rsidRPr="00751252">
              <w:t>X40A</w:t>
            </w:r>
          </w:p>
        </w:tc>
        <w:tc>
          <w:tcPr>
            <w:tcW w:w="9260" w:type="dxa"/>
          </w:tcPr>
          <w:p w14:paraId="410EA893" w14:textId="26F699C4" w:rsidR="00691148" w:rsidRDefault="00691148" w:rsidP="00691148">
            <w:r w:rsidRPr="00751252">
              <w:t>Fuel flow is with a totalizing fuel flow meter per 30 TAC §§ 117.140(a), 117.340(a) or 117.440(a)</w:t>
            </w:r>
          </w:p>
        </w:tc>
      </w:tr>
      <w:tr w:rsidR="00691148" w14:paraId="748B3EA3" w14:textId="77777777" w:rsidTr="00691148">
        <w:trPr>
          <w:cantSplit/>
          <w:tblHeader/>
        </w:trPr>
        <w:tc>
          <w:tcPr>
            <w:tcW w:w="1530" w:type="dxa"/>
          </w:tcPr>
          <w:p w14:paraId="61309286" w14:textId="5D75AB33" w:rsidR="00691148" w:rsidRDefault="00691148" w:rsidP="00691148">
            <w:r w:rsidRPr="00751252">
              <w:t>X40A2-A</w:t>
            </w:r>
          </w:p>
        </w:tc>
        <w:tc>
          <w:tcPr>
            <w:tcW w:w="9260" w:type="dxa"/>
          </w:tcPr>
          <w:p w14:paraId="1F720735" w14:textId="0635A9CF" w:rsidR="00691148" w:rsidRDefault="00691148" w:rsidP="00691148">
            <w:r w:rsidRPr="00751252">
              <w:t>Unit operates with a NOx and diluent CEMS and monitors stack exhaust flow per 30 TAC §§ 117.140(a)(2)(A), 117.340(a) (2)(A) or 117.440(a) (2)(A)</w:t>
            </w:r>
          </w:p>
        </w:tc>
      </w:tr>
      <w:tr w:rsidR="00691148" w14:paraId="05A57A7A" w14:textId="77777777" w:rsidTr="00691148">
        <w:trPr>
          <w:cantSplit/>
          <w:tblHeader/>
        </w:trPr>
        <w:tc>
          <w:tcPr>
            <w:tcW w:w="1530" w:type="dxa"/>
          </w:tcPr>
          <w:p w14:paraId="1CEEF0DF" w14:textId="53C01B5A" w:rsidR="00691148" w:rsidRDefault="00691148" w:rsidP="00691148">
            <w:r w:rsidRPr="00751252">
              <w:t>X40A2-B</w:t>
            </w:r>
          </w:p>
        </w:tc>
        <w:tc>
          <w:tcPr>
            <w:tcW w:w="9260" w:type="dxa"/>
          </w:tcPr>
          <w:p w14:paraId="159B6605" w14:textId="0BE62B88" w:rsidR="00691148" w:rsidRDefault="00691148" w:rsidP="00691148">
            <w:r w:rsidRPr="00751252">
              <w:t>Unit vents to a common stack with a NOx and diluent CEMS and uses a single totalizing fuel flow meter per 30 TAC §§ 117.140(a)(2)(B), 117.340(a) (2)(B) or 117.440(a) (2)(B)</w:t>
            </w:r>
          </w:p>
        </w:tc>
      </w:tr>
    </w:tbl>
    <w:p w14:paraId="2DB03C82" w14:textId="41583E6A" w:rsidR="00F861CF" w:rsidRPr="00EF0801" w:rsidRDefault="00F861CF" w:rsidP="00FD7888">
      <w:pPr>
        <w:pStyle w:val="APDContinueTriangle"/>
      </w:pPr>
      <w:r w:rsidRPr="00EF0801">
        <w:t>Do not continue if “Opt-in Unit” is “</w:t>
      </w:r>
      <w:r w:rsidR="00B42127">
        <w:t>YES</w:t>
      </w:r>
      <w:r w:rsidRPr="00EF0801">
        <w:t>.”</w:t>
      </w:r>
    </w:p>
    <w:p w14:paraId="5D011C4D" w14:textId="77777777" w:rsidR="00AD0012" w:rsidRDefault="00AD0012" w:rsidP="00233463">
      <w:pPr>
        <w:pStyle w:val="APDStrong"/>
        <w:sectPr w:rsidR="00AD0012" w:rsidSect="0031268E">
          <w:pgSz w:w="12240" w:h="15840" w:code="1"/>
          <w:pgMar w:top="720" w:right="720" w:bottom="720" w:left="720" w:header="720" w:footer="720" w:gutter="0"/>
          <w:cols w:space="720"/>
          <w:titlePg/>
          <w:docGrid w:linePitch="360"/>
        </w:sectPr>
      </w:pPr>
    </w:p>
    <w:p w14:paraId="5D0E05A4" w14:textId="77777777" w:rsidR="00F861CF" w:rsidRPr="00233463" w:rsidRDefault="00F861CF" w:rsidP="00233463">
      <w:pPr>
        <w:pStyle w:val="APDStrong"/>
      </w:pPr>
      <w:r w:rsidRPr="00233463">
        <w:lastRenderedPageBreak/>
        <w:t>CO Emission Limitation:</w:t>
      </w:r>
    </w:p>
    <w:p w14:paraId="7DFB4A2D" w14:textId="466B6B44" w:rsidR="00F861CF" w:rsidRPr="00EF0801" w:rsidRDefault="00F861CF" w:rsidP="00233463">
      <w:pPr>
        <w:pStyle w:val="APDBodyText"/>
      </w:pPr>
      <w:r w:rsidRPr="00EF0801">
        <w:t>Title 30 TAC Chapter 117 provides several methods to be in compliance with the applicable CO emission specifications of 30 TAC Chapter 117, Subchapter B. Select one of the following options. Enter the code on the form.</w:t>
      </w:r>
    </w:p>
    <w:p w14:paraId="2C59AC3E" w14:textId="77777777" w:rsidR="00F861CF" w:rsidRDefault="00F861CF" w:rsidP="00870751">
      <w:pPr>
        <w:pStyle w:val="APDCodeIdentifiers"/>
      </w:pPr>
      <w:r w:rsidRPr="00EF0801">
        <w:t>For boilers located in the Beaumont/Port Arthur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A6502" w14:paraId="73E8FC62" w14:textId="77777777" w:rsidTr="00BA6502">
        <w:tc>
          <w:tcPr>
            <w:tcW w:w="1530" w:type="dxa"/>
          </w:tcPr>
          <w:p w14:paraId="62D12CBE" w14:textId="7B624F19" w:rsidR="00BA6502" w:rsidRPr="00BA6502" w:rsidRDefault="00BA6502" w:rsidP="00BA6502">
            <w:pPr>
              <w:rPr>
                <w:b/>
                <w:bCs/>
              </w:rPr>
            </w:pPr>
            <w:r w:rsidRPr="00BA6502">
              <w:rPr>
                <w:b/>
                <w:bCs/>
              </w:rPr>
              <w:t>Code</w:t>
            </w:r>
          </w:p>
        </w:tc>
        <w:tc>
          <w:tcPr>
            <w:tcW w:w="8550" w:type="dxa"/>
          </w:tcPr>
          <w:p w14:paraId="0DAE5469" w14:textId="0581695F" w:rsidR="00BA6502" w:rsidRPr="00BA6502" w:rsidRDefault="00BA6502" w:rsidP="00BA6502">
            <w:pPr>
              <w:rPr>
                <w:b/>
                <w:bCs/>
              </w:rPr>
            </w:pPr>
            <w:r w:rsidRPr="00BA6502">
              <w:rPr>
                <w:b/>
                <w:bCs/>
              </w:rPr>
              <w:t>Description</w:t>
            </w:r>
          </w:p>
        </w:tc>
      </w:tr>
      <w:tr w:rsidR="00BA6502" w14:paraId="59FEBD4C" w14:textId="77777777" w:rsidTr="00BA6502">
        <w:tc>
          <w:tcPr>
            <w:tcW w:w="1530" w:type="dxa"/>
          </w:tcPr>
          <w:p w14:paraId="4C273D4D" w14:textId="50B41B95" w:rsidR="00BA6502" w:rsidRDefault="00BA6502" w:rsidP="00BA6502">
            <w:r w:rsidRPr="00D751C1">
              <w:t>105F</w:t>
            </w:r>
          </w:p>
        </w:tc>
        <w:tc>
          <w:tcPr>
            <w:tcW w:w="8550" w:type="dxa"/>
          </w:tcPr>
          <w:p w14:paraId="18679D00" w14:textId="2892F434" w:rsidR="00BA6502" w:rsidRDefault="00BA6502" w:rsidP="00BA6502">
            <w:r w:rsidRPr="00D751C1">
              <w:t>Title 30 TAC § 117.105(f) [relating to Emissions Specifications for Reasonably Available Control Technology (use for unit's subject to RACT in the Beaumont/Port Arthur ozone nonattainment area.)</w:t>
            </w:r>
          </w:p>
        </w:tc>
      </w:tr>
      <w:tr w:rsidR="00BA6502" w14:paraId="503BAC36" w14:textId="77777777" w:rsidTr="00BA6502">
        <w:tc>
          <w:tcPr>
            <w:tcW w:w="1530" w:type="dxa"/>
          </w:tcPr>
          <w:p w14:paraId="1CB10492" w14:textId="28AF36E6" w:rsidR="00BA6502" w:rsidRDefault="00BA6502" w:rsidP="00BA6502">
            <w:r w:rsidRPr="00D751C1">
              <w:t>110C</w:t>
            </w:r>
          </w:p>
        </w:tc>
        <w:tc>
          <w:tcPr>
            <w:tcW w:w="8550" w:type="dxa"/>
          </w:tcPr>
          <w:p w14:paraId="4E092776" w14:textId="64D9DE62" w:rsidR="00BA6502" w:rsidRDefault="00BA6502" w:rsidP="00BA6502">
            <w:r w:rsidRPr="00D751C1">
              <w:t>Title 30 TAC § 117.110(c)(1) [relating to Emission Specifications for Attainment Demonstration] (use for unit’s subject to ESAD requirements in the Beaumont/Port Arthur ozone nonattainment area)</w:t>
            </w:r>
          </w:p>
        </w:tc>
      </w:tr>
      <w:tr w:rsidR="00BA6502" w14:paraId="5C1CD1DB" w14:textId="77777777" w:rsidTr="00BA6502">
        <w:tc>
          <w:tcPr>
            <w:tcW w:w="1530" w:type="dxa"/>
          </w:tcPr>
          <w:p w14:paraId="1C4A855C" w14:textId="153544B9" w:rsidR="00BA6502" w:rsidRDefault="00BA6502" w:rsidP="00BA6502">
            <w:r w:rsidRPr="00D751C1">
              <w:t>ACSS</w:t>
            </w:r>
          </w:p>
        </w:tc>
        <w:tc>
          <w:tcPr>
            <w:tcW w:w="8550" w:type="dxa"/>
          </w:tcPr>
          <w:p w14:paraId="71EAE9EB" w14:textId="379A2EFF" w:rsidR="00BA6502" w:rsidRDefault="00BA6502" w:rsidP="00BA6502">
            <w:r w:rsidRPr="00D751C1">
              <w:t>Unit is complying with an Alternative Case Specific Specification under Title 30 TAC § 17.125(a)</w:t>
            </w:r>
          </w:p>
        </w:tc>
      </w:tr>
    </w:tbl>
    <w:p w14:paraId="5004C050" w14:textId="28F7E2BA" w:rsidR="00D108F5" w:rsidRDefault="00F861CF" w:rsidP="009D1314">
      <w:pPr>
        <w:pStyle w:val="APDCodeIdentifiers"/>
        <w:spacing w:before="120"/>
      </w:pPr>
      <w:r w:rsidRPr="00EF0801">
        <w:t>For boilers located in the Houston/Galveston/Brazoria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264232" w14:paraId="6201219D" w14:textId="77777777" w:rsidTr="00264232">
        <w:trPr>
          <w:cantSplit/>
          <w:tblHeader/>
        </w:trPr>
        <w:tc>
          <w:tcPr>
            <w:tcW w:w="1530" w:type="dxa"/>
          </w:tcPr>
          <w:p w14:paraId="3F369878" w14:textId="1C936AB3" w:rsidR="00264232" w:rsidRPr="00264232" w:rsidRDefault="00264232" w:rsidP="00264232">
            <w:pPr>
              <w:rPr>
                <w:b/>
                <w:bCs/>
              </w:rPr>
            </w:pPr>
            <w:r w:rsidRPr="00264232">
              <w:rPr>
                <w:b/>
                <w:bCs/>
              </w:rPr>
              <w:t>Code</w:t>
            </w:r>
          </w:p>
        </w:tc>
        <w:tc>
          <w:tcPr>
            <w:tcW w:w="8550" w:type="dxa"/>
          </w:tcPr>
          <w:p w14:paraId="2C841407" w14:textId="5E7105A7" w:rsidR="00264232" w:rsidRPr="00264232" w:rsidRDefault="00264232" w:rsidP="00264232">
            <w:pPr>
              <w:rPr>
                <w:b/>
                <w:bCs/>
              </w:rPr>
            </w:pPr>
            <w:r w:rsidRPr="00264232">
              <w:rPr>
                <w:b/>
                <w:bCs/>
              </w:rPr>
              <w:t>Description</w:t>
            </w:r>
          </w:p>
        </w:tc>
      </w:tr>
      <w:tr w:rsidR="00264232" w14:paraId="2E34F7CB" w14:textId="77777777" w:rsidTr="00264232">
        <w:trPr>
          <w:cantSplit/>
          <w:tblHeader/>
        </w:trPr>
        <w:tc>
          <w:tcPr>
            <w:tcW w:w="1530" w:type="dxa"/>
          </w:tcPr>
          <w:p w14:paraId="60737267" w14:textId="30F2D373" w:rsidR="00264232" w:rsidRDefault="00264232" w:rsidP="00264232">
            <w:r w:rsidRPr="002F047B">
              <w:t>310C</w:t>
            </w:r>
          </w:p>
        </w:tc>
        <w:tc>
          <w:tcPr>
            <w:tcW w:w="8550" w:type="dxa"/>
          </w:tcPr>
          <w:p w14:paraId="47F8C89D" w14:textId="6EA6BF50" w:rsidR="00264232" w:rsidRDefault="00264232" w:rsidP="00264232">
            <w:r w:rsidRPr="002F047B">
              <w:t>Title 30 TAC § 117.310(c)(1) 400 ppmv option</w:t>
            </w:r>
          </w:p>
        </w:tc>
      </w:tr>
      <w:tr w:rsidR="00264232" w14:paraId="0CCDF9BF" w14:textId="77777777" w:rsidTr="00264232">
        <w:trPr>
          <w:cantSplit/>
          <w:tblHeader/>
        </w:trPr>
        <w:tc>
          <w:tcPr>
            <w:tcW w:w="1530" w:type="dxa"/>
          </w:tcPr>
          <w:p w14:paraId="4112E889" w14:textId="0E06466B" w:rsidR="00264232" w:rsidRDefault="00264232" w:rsidP="00264232">
            <w:r w:rsidRPr="002F047B">
              <w:t>310CPPMV</w:t>
            </w:r>
          </w:p>
        </w:tc>
        <w:tc>
          <w:tcPr>
            <w:tcW w:w="8550" w:type="dxa"/>
          </w:tcPr>
          <w:p w14:paraId="0D6F95AE" w14:textId="21C82F25" w:rsidR="00264232" w:rsidRDefault="00264232" w:rsidP="00264232">
            <w:r w:rsidRPr="002F047B">
              <w:t>Title 30 TAC § 117.310(c)(1) 775 ppmv option for wood-fuel-fired boilers</w:t>
            </w:r>
          </w:p>
        </w:tc>
      </w:tr>
      <w:tr w:rsidR="00264232" w14:paraId="441BC2E8" w14:textId="77777777" w:rsidTr="00264232">
        <w:trPr>
          <w:cantSplit/>
          <w:tblHeader/>
        </w:trPr>
        <w:tc>
          <w:tcPr>
            <w:tcW w:w="1530" w:type="dxa"/>
          </w:tcPr>
          <w:p w14:paraId="54F2DD71" w14:textId="17C561BB" w:rsidR="00264232" w:rsidRDefault="00264232" w:rsidP="00264232">
            <w:r w:rsidRPr="002F047B">
              <w:t>ACSS</w:t>
            </w:r>
          </w:p>
        </w:tc>
        <w:tc>
          <w:tcPr>
            <w:tcW w:w="8550" w:type="dxa"/>
          </w:tcPr>
          <w:p w14:paraId="042615B7" w14:textId="0A42FAC2" w:rsidR="00264232" w:rsidRDefault="00264232" w:rsidP="00264232">
            <w:r w:rsidRPr="002F047B">
              <w:t>Unit is complying with an Alternative Case Specific Specification under Title 30 TAC § 117.325(a)</w:t>
            </w:r>
          </w:p>
        </w:tc>
      </w:tr>
    </w:tbl>
    <w:p w14:paraId="767A9B53" w14:textId="4FC42847" w:rsidR="00F861CF" w:rsidRDefault="00F861CF" w:rsidP="00F504FF">
      <w:pPr>
        <w:pStyle w:val="APDCodeIdentifiers"/>
        <w:spacing w:before="120"/>
      </w:pPr>
      <w:r w:rsidRPr="00EF0801">
        <w:t>For boilers located in the Dallas/Fort Worth Eight-Hour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F504FF" w14:paraId="2BD89437" w14:textId="77777777" w:rsidTr="00F504FF">
        <w:trPr>
          <w:cantSplit/>
          <w:tblHeader/>
        </w:trPr>
        <w:tc>
          <w:tcPr>
            <w:tcW w:w="1530" w:type="dxa"/>
          </w:tcPr>
          <w:p w14:paraId="210F822A" w14:textId="152004EA" w:rsidR="00F504FF" w:rsidRPr="00F504FF" w:rsidRDefault="00F504FF" w:rsidP="00F504FF">
            <w:pPr>
              <w:rPr>
                <w:b/>
                <w:bCs/>
              </w:rPr>
            </w:pPr>
            <w:r w:rsidRPr="00F504FF">
              <w:rPr>
                <w:b/>
                <w:bCs/>
              </w:rPr>
              <w:t>Code</w:t>
            </w:r>
          </w:p>
        </w:tc>
        <w:tc>
          <w:tcPr>
            <w:tcW w:w="8550" w:type="dxa"/>
          </w:tcPr>
          <w:p w14:paraId="6B014C4A" w14:textId="08693EA2" w:rsidR="00F504FF" w:rsidRPr="00F504FF" w:rsidRDefault="00F504FF" w:rsidP="00F504FF">
            <w:pPr>
              <w:rPr>
                <w:b/>
                <w:bCs/>
              </w:rPr>
            </w:pPr>
            <w:r w:rsidRPr="00F504FF">
              <w:rPr>
                <w:b/>
                <w:bCs/>
              </w:rPr>
              <w:t>Description</w:t>
            </w:r>
          </w:p>
        </w:tc>
      </w:tr>
      <w:tr w:rsidR="00F504FF" w14:paraId="3FE94162" w14:textId="77777777" w:rsidTr="00F504FF">
        <w:trPr>
          <w:cantSplit/>
          <w:tblHeader/>
        </w:trPr>
        <w:tc>
          <w:tcPr>
            <w:tcW w:w="1530" w:type="dxa"/>
          </w:tcPr>
          <w:p w14:paraId="2EBADA06" w14:textId="4894741D" w:rsidR="00F504FF" w:rsidRDefault="00F504FF" w:rsidP="00F504FF">
            <w:r w:rsidRPr="00921178">
              <w:t>410C</w:t>
            </w:r>
          </w:p>
        </w:tc>
        <w:tc>
          <w:tcPr>
            <w:tcW w:w="8550" w:type="dxa"/>
          </w:tcPr>
          <w:p w14:paraId="514ADC10" w14:textId="02375D46" w:rsidR="00F504FF" w:rsidRDefault="00F504FF" w:rsidP="00F504FF">
            <w:r w:rsidRPr="00921178">
              <w:t>Title 30 TAC § 117.410(c)(1) [relating to Emission Specifications for Attainment Demonstration] (use for unit's subject to ESAD requirements in the Dallas/Fort Worth Eight-Hour ozone nonattainment area.)</w:t>
            </w:r>
          </w:p>
        </w:tc>
      </w:tr>
      <w:tr w:rsidR="00F504FF" w14:paraId="4AED68BD" w14:textId="77777777" w:rsidTr="00F504FF">
        <w:trPr>
          <w:cantSplit/>
          <w:tblHeader/>
        </w:trPr>
        <w:tc>
          <w:tcPr>
            <w:tcW w:w="1530" w:type="dxa"/>
          </w:tcPr>
          <w:p w14:paraId="727E11D5" w14:textId="2101E6A7" w:rsidR="00F504FF" w:rsidRDefault="00F504FF" w:rsidP="00F504FF">
            <w:r w:rsidRPr="00921178">
              <w:t>405D</w:t>
            </w:r>
          </w:p>
        </w:tc>
        <w:tc>
          <w:tcPr>
            <w:tcW w:w="8550" w:type="dxa"/>
          </w:tcPr>
          <w:p w14:paraId="697F1249" w14:textId="60FA4C31" w:rsidR="00F504FF" w:rsidRDefault="00F504FF" w:rsidP="00F504FF">
            <w:r w:rsidRPr="00921178">
              <w:t>Title 30 TAC § 117.405(d)(1) [use for wood fired units subject to Reasonably Available Control Technology (RACT) requirements]</w:t>
            </w:r>
          </w:p>
        </w:tc>
      </w:tr>
      <w:tr w:rsidR="00F504FF" w14:paraId="0FA0F88E" w14:textId="77777777" w:rsidTr="00F504FF">
        <w:trPr>
          <w:cantSplit/>
          <w:tblHeader/>
        </w:trPr>
        <w:tc>
          <w:tcPr>
            <w:tcW w:w="1530" w:type="dxa"/>
          </w:tcPr>
          <w:p w14:paraId="10D7FBEC" w14:textId="7D49D521" w:rsidR="00F504FF" w:rsidRDefault="00F504FF" w:rsidP="00F504FF">
            <w:r w:rsidRPr="00921178">
              <w:t>ACSS</w:t>
            </w:r>
          </w:p>
        </w:tc>
        <w:tc>
          <w:tcPr>
            <w:tcW w:w="8550" w:type="dxa"/>
          </w:tcPr>
          <w:p w14:paraId="48E8375E" w14:textId="14825152" w:rsidR="00F504FF" w:rsidRDefault="00F504FF" w:rsidP="00F504FF">
            <w:r w:rsidRPr="00921178">
              <w:t>Unit is complying with an Alternative Case Specific Specification under Title 30 TAC § 117.425(a)</w:t>
            </w:r>
          </w:p>
        </w:tc>
      </w:tr>
    </w:tbl>
    <w:p w14:paraId="58BAFDFC" w14:textId="77777777" w:rsidR="00F861CF" w:rsidRPr="00233463" w:rsidRDefault="00F861CF" w:rsidP="00745567">
      <w:pPr>
        <w:pStyle w:val="APDStrong"/>
        <w:spacing w:before="120"/>
      </w:pPr>
      <w:bookmarkStart w:id="69" w:name="_Hlk31281798"/>
      <w:r w:rsidRPr="00233463">
        <w:t>CO Monitoring System:</w:t>
      </w:r>
    </w:p>
    <w:bookmarkEnd w:id="69"/>
    <w:p w14:paraId="18AE7F32" w14:textId="77777777" w:rsidR="00F861CF" w:rsidRDefault="00F861CF" w:rsidP="00233463">
      <w:pPr>
        <w:pStyle w:val="APDBodyText"/>
      </w:pPr>
      <w:r w:rsidRPr="00EF0801">
        <w:t>Select one of the following options to indicate how the unit is monitored for CO exhaust emissions.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6F5268" w14:paraId="285D74D8" w14:textId="77777777" w:rsidTr="006F5268">
        <w:trPr>
          <w:cantSplit/>
          <w:tblHeader/>
        </w:trPr>
        <w:tc>
          <w:tcPr>
            <w:tcW w:w="1530" w:type="dxa"/>
          </w:tcPr>
          <w:p w14:paraId="223E2FB1" w14:textId="14CD0512" w:rsidR="006F5268" w:rsidRPr="006F5268" w:rsidRDefault="006F5268" w:rsidP="006F5268">
            <w:pPr>
              <w:rPr>
                <w:b/>
                <w:bCs/>
              </w:rPr>
            </w:pPr>
            <w:r w:rsidRPr="006F5268">
              <w:rPr>
                <w:b/>
                <w:bCs/>
              </w:rPr>
              <w:t>Code</w:t>
            </w:r>
          </w:p>
        </w:tc>
        <w:tc>
          <w:tcPr>
            <w:tcW w:w="8550" w:type="dxa"/>
          </w:tcPr>
          <w:p w14:paraId="46B85338" w14:textId="18483E6F" w:rsidR="006F5268" w:rsidRPr="006F5268" w:rsidRDefault="006F5268" w:rsidP="006F5268">
            <w:pPr>
              <w:rPr>
                <w:b/>
                <w:bCs/>
              </w:rPr>
            </w:pPr>
            <w:r w:rsidRPr="006F5268">
              <w:rPr>
                <w:b/>
                <w:bCs/>
              </w:rPr>
              <w:t>Description</w:t>
            </w:r>
          </w:p>
        </w:tc>
      </w:tr>
      <w:tr w:rsidR="006F5268" w14:paraId="621767E5" w14:textId="77777777" w:rsidTr="006F5268">
        <w:trPr>
          <w:cantSplit/>
          <w:tblHeader/>
        </w:trPr>
        <w:tc>
          <w:tcPr>
            <w:tcW w:w="1530" w:type="dxa"/>
          </w:tcPr>
          <w:p w14:paraId="245852B8" w14:textId="268FF953" w:rsidR="006F5268" w:rsidRDefault="006F5268" w:rsidP="006F5268">
            <w:bookmarkStart w:id="70" w:name="_Hlk31281838"/>
            <w:r w:rsidRPr="00C019FF">
              <w:t>CEMS</w:t>
            </w:r>
            <w:bookmarkEnd w:id="70"/>
          </w:p>
        </w:tc>
        <w:tc>
          <w:tcPr>
            <w:tcW w:w="8550" w:type="dxa"/>
          </w:tcPr>
          <w:p w14:paraId="6B6A24EC" w14:textId="7C5CA630" w:rsidR="006F5268" w:rsidRDefault="006F5268" w:rsidP="006F5268">
            <w:r w:rsidRPr="00C019FF">
              <w:t>Continuous emissions monitoring system</w:t>
            </w:r>
          </w:p>
        </w:tc>
      </w:tr>
      <w:tr w:rsidR="006F5268" w14:paraId="6ECA6401" w14:textId="77777777" w:rsidTr="006F5268">
        <w:trPr>
          <w:cantSplit/>
          <w:tblHeader/>
        </w:trPr>
        <w:tc>
          <w:tcPr>
            <w:tcW w:w="1530" w:type="dxa"/>
          </w:tcPr>
          <w:p w14:paraId="36F9A744" w14:textId="096072C1" w:rsidR="006F5268" w:rsidRDefault="006F5268" w:rsidP="006F5268">
            <w:r w:rsidRPr="00C019FF">
              <w:t>PEMS</w:t>
            </w:r>
          </w:p>
        </w:tc>
        <w:tc>
          <w:tcPr>
            <w:tcW w:w="8550" w:type="dxa"/>
          </w:tcPr>
          <w:p w14:paraId="2292A4D6" w14:textId="541F1E91" w:rsidR="006F5268" w:rsidRDefault="006F5268" w:rsidP="006F5268">
            <w:r w:rsidRPr="00C019FF">
              <w:t>Predictive emissions monitoring system</w:t>
            </w:r>
          </w:p>
        </w:tc>
      </w:tr>
      <w:tr w:rsidR="006F5268" w14:paraId="19EF96A3" w14:textId="77777777" w:rsidTr="006F5268">
        <w:trPr>
          <w:cantSplit/>
          <w:tblHeader/>
        </w:trPr>
        <w:tc>
          <w:tcPr>
            <w:tcW w:w="1530" w:type="dxa"/>
          </w:tcPr>
          <w:p w14:paraId="656B7864" w14:textId="48E49351" w:rsidR="006F5268" w:rsidRDefault="006F5268" w:rsidP="006F5268">
            <w:r w:rsidRPr="00C019FF">
              <w:t>OTHER</w:t>
            </w:r>
          </w:p>
        </w:tc>
        <w:tc>
          <w:tcPr>
            <w:tcW w:w="8550" w:type="dxa"/>
          </w:tcPr>
          <w:p w14:paraId="66F6823F" w14:textId="03F460D2" w:rsidR="006F5268" w:rsidRDefault="006F5268" w:rsidP="006F5268">
            <w:r w:rsidRPr="00C019FF">
              <w:t>Other than CEMS or PEMS</w:t>
            </w:r>
          </w:p>
        </w:tc>
      </w:tr>
    </w:tbl>
    <w:p w14:paraId="23D66588" w14:textId="77777777" w:rsidR="00F861CF" w:rsidRPr="00EF0801" w:rsidRDefault="00F861CF" w:rsidP="00FD7888">
      <w:pPr>
        <w:pStyle w:val="APDContinueTriangle"/>
      </w:pPr>
      <w:r w:rsidRPr="00EF0801">
        <w:t>Continue only if “NO</w:t>
      </w:r>
      <w:r w:rsidRPr="00EF0801">
        <w:rPr>
          <w:vertAlign w:val="subscript"/>
        </w:rPr>
        <w:t>x</w:t>
      </w:r>
      <w:r w:rsidRPr="00EF0801">
        <w:t xml:space="preserve"> Reduction” is “POST1.”</w:t>
      </w:r>
    </w:p>
    <w:p w14:paraId="70F5B452" w14:textId="77777777" w:rsidR="00F17205" w:rsidRDefault="00F17205" w:rsidP="00233463">
      <w:pPr>
        <w:pStyle w:val="APDStrong"/>
        <w:sectPr w:rsidR="00F17205" w:rsidSect="0031268E">
          <w:pgSz w:w="12240" w:h="15840" w:code="1"/>
          <w:pgMar w:top="720" w:right="720" w:bottom="720" w:left="720" w:header="720" w:footer="720" w:gutter="0"/>
          <w:cols w:space="720"/>
          <w:titlePg/>
          <w:docGrid w:linePitch="360"/>
        </w:sectPr>
      </w:pPr>
    </w:p>
    <w:p w14:paraId="7301D949" w14:textId="0CA9E1D2" w:rsidR="00F861CF" w:rsidRPr="00233463" w:rsidRDefault="00F861CF" w:rsidP="00233463">
      <w:pPr>
        <w:pStyle w:val="APDStrong"/>
      </w:pPr>
      <w:r w:rsidRPr="00233463">
        <w:lastRenderedPageBreak/>
        <w:t>NH</w:t>
      </w:r>
      <w:r w:rsidRPr="00152FDD">
        <w:rPr>
          <w:vertAlign w:val="subscript"/>
        </w:rPr>
        <w:t>3</w:t>
      </w:r>
      <w:r w:rsidRPr="00233463">
        <w:t xml:space="preserve"> Emission Limitation:</w:t>
      </w:r>
    </w:p>
    <w:p w14:paraId="28F9BF48" w14:textId="71B9334E" w:rsidR="00F861CF" w:rsidRPr="00EF0801" w:rsidRDefault="00F861CF" w:rsidP="00233463">
      <w:pPr>
        <w:pStyle w:val="APDBodyText"/>
      </w:pPr>
      <w:r w:rsidRPr="00EF0801">
        <w:t>Title 30 TAC Chapter 117 provides several methods to be in compliance with the applicable NH</w:t>
      </w:r>
      <w:r w:rsidRPr="00EF0801">
        <w:rPr>
          <w:vertAlign w:val="subscript"/>
        </w:rPr>
        <w:t>3</w:t>
      </w:r>
      <w:r w:rsidRPr="00EF0801">
        <w:t xml:space="preserve"> emission specifications of 30 TAC Chapter 117. Select one of the following options. Enter the code on the form.</w:t>
      </w:r>
    </w:p>
    <w:p w14:paraId="102BE714" w14:textId="63B1FD04" w:rsidR="00F861CF" w:rsidRDefault="00F861CF" w:rsidP="00870751">
      <w:pPr>
        <w:pStyle w:val="APDCodeIdentifiers"/>
      </w:pPr>
      <w:r w:rsidRPr="00EF0801">
        <w:t>For boilers located in the Beaumont/Port Arthur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OPUA6 - Codes and Descriptions"/>
      </w:tblPr>
      <w:tblGrid>
        <w:gridCol w:w="1620"/>
        <w:gridCol w:w="8460"/>
      </w:tblGrid>
      <w:tr w:rsidR="00C3211B" w14:paraId="29E843A5" w14:textId="77777777" w:rsidTr="000976F3">
        <w:trPr>
          <w:cantSplit/>
          <w:tblHeader/>
        </w:trPr>
        <w:tc>
          <w:tcPr>
            <w:tcW w:w="1620" w:type="dxa"/>
          </w:tcPr>
          <w:p w14:paraId="26C39D68" w14:textId="2FC87E82" w:rsidR="00C3211B" w:rsidRPr="00834029" w:rsidRDefault="00C3211B" w:rsidP="00C3211B">
            <w:pPr>
              <w:rPr>
                <w:b/>
                <w:bCs/>
              </w:rPr>
            </w:pPr>
            <w:r w:rsidRPr="00834029">
              <w:rPr>
                <w:b/>
                <w:bCs/>
              </w:rPr>
              <w:t>Code</w:t>
            </w:r>
          </w:p>
        </w:tc>
        <w:tc>
          <w:tcPr>
            <w:tcW w:w="8460" w:type="dxa"/>
          </w:tcPr>
          <w:p w14:paraId="397A7506" w14:textId="39AA0DE1" w:rsidR="00C3211B" w:rsidRPr="00834029" w:rsidRDefault="00C3211B" w:rsidP="00C3211B">
            <w:pPr>
              <w:rPr>
                <w:b/>
                <w:bCs/>
              </w:rPr>
            </w:pPr>
            <w:r w:rsidRPr="00834029">
              <w:rPr>
                <w:b/>
                <w:bCs/>
              </w:rPr>
              <w:t>Description</w:t>
            </w:r>
          </w:p>
        </w:tc>
      </w:tr>
      <w:tr w:rsidR="00C3211B" w14:paraId="61105FCB" w14:textId="77777777" w:rsidTr="000976F3">
        <w:trPr>
          <w:cantSplit/>
          <w:tblHeader/>
        </w:trPr>
        <w:tc>
          <w:tcPr>
            <w:tcW w:w="1620" w:type="dxa"/>
          </w:tcPr>
          <w:p w14:paraId="4E77C9F6" w14:textId="4BE3439C" w:rsidR="00C3211B" w:rsidRDefault="00C3211B" w:rsidP="00C3211B">
            <w:r w:rsidRPr="00340597">
              <w:t>105G</w:t>
            </w:r>
          </w:p>
        </w:tc>
        <w:tc>
          <w:tcPr>
            <w:tcW w:w="8460" w:type="dxa"/>
          </w:tcPr>
          <w:p w14:paraId="648BC4F9" w14:textId="68A58D76" w:rsidR="00C3211B" w:rsidRDefault="00C3211B" w:rsidP="00C3211B">
            <w:r w:rsidRPr="00340597">
              <w:t>Title 30 TAC § 117.105(g) [relating to Emission Specifications for Reasonably Available Control Technology]</w:t>
            </w:r>
          </w:p>
        </w:tc>
      </w:tr>
      <w:tr w:rsidR="00C3211B" w14:paraId="0FC4B725" w14:textId="77777777" w:rsidTr="000976F3">
        <w:trPr>
          <w:cantSplit/>
          <w:tblHeader/>
        </w:trPr>
        <w:tc>
          <w:tcPr>
            <w:tcW w:w="1620" w:type="dxa"/>
          </w:tcPr>
          <w:p w14:paraId="4C37D8B2" w14:textId="3230E73F" w:rsidR="00C3211B" w:rsidRDefault="00C3211B" w:rsidP="00C3211B">
            <w:r w:rsidRPr="00340597">
              <w:t>110C</w:t>
            </w:r>
          </w:p>
        </w:tc>
        <w:tc>
          <w:tcPr>
            <w:tcW w:w="8460" w:type="dxa"/>
          </w:tcPr>
          <w:p w14:paraId="1580F85D" w14:textId="19242DA3" w:rsidR="00C3211B" w:rsidRDefault="00C3211B" w:rsidP="00C3211B">
            <w:r w:rsidRPr="00340597">
              <w:t>Title 30 TAC § 117.110(c)(2) [relating to Emission Specifications for Attainment Demonstration]</w:t>
            </w:r>
          </w:p>
        </w:tc>
      </w:tr>
      <w:tr w:rsidR="00C3211B" w14:paraId="1E2500C2" w14:textId="77777777" w:rsidTr="000976F3">
        <w:trPr>
          <w:cantSplit/>
          <w:tblHeader/>
        </w:trPr>
        <w:tc>
          <w:tcPr>
            <w:tcW w:w="1620" w:type="dxa"/>
          </w:tcPr>
          <w:p w14:paraId="08B2B221" w14:textId="1BF78036" w:rsidR="00C3211B" w:rsidRDefault="00C3211B" w:rsidP="00C3211B">
            <w:r w:rsidRPr="00340597">
              <w:t>ACSS</w:t>
            </w:r>
          </w:p>
        </w:tc>
        <w:tc>
          <w:tcPr>
            <w:tcW w:w="8460" w:type="dxa"/>
          </w:tcPr>
          <w:p w14:paraId="4A684B7E" w14:textId="00FE61BA" w:rsidR="00C3211B" w:rsidRDefault="00C3211B" w:rsidP="00C3211B">
            <w:r w:rsidRPr="00340597">
              <w:t>Unit is complying with an Alternative Case Specific Specification under Title 30 TAC § 117.125(a).</w:t>
            </w:r>
          </w:p>
        </w:tc>
      </w:tr>
    </w:tbl>
    <w:p w14:paraId="1FAEC6D4" w14:textId="02A73FD9" w:rsidR="00F861CF" w:rsidRDefault="00F861CF" w:rsidP="00805BC0">
      <w:pPr>
        <w:pStyle w:val="APDCodeIdentifiers"/>
        <w:spacing w:before="120"/>
      </w:pPr>
      <w:r w:rsidRPr="00EF0801">
        <w:t>For boilers located in the Houston/Galveston/Brazoria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bottom w:w="58" w:type="dxa"/>
        </w:tblCellMar>
        <w:tblLook w:val="04A0" w:firstRow="1" w:lastRow="0" w:firstColumn="1" w:lastColumn="0" w:noHBand="0" w:noVBand="1"/>
        <w:tblDescription w:val="OPUA6 - Codes and Descriptions"/>
      </w:tblPr>
      <w:tblGrid>
        <w:gridCol w:w="1620"/>
        <w:gridCol w:w="8460"/>
      </w:tblGrid>
      <w:tr w:rsidR="00020EB7" w14:paraId="759F21E6" w14:textId="77777777" w:rsidTr="00CF372A">
        <w:trPr>
          <w:cantSplit/>
          <w:tblHeader/>
        </w:trPr>
        <w:tc>
          <w:tcPr>
            <w:tcW w:w="1620" w:type="dxa"/>
          </w:tcPr>
          <w:p w14:paraId="3CE74A0F" w14:textId="49A45038" w:rsidR="00020EB7" w:rsidRPr="00020EB7" w:rsidRDefault="00020EB7" w:rsidP="00020EB7">
            <w:pPr>
              <w:rPr>
                <w:b/>
                <w:bCs/>
              </w:rPr>
            </w:pPr>
            <w:r w:rsidRPr="00020EB7">
              <w:rPr>
                <w:b/>
                <w:bCs/>
              </w:rPr>
              <w:t>Code</w:t>
            </w:r>
          </w:p>
        </w:tc>
        <w:tc>
          <w:tcPr>
            <w:tcW w:w="8460" w:type="dxa"/>
          </w:tcPr>
          <w:p w14:paraId="1010F54C" w14:textId="3FA65381" w:rsidR="00020EB7" w:rsidRPr="00020EB7" w:rsidRDefault="00020EB7" w:rsidP="00020EB7">
            <w:pPr>
              <w:rPr>
                <w:b/>
                <w:bCs/>
              </w:rPr>
            </w:pPr>
            <w:r w:rsidRPr="00020EB7">
              <w:rPr>
                <w:b/>
                <w:bCs/>
              </w:rPr>
              <w:t>Description</w:t>
            </w:r>
          </w:p>
        </w:tc>
      </w:tr>
      <w:tr w:rsidR="00020EB7" w14:paraId="7F4BCE89" w14:textId="77777777" w:rsidTr="00CF372A">
        <w:trPr>
          <w:cantSplit/>
          <w:tblHeader/>
        </w:trPr>
        <w:tc>
          <w:tcPr>
            <w:tcW w:w="1620" w:type="dxa"/>
          </w:tcPr>
          <w:p w14:paraId="74E464B8" w14:textId="6ADE4990" w:rsidR="00020EB7" w:rsidRDefault="00020EB7" w:rsidP="00020EB7">
            <w:r w:rsidRPr="00B95F37">
              <w:t>310C</w:t>
            </w:r>
          </w:p>
        </w:tc>
        <w:tc>
          <w:tcPr>
            <w:tcW w:w="8460" w:type="dxa"/>
          </w:tcPr>
          <w:p w14:paraId="78F8E3E5" w14:textId="6CB90103" w:rsidR="00020EB7" w:rsidRDefault="00020EB7" w:rsidP="00020EB7">
            <w:r w:rsidRPr="00B95F37">
              <w:t>Title 30 TAC § 117.310(c)(2) [relating to Emission Specifications for Attainment Demonstration]</w:t>
            </w:r>
          </w:p>
        </w:tc>
      </w:tr>
      <w:tr w:rsidR="00020EB7" w14:paraId="6B3107F5" w14:textId="77777777" w:rsidTr="00CF372A">
        <w:trPr>
          <w:cantSplit/>
          <w:tblHeader/>
        </w:trPr>
        <w:tc>
          <w:tcPr>
            <w:tcW w:w="1620" w:type="dxa"/>
          </w:tcPr>
          <w:p w14:paraId="1A3F51D6" w14:textId="1068B8EB" w:rsidR="00020EB7" w:rsidRDefault="00020EB7" w:rsidP="00020EB7">
            <w:r w:rsidRPr="00B95F37">
              <w:t>ACSS</w:t>
            </w:r>
          </w:p>
        </w:tc>
        <w:tc>
          <w:tcPr>
            <w:tcW w:w="8460" w:type="dxa"/>
          </w:tcPr>
          <w:p w14:paraId="0A334028" w14:textId="1C8AC758" w:rsidR="00020EB7" w:rsidRDefault="00020EB7" w:rsidP="00020EB7">
            <w:r w:rsidRPr="00B95F37">
              <w:t>Unit is complying with an Alternative Case Specific Specification under Title 30 TAC § 117.325(a)</w:t>
            </w:r>
          </w:p>
        </w:tc>
      </w:tr>
    </w:tbl>
    <w:p w14:paraId="5A4CA4D1" w14:textId="77777777" w:rsidR="00F861CF" w:rsidRDefault="00F861CF" w:rsidP="00241963">
      <w:pPr>
        <w:pStyle w:val="APDCodeIdentifiers"/>
        <w:spacing w:before="120"/>
      </w:pPr>
      <w:r w:rsidRPr="00EF0801">
        <w:t>For boilers located in the Dallas/Fort Worth Eight-Hour ozone nonattainment area:</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
      </w:tblPr>
      <w:tblGrid>
        <w:gridCol w:w="1530"/>
        <w:gridCol w:w="8550"/>
      </w:tblGrid>
      <w:tr w:rsidR="0057652E" w14:paraId="372A28BC" w14:textId="77777777" w:rsidTr="00096283">
        <w:trPr>
          <w:cantSplit/>
          <w:tblHeader/>
        </w:trPr>
        <w:tc>
          <w:tcPr>
            <w:tcW w:w="1530" w:type="dxa"/>
          </w:tcPr>
          <w:p w14:paraId="7945F71F" w14:textId="3045D273" w:rsidR="0057652E" w:rsidRPr="0057652E" w:rsidRDefault="0057652E" w:rsidP="0057652E">
            <w:pPr>
              <w:rPr>
                <w:b/>
                <w:bCs/>
              </w:rPr>
            </w:pPr>
            <w:r w:rsidRPr="0057652E">
              <w:rPr>
                <w:b/>
                <w:bCs/>
              </w:rPr>
              <w:t>Code</w:t>
            </w:r>
          </w:p>
        </w:tc>
        <w:tc>
          <w:tcPr>
            <w:tcW w:w="8550" w:type="dxa"/>
          </w:tcPr>
          <w:p w14:paraId="0C265F7E" w14:textId="01A741A6" w:rsidR="0057652E" w:rsidRPr="0057652E" w:rsidRDefault="0057652E" w:rsidP="0057652E">
            <w:pPr>
              <w:rPr>
                <w:b/>
                <w:bCs/>
              </w:rPr>
            </w:pPr>
            <w:r w:rsidRPr="0057652E">
              <w:rPr>
                <w:b/>
                <w:bCs/>
              </w:rPr>
              <w:t>Description</w:t>
            </w:r>
          </w:p>
        </w:tc>
      </w:tr>
      <w:tr w:rsidR="0057652E" w14:paraId="1F46A176" w14:textId="77777777" w:rsidTr="00096283">
        <w:trPr>
          <w:cantSplit/>
          <w:tblHeader/>
        </w:trPr>
        <w:tc>
          <w:tcPr>
            <w:tcW w:w="1530" w:type="dxa"/>
          </w:tcPr>
          <w:p w14:paraId="67698478" w14:textId="088E35CE" w:rsidR="0057652E" w:rsidRDefault="0057652E" w:rsidP="0057652E">
            <w:r w:rsidRPr="00B46E7A">
              <w:t>410C</w:t>
            </w:r>
          </w:p>
        </w:tc>
        <w:tc>
          <w:tcPr>
            <w:tcW w:w="8550" w:type="dxa"/>
          </w:tcPr>
          <w:p w14:paraId="560BD712" w14:textId="52B2D1AA" w:rsidR="0057652E" w:rsidRDefault="0057652E" w:rsidP="0057652E">
            <w:r w:rsidRPr="00B46E7A">
              <w:t>Title 30 TAC § 117.410(c)(2) [relating to Emission Specifications for Attainment Demonstration]</w:t>
            </w:r>
          </w:p>
        </w:tc>
      </w:tr>
      <w:tr w:rsidR="0057652E" w14:paraId="21B888A1" w14:textId="77777777" w:rsidTr="00096283">
        <w:trPr>
          <w:cantSplit/>
          <w:tblHeader/>
        </w:trPr>
        <w:tc>
          <w:tcPr>
            <w:tcW w:w="1530" w:type="dxa"/>
          </w:tcPr>
          <w:p w14:paraId="73ACF020" w14:textId="31224415" w:rsidR="0057652E" w:rsidRDefault="0057652E" w:rsidP="0057652E">
            <w:r w:rsidRPr="00B46E7A">
              <w:t>405D</w:t>
            </w:r>
          </w:p>
        </w:tc>
        <w:tc>
          <w:tcPr>
            <w:tcW w:w="8550" w:type="dxa"/>
          </w:tcPr>
          <w:p w14:paraId="4C84E7AC" w14:textId="0A9AA935" w:rsidR="0057652E" w:rsidRDefault="0057652E" w:rsidP="0057652E">
            <w:r w:rsidRPr="00B46E7A">
              <w:t>Title 30 TAC § 117.405(d)(2) [use for wood fired units subject to Reasonably Available Control Technology (RACT) requirements]</w:t>
            </w:r>
          </w:p>
        </w:tc>
      </w:tr>
      <w:tr w:rsidR="0057652E" w14:paraId="6E4E84EB" w14:textId="77777777" w:rsidTr="00096283">
        <w:trPr>
          <w:cantSplit/>
          <w:tblHeader/>
        </w:trPr>
        <w:tc>
          <w:tcPr>
            <w:tcW w:w="1530" w:type="dxa"/>
          </w:tcPr>
          <w:p w14:paraId="3F5E457B" w14:textId="6A5A05FB" w:rsidR="0057652E" w:rsidRDefault="0057652E" w:rsidP="0057652E">
            <w:r w:rsidRPr="00B46E7A">
              <w:t>ACSS</w:t>
            </w:r>
          </w:p>
        </w:tc>
        <w:tc>
          <w:tcPr>
            <w:tcW w:w="8550" w:type="dxa"/>
          </w:tcPr>
          <w:p w14:paraId="1E9C53FB" w14:textId="1AA46313" w:rsidR="0057652E" w:rsidRDefault="0057652E" w:rsidP="0057652E">
            <w:r w:rsidRPr="00B46E7A">
              <w:t>Unit is complying with an Alternative Case Specific Specification under Title 30 TAC § 117.425.</w:t>
            </w:r>
          </w:p>
        </w:tc>
      </w:tr>
    </w:tbl>
    <w:p w14:paraId="1390BCC8" w14:textId="69D06B33" w:rsidR="00481070" w:rsidRDefault="00F861CF" w:rsidP="0079590C">
      <w:pPr>
        <w:pStyle w:val="APDBodyTextItalics"/>
        <w:spacing w:before="120"/>
      </w:pPr>
      <w:r w:rsidRPr="00EF0801">
        <w:t>Note: If using some other alternative, such as an alternate reasonably available control technology, alternate means of control, or emission reduction credit, the type of alternate used will need to be explained in a cover letter or some other attachment to the permit application</w:t>
      </w:r>
      <w:r w:rsidR="00C65C4F">
        <w:t>.</w:t>
      </w:r>
    </w:p>
    <w:p w14:paraId="68F5D0C0" w14:textId="77777777" w:rsidR="00F861CF" w:rsidRPr="00C21A97" w:rsidRDefault="00F861CF" w:rsidP="00C21A97">
      <w:pPr>
        <w:pStyle w:val="APDStrong"/>
      </w:pPr>
      <w:r w:rsidRPr="00C21A97">
        <w:t>NH</w:t>
      </w:r>
      <w:r w:rsidRPr="00152FDD">
        <w:rPr>
          <w:vertAlign w:val="subscript"/>
        </w:rPr>
        <w:t>3</w:t>
      </w:r>
      <w:r w:rsidRPr="00C21A97">
        <w:t xml:space="preserve"> Monitoring:</w:t>
      </w:r>
    </w:p>
    <w:p w14:paraId="39563655" w14:textId="77777777" w:rsidR="00F861CF" w:rsidRDefault="00F861CF" w:rsidP="00531001">
      <w:pPr>
        <w:tabs>
          <w:tab w:val="left" w:pos="0"/>
          <w:tab w:val="left" w:pos="6300"/>
        </w:tabs>
        <w:spacing w:after="120"/>
      </w:pPr>
      <w:r w:rsidRPr="00EF0801">
        <w:t>Select one of the following options to indicate how the unit is monitored for NH</w:t>
      </w:r>
      <w:r w:rsidRPr="00EF0801">
        <w:rPr>
          <w:vertAlign w:val="subscript"/>
        </w:rPr>
        <w:t>3</w:t>
      </w:r>
      <w:r w:rsidRPr="00EF0801">
        <w:t xml:space="preserve"> emissions.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36"/>
        <w:gridCol w:w="8644"/>
      </w:tblGrid>
      <w:tr w:rsidR="00C80C22" w14:paraId="29301E07" w14:textId="77777777" w:rsidTr="00C80C22">
        <w:trPr>
          <w:cantSplit/>
          <w:tblHeader/>
        </w:trPr>
        <w:tc>
          <w:tcPr>
            <w:tcW w:w="1530" w:type="dxa"/>
          </w:tcPr>
          <w:p w14:paraId="0A70D877" w14:textId="538853FB" w:rsidR="00C80C22" w:rsidRPr="00C80C22" w:rsidRDefault="00C80C22" w:rsidP="00C80C22">
            <w:pPr>
              <w:rPr>
                <w:b/>
                <w:bCs/>
              </w:rPr>
            </w:pPr>
            <w:r w:rsidRPr="00C80C22">
              <w:rPr>
                <w:b/>
                <w:bCs/>
              </w:rPr>
              <w:t>Code</w:t>
            </w:r>
          </w:p>
        </w:tc>
        <w:tc>
          <w:tcPr>
            <w:tcW w:w="9260" w:type="dxa"/>
          </w:tcPr>
          <w:p w14:paraId="262D0BF3" w14:textId="300A96FB" w:rsidR="00C80C22" w:rsidRPr="00C80C22" w:rsidRDefault="00C80C22" w:rsidP="00C80C22">
            <w:pPr>
              <w:rPr>
                <w:b/>
                <w:bCs/>
              </w:rPr>
            </w:pPr>
            <w:r w:rsidRPr="00C80C22">
              <w:rPr>
                <w:b/>
                <w:bCs/>
              </w:rPr>
              <w:t>Description</w:t>
            </w:r>
          </w:p>
        </w:tc>
      </w:tr>
      <w:tr w:rsidR="00C80C22" w14:paraId="31B8E6D1" w14:textId="77777777" w:rsidTr="00C80C22">
        <w:trPr>
          <w:cantSplit/>
          <w:tblHeader/>
        </w:trPr>
        <w:tc>
          <w:tcPr>
            <w:tcW w:w="1530" w:type="dxa"/>
          </w:tcPr>
          <w:p w14:paraId="35FCC796" w14:textId="214EEA03" w:rsidR="00C80C22" w:rsidRDefault="00C80C22" w:rsidP="00C80C22">
            <w:r w:rsidRPr="002921BB">
              <w:t>CEMS</w:t>
            </w:r>
          </w:p>
        </w:tc>
        <w:tc>
          <w:tcPr>
            <w:tcW w:w="9260" w:type="dxa"/>
          </w:tcPr>
          <w:p w14:paraId="3D81A58D" w14:textId="6B742BDC" w:rsidR="00C80C22" w:rsidRDefault="00C80C22" w:rsidP="00C80C22">
            <w:r w:rsidRPr="002921BB">
              <w:t>Continuous emissions monitoring system</w:t>
            </w:r>
          </w:p>
        </w:tc>
      </w:tr>
      <w:tr w:rsidR="00C80C22" w14:paraId="318869B8" w14:textId="77777777" w:rsidTr="00C80C22">
        <w:trPr>
          <w:cantSplit/>
          <w:tblHeader/>
        </w:trPr>
        <w:tc>
          <w:tcPr>
            <w:tcW w:w="1530" w:type="dxa"/>
          </w:tcPr>
          <w:p w14:paraId="1D7BBC8A" w14:textId="62C38EA8" w:rsidR="00C80C22" w:rsidRDefault="00C80C22" w:rsidP="00C80C22">
            <w:r w:rsidRPr="002921BB">
              <w:t>PEMS</w:t>
            </w:r>
          </w:p>
        </w:tc>
        <w:tc>
          <w:tcPr>
            <w:tcW w:w="9260" w:type="dxa"/>
          </w:tcPr>
          <w:p w14:paraId="2EFCC117" w14:textId="0344A711" w:rsidR="00C80C22" w:rsidRDefault="00C80C22" w:rsidP="00C80C22">
            <w:r w:rsidRPr="002921BB">
              <w:t>Predictive emissions monitoring system</w:t>
            </w:r>
          </w:p>
        </w:tc>
      </w:tr>
      <w:tr w:rsidR="00C80C22" w14:paraId="03528B00" w14:textId="77777777" w:rsidTr="00C80C22">
        <w:trPr>
          <w:cantSplit/>
          <w:tblHeader/>
        </w:trPr>
        <w:tc>
          <w:tcPr>
            <w:tcW w:w="1530" w:type="dxa"/>
          </w:tcPr>
          <w:p w14:paraId="594C93EE" w14:textId="7BC9D718" w:rsidR="00C80C22" w:rsidRDefault="00C80C22" w:rsidP="00C80C22">
            <w:r w:rsidRPr="002921BB">
              <w:t>MBAL</w:t>
            </w:r>
          </w:p>
        </w:tc>
        <w:tc>
          <w:tcPr>
            <w:tcW w:w="9260" w:type="dxa"/>
          </w:tcPr>
          <w:p w14:paraId="69D3F45D" w14:textId="094D9C1A" w:rsidR="00C80C22" w:rsidRDefault="00C80C22" w:rsidP="00C80C22">
            <w:r w:rsidRPr="002921BB">
              <w:t xml:space="preserve">Mass balance </w:t>
            </w:r>
          </w:p>
        </w:tc>
      </w:tr>
      <w:tr w:rsidR="00C80C22" w14:paraId="34294637" w14:textId="77777777" w:rsidTr="00C80C22">
        <w:trPr>
          <w:cantSplit/>
          <w:tblHeader/>
        </w:trPr>
        <w:tc>
          <w:tcPr>
            <w:tcW w:w="1530" w:type="dxa"/>
          </w:tcPr>
          <w:p w14:paraId="10AB321B" w14:textId="016A368A" w:rsidR="00C80C22" w:rsidRDefault="00C80C22" w:rsidP="00C80C22">
            <w:r w:rsidRPr="002921BB">
              <w:t>OXY</w:t>
            </w:r>
          </w:p>
        </w:tc>
        <w:tc>
          <w:tcPr>
            <w:tcW w:w="9260" w:type="dxa"/>
          </w:tcPr>
          <w:p w14:paraId="12ADE4A5" w14:textId="62BAFC3C" w:rsidR="00C80C22" w:rsidRDefault="00C80C22" w:rsidP="00C80C22">
            <w:r w:rsidRPr="002921BB">
              <w:t>Oxidation of ammonia to nitric oxide (NO)</w:t>
            </w:r>
          </w:p>
        </w:tc>
      </w:tr>
      <w:tr w:rsidR="00C80C22" w14:paraId="585C27AA" w14:textId="77777777" w:rsidTr="00C80C22">
        <w:trPr>
          <w:cantSplit/>
          <w:tblHeader/>
        </w:trPr>
        <w:tc>
          <w:tcPr>
            <w:tcW w:w="1530" w:type="dxa"/>
          </w:tcPr>
          <w:p w14:paraId="2E776F44" w14:textId="3A6B7B2A" w:rsidR="00C80C22" w:rsidRDefault="00C80C22" w:rsidP="00C80C22">
            <w:r w:rsidRPr="002921BB">
              <w:t>STUBE</w:t>
            </w:r>
          </w:p>
        </w:tc>
        <w:tc>
          <w:tcPr>
            <w:tcW w:w="9260" w:type="dxa"/>
          </w:tcPr>
          <w:p w14:paraId="36F461E4" w14:textId="4860D8BE" w:rsidR="00C80C22" w:rsidRDefault="00C80C22" w:rsidP="00C80C22">
            <w:r w:rsidRPr="002921BB">
              <w:t>Stain tube</w:t>
            </w:r>
          </w:p>
        </w:tc>
      </w:tr>
    </w:tbl>
    <w:p w14:paraId="3283B6E0" w14:textId="77777777" w:rsidR="0067701F" w:rsidRDefault="0067701F" w:rsidP="00F861CF">
      <w:pPr>
        <w:pBdr>
          <w:bottom w:val="double" w:sz="6" w:space="1" w:color="auto"/>
        </w:pBdr>
        <w:sectPr w:rsidR="0067701F" w:rsidSect="0031268E">
          <w:pgSz w:w="12240" w:h="15840" w:code="1"/>
          <w:pgMar w:top="720" w:right="720" w:bottom="720" w:left="720" w:header="720" w:footer="720" w:gutter="0"/>
          <w:cols w:space="720"/>
          <w:titlePg/>
          <w:docGrid w:linePitch="360"/>
        </w:sectPr>
      </w:pPr>
    </w:p>
    <w:p w14:paraId="04B478E0" w14:textId="77777777" w:rsidR="00F861CF" w:rsidRPr="00EF0801" w:rsidRDefault="00F861CF" w:rsidP="00F861CF">
      <w:pPr>
        <w:pBdr>
          <w:bottom w:val="double" w:sz="6" w:space="1" w:color="auto"/>
        </w:pBdr>
      </w:pPr>
    </w:p>
    <w:bookmarkStart w:id="71" w:name="Table_6a"/>
    <w:p w14:paraId="2ADE6F53" w14:textId="60C620BD" w:rsidR="00F861CF" w:rsidRPr="006D67FD" w:rsidRDefault="00BE1913" w:rsidP="00A85DB6">
      <w:pPr>
        <w:pStyle w:val="APDChapterTitles"/>
        <w:rPr>
          <w:rStyle w:val="APDTableChapterChar"/>
          <w:rFonts w:eastAsia="Calibri"/>
          <w:b/>
          <w:bCs w:val="0"/>
        </w:rPr>
      </w:pPr>
      <w:r w:rsidRPr="002524A1">
        <w:rPr>
          <w:rStyle w:val="Hyperlink"/>
          <w:rFonts w:eastAsia="Calibri"/>
          <w:b/>
          <w:bCs w:val="0"/>
        </w:rPr>
        <w:fldChar w:fldCharType="begin"/>
      </w:r>
      <w:r w:rsidR="00AB6ED7" w:rsidRPr="002524A1">
        <w:rPr>
          <w:rStyle w:val="Hyperlink"/>
          <w:rFonts w:eastAsia="Calibri"/>
          <w:b/>
          <w:bCs w:val="0"/>
        </w:rPr>
        <w:instrText>HYPERLINK  \l "TBL_6a" \o "Table 6a"</w:instrText>
      </w:r>
      <w:r w:rsidRPr="002524A1">
        <w:rPr>
          <w:rStyle w:val="Hyperlink"/>
          <w:rFonts w:eastAsia="Calibri"/>
          <w:b/>
          <w:bCs w:val="0"/>
        </w:rPr>
      </w:r>
      <w:r w:rsidRPr="002524A1">
        <w:rPr>
          <w:rStyle w:val="Hyperlink"/>
          <w:rFonts w:eastAsia="Calibri"/>
          <w:b/>
          <w:bCs w:val="0"/>
        </w:rPr>
        <w:fldChar w:fldCharType="separate"/>
      </w:r>
      <w:bookmarkStart w:id="72" w:name="_Toc180398503"/>
      <w:bookmarkStart w:id="73" w:name="_Toc180398557"/>
      <w:r w:rsidR="00F861CF" w:rsidRPr="002524A1">
        <w:rPr>
          <w:rStyle w:val="Hyperlink"/>
          <w:rFonts w:eastAsia="Calibri"/>
          <w:b/>
          <w:bCs w:val="0"/>
        </w:rPr>
        <w:t>Table 6a</w:t>
      </w:r>
      <w:r w:rsidRPr="002524A1">
        <w:rPr>
          <w:rStyle w:val="Hyperlink"/>
          <w:rFonts w:eastAsia="Calibri"/>
          <w:b/>
          <w:bCs w:val="0"/>
        </w:rPr>
        <w:fldChar w:fldCharType="end"/>
      </w:r>
      <w:bookmarkEnd w:id="71"/>
      <w:r w:rsidR="00F861CF" w:rsidRPr="002524A1">
        <w:rPr>
          <w:rStyle w:val="Hyperlink"/>
          <w:rFonts w:eastAsia="Calibri"/>
          <w:b/>
          <w:bCs w:val="0"/>
        </w:rPr>
        <w:t>:</w:t>
      </w:r>
      <w:r w:rsidR="00F861CF" w:rsidRPr="00EF0801">
        <w:rPr>
          <w:rFonts w:eastAsia="Calibri"/>
          <w:szCs w:val="20"/>
        </w:rPr>
        <w:tab/>
      </w:r>
      <w:r w:rsidR="00F861CF" w:rsidRPr="006D67FD">
        <w:rPr>
          <w:rStyle w:val="APDTableChapterChar"/>
          <w:rFonts w:eastAsia="Calibri"/>
          <w:b/>
        </w:rPr>
        <w:t>Title 30 Texas Administrative Code Chapter 117 (30 TAC Chapter 117)</w:t>
      </w:r>
      <w:r w:rsidR="00400ED5" w:rsidRPr="006D67FD">
        <w:rPr>
          <w:rStyle w:val="APDTableChapterChar"/>
          <w:rFonts w:eastAsia="Calibri"/>
          <w:b/>
        </w:rPr>
        <w:t xml:space="preserve">, </w:t>
      </w:r>
      <w:r w:rsidR="00F861CF" w:rsidRPr="006D67FD">
        <w:rPr>
          <w:rStyle w:val="APDTableChapterChar"/>
          <w:rFonts w:eastAsia="Calibri"/>
          <w:b/>
        </w:rPr>
        <w:t>Subchapter C: Combustion Control at Major Utility Electric Generation Sources in Ozone Nonattainment Areas</w:t>
      </w:r>
      <w:bookmarkEnd w:id="72"/>
      <w:bookmarkEnd w:id="73"/>
    </w:p>
    <w:p w14:paraId="32618FBB" w14:textId="77777777" w:rsidR="00F861CF" w:rsidRPr="00EF0801" w:rsidRDefault="00F861CF" w:rsidP="00390EE3">
      <w:pPr>
        <w:pStyle w:val="APDCompleteStar"/>
      </w:pPr>
      <w:r w:rsidRPr="00EF0801">
        <w:t>Complete Tables 6a and 6b only for utility boilers or auxiliary steam boilers that are:</w:t>
      </w:r>
    </w:p>
    <w:p w14:paraId="63D3C4D6" w14:textId="77777777" w:rsidR="00F861CF" w:rsidRPr="000B6F8A" w:rsidRDefault="00F861CF" w:rsidP="006F69A1">
      <w:pPr>
        <w:pStyle w:val="APDBulletListBold"/>
      </w:pPr>
      <w:r w:rsidRPr="000B6F8A">
        <w:t>included in an SOP application;</w:t>
      </w:r>
    </w:p>
    <w:p w14:paraId="4E331FA8" w14:textId="354FA003" w:rsidR="00F861CF" w:rsidRPr="000B6F8A" w:rsidRDefault="00F861CF" w:rsidP="006F69A1">
      <w:pPr>
        <w:pStyle w:val="APDBulletListBold"/>
      </w:pPr>
      <w:r w:rsidRPr="000B6F8A">
        <w:t xml:space="preserve">used in an electric power generating system owned or operated by an electric cooperative, municipality, river authority, public </w:t>
      </w:r>
      <w:r w:rsidR="00D27F86" w:rsidRPr="000B6F8A">
        <w:t>utility,</w:t>
      </w:r>
      <w:r w:rsidRPr="000B6F8A">
        <w:t xml:space="preserve"> or a Public Utility Commission (PUC) of Texas regulated utility or any of their successors; and</w:t>
      </w:r>
    </w:p>
    <w:p w14:paraId="1A5248AD" w14:textId="19A974E3" w:rsidR="00F861CF" w:rsidRPr="000B6F8A" w:rsidRDefault="00F861CF" w:rsidP="006F69A1">
      <w:pPr>
        <w:pStyle w:val="APDBulletListBold"/>
        <w:spacing w:after="120"/>
      </w:pPr>
      <w:r w:rsidRPr="000B6F8A">
        <w:t>located within the Houston/Galveston/Brazoria, Beaumont/Port Arthur, or Dallas/Fort Worth Eight</w:t>
      </w:r>
      <w:r w:rsidR="009E6A19">
        <w:noBreakHyphen/>
      </w:r>
      <w:r w:rsidRPr="000B6F8A">
        <w:t>Hour ozone nonattainment areas.</w:t>
      </w:r>
    </w:p>
    <w:p w14:paraId="61BAC3C0" w14:textId="4190C3F1" w:rsidR="00AF345A" w:rsidRDefault="00F861CF" w:rsidP="006F69A1">
      <w:pPr>
        <w:pStyle w:val="APDBodyText"/>
      </w:pPr>
      <w:r w:rsidRPr="00EF0801">
        <w:t xml:space="preserve">The Dallas/Fort Worth Eight-Hour ozone nonattainment area consists of Collin, Dallas, Denton, Ellis, Johnson, Kaufman, Parker, </w:t>
      </w:r>
      <w:r w:rsidR="00D27F86" w:rsidRPr="00EF0801">
        <w:t>Rockwall,</w:t>
      </w:r>
      <w:r w:rsidR="000B7D42" w:rsidRPr="00EF0801">
        <w:t xml:space="preserve"> and Tarrant counties. </w:t>
      </w:r>
    </w:p>
    <w:p w14:paraId="54F491B6" w14:textId="6C331013" w:rsidR="00F861CF" w:rsidRPr="00EF0801" w:rsidRDefault="00F861CF" w:rsidP="006F69A1">
      <w:pPr>
        <w:pStyle w:val="APDBodyText"/>
      </w:pPr>
      <w:r w:rsidRPr="00EF0801">
        <w:t>Sites located in Parker County have applicability under both 30 TAC Chapter 117, Subchapter C</w:t>
      </w:r>
      <w:r w:rsidR="00270BF5">
        <w:t>:</w:t>
      </w:r>
      <w:r w:rsidRPr="00EF0801">
        <w:t xml:space="preserve"> Division 4 and under 30 TAC Chapter 117, Subchapter E</w:t>
      </w:r>
      <w:r w:rsidR="00270BF5">
        <w:t>:</w:t>
      </w:r>
      <w:r w:rsidRPr="00EF0801">
        <w:t xml:space="preserve"> Division 1: Utility Electric Generation in East and Central Texas and should complete both Tables 6a - 6b and Tables 9a - 9c to determine requirements.</w:t>
      </w:r>
    </w:p>
    <w:p w14:paraId="2017C83B" w14:textId="77777777" w:rsidR="008C7C68" w:rsidRDefault="00F861CF" w:rsidP="008C7C68">
      <w:pPr>
        <w:pStyle w:val="APDBodyText"/>
      </w:pPr>
      <w:r w:rsidRPr="00EF0801">
        <w:t>Independent power producers in Parker County are subject only to the requirements of 30 TAC Chapter 117, Subchapter E</w:t>
      </w:r>
      <w:r w:rsidR="00270BF5">
        <w:t>:</w:t>
      </w:r>
      <w:r w:rsidRPr="00EF0801">
        <w:t xml:space="preserve"> Division 1: Utility Electric Generation in East and Central Texas and should complete only Tables 9a - 9c.</w:t>
      </w:r>
    </w:p>
    <w:p w14:paraId="628DE0DA" w14:textId="55E07C92" w:rsidR="00F861CF" w:rsidRPr="008C7C68" w:rsidRDefault="00F861CF" w:rsidP="008C7C68">
      <w:pPr>
        <w:pStyle w:val="APDBodyText"/>
        <w:rPr>
          <w:b/>
          <w:bCs/>
        </w:rPr>
      </w:pPr>
      <w:r w:rsidRPr="008C7C68">
        <w:rPr>
          <w:b/>
          <w:bCs/>
        </w:rPr>
        <w:t xml:space="preserve">Unit ID </w:t>
      </w:r>
      <w:r w:rsidR="00B42127" w:rsidRPr="008C7C68">
        <w:rPr>
          <w:b/>
          <w:bCs/>
        </w:rPr>
        <w:t>N</w:t>
      </w:r>
      <w:r w:rsidR="00FF547C" w:rsidRPr="008C7C68">
        <w:rPr>
          <w:b/>
          <w:bCs/>
        </w:rPr>
        <w:t>o</w:t>
      </w:r>
      <w:r w:rsidRPr="008C7C68">
        <w:rPr>
          <w:b/>
          <w:bCs/>
        </w:rPr>
        <w:t>.:</w:t>
      </w:r>
    </w:p>
    <w:p w14:paraId="77F7EDF3" w14:textId="61F374CC" w:rsidR="00F861CF" w:rsidRPr="00056A48" w:rsidRDefault="00F861CF" w:rsidP="00056A48">
      <w:pPr>
        <w:pStyle w:val="APDBodyText"/>
      </w:pPr>
      <w:r w:rsidRPr="00056A48">
        <w:t xml:space="preserve">Enter the identification number (ID </w:t>
      </w:r>
      <w:r w:rsidR="00B42127">
        <w:t>N</w:t>
      </w:r>
      <w:r w:rsidR="005667BA">
        <w:t>o</w:t>
      </w:r>
      <w:r w:rsidRPr="00056A48">
        <w:t>.) for the unit (maximum 10 characters) as li</w:t>
      </w:r>
      <w:r w:rsidR="007743B4" w:rsidRPr="00056A48">
        <w:t>sted on Form OP</w:t>
      </w:r>
      <w:r w:rsidR="007743B4" w:rsidRPr="00056A48">
        <w:noBreakHyphen/>
        <w:t>SUM (Individual</w:t>
      </w:r>
      <w:r w:rsidR="00B239B6" w:rsidRPr="00056A48">
        <w:t> </w:t>
      </w:r>
      <w:r w:rsidRPr="00056A48">
        <w:t>Unit Summary).</w:t>
      </w:r>
    </w:p>
    <w:p w14:paraId="7D706C8C" w14:textId="49C891D9" w:rsidR="00F861CF" w:rsidRPr="00C21A97" w:rsidRDefault="00F861CF" w:rsidP="00C21A97">
      <w:pPr>
        <w:pStyle w:val="APDStrong"/>
      </w:pPr>
      <w:r w:rsidRPr="00C21A97">
        <w:t xml:space="preserve">SOP Index </w:t>
      </w:r>
      <w:r w:rsidR="00B42127">
        <w:t>N</w:t>
      </w:r>
      <w:r w:rsidR="00FF547C">
        <w:t>o</w:t>
      </w:r>
      <w:r w:rsidRPr="00C21A97">
        <w:t>.:</w:t>
      </w:r>
    </w:p>
    <w:p w14:paraId="15086383" w14:textId="55842FA8" w:rsidR="00775600" w:rsidRPr="00EF0801" w:rsidRDefault="00F861CF" w:rsidP="00056A48">
      <w:pPr>
        <w:pStyle w:val="APDBodyText"/>
      </w:pPr>
      <w:r w:rsidRPr="00056A48">
        <w:t xml:space="preserve">Site operating permit (SOP) applicants should indicate the SOP index number for the </w:t>
      </w:r>
      <w:r w:rsidR="007743B4" w:rsidRPr="00056A48">
        <w:t>unit or group of units (maximum</w:t>
      </w:r>
      <w:r w:rsidR="00B239B6" w:rsidRPr="00056A48">
        <w:t> </w:t>
      </w:r>
      <w:r w:rsidR="007743B4" w:rsidRPr="00056A48">
        <w:t>15</w:t>
      </w:r>
      <w:r w:rsidR="00FB050E" w:rsidRPr="00056A48">
        <w:t> </w:t>
      </w:r>
      <w:r w:rsidRPr="00056A48">
        <w:t xml:space="preserve">characters consisting of numeric, alphanumeric characters, and/or dashes prefixed by a code for the applicable regulation [i.e., 60KB-XXXX]). For additional information relating to SOP index numbers, </w:t>
      </w:r>
      <w:r w:rsidR="00775600" w:rsidRPr="00056A48">
        <w:t>please see the Completing FOP Applications – Additional Guidance on the TCEQ website at</w:t>
      </w:r>
      <w:r w:rsidR="00775600" w:rsidRPr="00EF0801">
        <w:t xml:space="preserve"> </w:t>
      </w:r>
      <w:hyperlink r:id="rId29" w:tooltip="TCEQ - Completing FOP Applications - Additional Guidance" w:history="1">
        <w:r w:rsidR="00775600" w:rsidRPr="00F47022">
          <w:rPr>
            <w:rStyle w:val="Hyperlink"/>
          </w:rPr>
          <w:t>www.tceq.texas.gov/permitting/air/guidance/titlev/tv_fop_guidance.html</w:t>
        </w:r>
      </w:hyperlink>
      <w:r w:rsidR="00775600" w:rsidRPr="00EF0801">
        <w:t>.</w:t>
      </w:r>
    </w:p>
    <w:p w14:paraId="13DAE4DB" w14:textId="77777777" w:rsidR="00F861CF" w:rsidRPr="00C21A97" w:rsidRDefault="00F861CF" w:rsidP="00C21A97">
      <w:pPr>
        <w:pStyle w:val="APDStrong"/>
      </w:pPr>
      <w:r w:rsidRPr="00C21A97">
        <w:t>Date Placed in Service:</w:t>
      </w:r>
    </w:p>
    <w:p w14:paraId="4F8A50B7" w14:textId="77777777" w:rsidR="00F861CF" w:rsidRDefault="00F861CF" w:rsidP="00056A48">
      <w:pPr>
        <w:pStyle w:val="APDBodyText"/>
      </w:pPr>
      <w:r w:rsidRPr="00056A48">
        <w:t>Select one of the following options for the date the unit was placed in service.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36"/>
        <w:gridCol w:w="8644"/>
      </w:tblGrid>
      <w:tr w:rsidR="00AA3228" w14:paraId="5E8F444D" w14:textId="77777777" w:rsidTr="003231D9">
        <w:trPr>
          <w:cantSplit/>
          <w:tblHeader/>
        </w:trPr>
        <w:tc>
          <w:tcPr>
            <w:tcW w:w="1530" w:type="dxa"/>
          </w:tcPr>
          <w:p w14:paraId="27CD2163" w14:textId="6C1FA126" w:rsidR="00AA3228" w:rsidRPr="00AA3228" w:rsidRDefault="00AA3228" w:rsidP="00AA3228">
            <w:pPr>
              <w:rPr>
                <w:b/>
                <w:bCs/>
              </w:rPr>
            </w:pPr>
            <w:r w:rsidRPr="00AA3228">
              <w:rPr>
                <w:b/>
                <w:bCs/>
              </w:rPr>
              <w:t>Code</w:t>
            </w:r>
          </w:p>
        </w:tc>
        <w:tc>
          <w:tcPr>
            <w:tcW w:w="9260" w:type="dxa"/>
          </w:tcPr>
          <w:p w14:paraId="03869F05" w14:textId="14761695" w:rsidR="00AA3228" w:rsidRPr="00AA3228" w:rsidRDefault="00AA3228" w:rsidP="00AA3228">
            <w:pPr>
              <w:rPr>
                <w:b/>
                <w:bCs/>
              </w:rPr>
            </w:pPr>
            <w:r w:rsidRPr="00AA3228">
              <w:rPr>
                <w:b/>
                <w:bCs/>
              </w:rPr>
              <w:t>Description</w:t>
            </w:r>
          </w:p>
        </w:tc>
      </w:tr>
      <w:tr w:rsidR="00AA3228" w14:paraId="3DF378FC" w14:textId="77777777" w:rsidTr="003231D9">
        <w:trPr>
          <w:cantSplit/>
          <w:tblHeader/>
        </w:trPr>
        <w:tc>
          <w:tcPr>
            <w:tcW w:w="1530" w:type="dxa"/>
          </w:tcPr>
          <w:p w14:paraId="393C34BC" w14:textId="114D1BA3" w:rsidR="00AA3228" w:rsidRDefault="00AA3228" w:rsidP="00AA3228">
            <w:r w:rsidRPr="0003215E">
              <w:t>92-</w:t>
            </w:r>
          </w:p>
        </w:tc>
        <w:tc>
          <w:tcPr>
            <w:tcW w:w="9260" w:type="dxa"/>
          </w:tcPr>
          <w:p w14:paraId="55BFE650" w14:textId="5629F6F5" w:rsidR="00AA3228" w:rsidRDefault="00AA3228" w:rsidP="00AA3228">
            <w:r w:rsidRPr="0003215E">
              <w:t>On or before November 15, 1992</w:t>
            </w:r>
          </w:p>
        </w:tc>
      </w:tr>
      <w:tr w:rsidR="00AA3228" w14:paraId="250BA275" w14:textId="77777777" w:rsidTr="003231D9">
        <w:trPr>
          <w:cantSplit/>
          <w:tblHeader/>
        </w:trPr>
        <w:tc>
          <w:tcPr>
            <w:tcW w:w="1530" w:type="dxa"/>
          </w:tcPr>
          <w:p w14:paraId="407520EE" w14:textId="22F3FE6E" w:rsidR="00AA3228" w:rsidRDefault="00AA3228" w:rsidP="00AA3228">
            <w:r w:rsidRPr="0003215E">
              <w:t>92-93</w:t>
            </w:r>
          </w:p>
        </w:tc>
        <w:tc>
          <w:tcPr>
            <w:tcW w:w="9260" w:type="dxa"/>
          </w:tcPr>
          <w:p w14:paraId="687D2BF1" w14:textId="05748B3F" w:rsidR="00AA3228" w:rsidRDefault="00AA3228" w:rsidP="00AA3228">
            <w:r w:rsidRPr="0003215E">
              <w:t>After November 15, 1992, and on or before June 9, 1993</w:t>
            </w:r>
          </w:p>
        </w:tc>
      </w:tr>
      <w:tr w:rsidR="00AA3228" w14:paraId="544FBC33" w14:textId="77777777" w:rsidTr="003231D9">
        <w:trPr>
          <w:cantSplit/>
          <w:tblHeader/>
        </w:trPr>
        <w:tc>
          <w:tcPr>
            <w:tcW w:w="1530" w:type="dxa"/>
          </w:tcPr>
          <w:p w14:paraId="4A64172E" w14:textId="630E95B9" w:rsidR="00AA3228" w:rsidRDefault="00AA3228" w:rsidP="00AA3228">
            <w:r w:rsidRPr="0003215E">
              <w:t>93-FCD</w:t>
            </w:r>
          </w:p>
        </w:tc>
        <w:tc>
          <w:tcPr>
            <w:tcW w:w="9260" w:type="dxa"/>
          </w:tcPr>
          <w:p w14:paraId="7CDA0DC8" w14:textId="4192CFFF" w:rsidR="00AA3228" w:rsidRDefault="00AA3228" w:rsidP="00AA3228">
            <w:r w:rsidRPr="0003215E">
              <w:t>After June 9, 1993, and before the final compliance date in 30 TAC §§ 117.9100 or 117.9120</w:t>
            </w:r>
          </w:p>
        </w:tc>
      </w:tr>
      <w:tr w:rsidR="00AA3228" w14:paraId="5C6D3AC5" w14:textId="77777777" w:rsidTr="003231D9">
        <w:trPr>
          <w:cantSplit/>
          <w:tblHeader/>
        </w:trPr>
        <w:tc>
          <w:tcPr>
            <w:tcW w:w="1530" w:type="dxa"/>
          </w:tcPr>
          <w:p w14:paraId="11F3C4D3" w14:textId="384231CB" w:rsidR="00AA3228" w:rsidRDefault="00AA3228" w:rsidP="00AA3228">
            <w:r w:rsidRPr="0003215E">
              <w:t>FCD+</w:t>
            </w:r>
          </w:p>
        </w:tc>
        <w:tc>
          <w:tcPr>
            <w:tcW w:w="9260" w:type="dxa"/>
          </w:tcPr>
          <w:p w14:paraId="4FD29364" w14:textId="5E7D0F83" w:rsidR="00AA3228" w:rsidRDefault="00AA3228" w:rsidP="00AA3228">
            <w:r w:rsidRPr="0003215E">
              <w:t>On or after the final compliance date in 30 TAC §§ 117.9100 or 117.9120</w:t>
            </w:r>
          </w:p>
        </w:tc>
      </w:tr>
    </w:tbl>
    <w:p w14:paraId="685AB8FA" w14:textId="6E16727F" w:rsidR="00D108F5" w:rsidRDefault="00F861CF" w:rsidP="00390EE3">
      <w:pPr>
        <w:pStyle w:val="APDCompleteStar"/>
      </w:pPr>
      <w:r w:rsidRPr="00EF0801">
        <w:t>Complete “Functionally Identical Replacement” only if “Date Placed in Service” is “92-93,” or “93-FCD,” or “FCD+” and located in Beaumont/Port Arthur ozone nonattainment area.</w:t>
      </w:r>
    </w:p>
    <w:p w14:paraId="7B7747AE" w14:textId="77777777" w:rsidR="00F861CF" w:rsidRPr="00C21A97" w:rsidRDefault="00F861CF" w:rsidP="00C21A97">
      <w:pPr>
        <w:pStyle w:val="APDStrong"/>
      </w:pPr>
      <w:r w:rsidRPr="00C21A97">
        <w:t>Functionally Identical Replacement:</w:t>
      </w:r>
    </w:p>
    <w:p w14:paraId="2A05CE88" w14:textId="77777777" w:rsidR="00F861CF" w:rsidRDefault="00F861CF" w:rsidP="00056A48">
      <w:pPr>
        <w:pStyle w:val="APDBodyText"/>
      </w:pPr>
      <w:r w:rsidRPr="00056A48">
        <w:t>Select one of the following codes to identify if the unit is a functionally identical replacement for a unit or group of units.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6F0764" w14:paraId="07995855" w14:textId="77777777" w:rsidTr="00540018">
        <w:trPr>
          <w:cantSplit/>
          <w:tblHeader/>
        </w:trPr>
        <w:tc>
          <w:tcPr>
            <w:tcW w:w="1530" w:type="dxa"/>
          </w:tcPr>
          <w:p w14:paraId="3DBDB0EF" w14:textId="1AD08694" w:rsidR="006F0764" w:rsidRPr="006F0764" w:rsidRDefault="006F0764" w:rsidP="006F0764">
            <w:pPr>
              <w:rPr>
                <w:b/>
                <w:bCs/>
              </w:rPr>
            </w:pPr>
            <w:r w:rsidRPr="006F0764">
              <w:rPr>
                <w:b/>
                <w:bCs/>
              </w:rPr>
              <w:t>Code</w:t>
            </w:r>
          </w:p>
        </w:tc>
        <w:tc>
          <w:tcPr>
            <w:tcW w:w="8550" w:type="dxa"/>
          </w:tcPr>
          <w:p w14:paraId="31398B14" w14:textId="4CC7A498" w:rsidR="006F0764" w:rsidRPr="006F0764" w:rsidRDefault="006F0764" w:rsidP="006F0764">
            <w:pPr>
              <w:rPr>
                <w:b/>
                <w:bCs/>
              </w:rPr>
            </w:pPr>
            <w:r w:rsidRPr="006F0764">
              <w:rPr>
                <w:b/>
                <w:bCs/>
              </w:rPr>
              <w:t>Description</w:t>
            </w:r>
          </w:p>
        </w:tc>
      </w:tr>
      <w:tr w:rsidR="006F0764" w14:paraId="3526FCBD" w14:textId="77777777" w:rsidTr="00540018">
        <w:trPr>
          <w:cantSplit/>
          <w:tblHeader/>
        </w:trPr>
        <w:tc>
          <w:tcPr>
            <w:tcW w:w="1530" w:type="dxa"/>
          </w:tcPr>
          <w:p w14:paraId="20DE7518" w14:textId="22024A57" w:rsidR="006F0764" w:rsidRDefault="006F0764" w:rsidP="006F0764">
            <w:r w:rsidRPr="00500FCD">
              <w:t>YES</w:t>
            </w:r>
          </w:p>
        </w:tc>
        <w:tc>
          <w:tcPr>
            <w:tcW w:w="8550" w:type="dxa"/>
          </w:tcPr>
          <w:p w14:paraId="113EE6C0" w14:textId="4CEAAD64" w:rsidR="006F0764" w:rsidRDefault="006F0764" w:rsidP="006F0764">
            <w:r w:rsidRPr="00500FCD">
              <w:t>Unit is a functionally identical replacement</w:t>
            </w:r>
          </w:p>
        </w:tc>
      </w:tr>
      <w:tr w:rsidR="006F0764" w14:paraId="3CA7D359" w14:textId="77777777" w:rsidTr="00540018">
        <w:trPr>
          <w:cantSplit/>
          <w:tblHeader/>
        </w:trPr>
        <w:tc>
          <w:tcPr>
            <w:tcW w:w="1530" w:type="dxa"/>
          </w:tcPr>
          <w:p w14:paraId="33BA9FD9" w14:textId="620AC199" w:rsidR="006F0764" w:rsidRDefault="006F0764" w:rsidP="006F0764">
            <w:r w:rsidRPr="00500FCD">
              <w:t>NO</w:t>
            </w:r>
          </w:p>
        </w:tc>
        <w:tc>
          <w:tcPr>
            <w:tcW w:w="8550" w:type="dxa"/>
          </w:tcPr>
          <w:p w14:paraId="199322B9" w14:textId="51B1F67A" w:rsidR="006F0764" w:rsidRDefault="006F0764" w:rsidP="006F0764">
            <w:r w:rsidRPr="00500FCD">
              <w:t>Unit is not a functionally identical replacement</w:t>
            </w:r>
          </w:p>
        </w:tc>
      </w:tr>
    </w:tbl>
    <w:p w14:paraId="332DEA0E" w14:textId="77777777" w:rsidR="00165B24" w:rsidRDefault="00165B24" w:rsidP="003E2D66">
      <w:pPr>
        <w:pStyle w:val="APDStrong"/>
        <w:spacing w:before="120"/>
        <w:sectPr w:rsidR="00165B24" w:rsidSect="0031268E">
          <w:pgSz w:w="12240" w:h="15840" w:code="1"/>
          <w:pgMar w:top="720" w:right="720" w:bottom="720" w:left="720" w:header="720" w:footer="720" w:gutter="0"/>
          <w:cols w:space="720"/>
          <w:titlePg/>
          <w:docGrid w:linePitch="360"/>
        </w:sectPr>
      </w:pPr>
    </w:p>
    <w:p w14:paraId="43F57F36" w14:textId="11DBD078" w:rsidR="00F861CF" w:rsidRPr="00C21A97" w:rsidRDefault="00F861CF" w:rsidP="003E2D66">
      <w:pPr>
        <w:pStyle w:val="APDStrong"/>
        <w:spacing w:before="120"/>
      </w:pPr>
      <w:r w:rsidRPr="00C21A97">
        <w:lastRenderedPageBreak/>
        <w:t>Annual Heat Input:</w:t>
      </w:r>
    </w:p>
    <w:p w14:paraId="3C1E2457" w14:textId="77777777" w:rsidR="00F861CF" w:rsidRDefault="00F861CF" w:rsidP="00056A48">
      <w:pPr>
        <w:pStyle w:val="APDBodyText"/>
      </w:pPr>
      <w:r w:rsidRPr="00056A48">
        <w:t>Select one of the following options for the annual heat input.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C01716" w14:paraId="34B01F25" w14:textId="77777777" w:rsidTr="00540018">
        <w:trPr>
          <w:cantSplit/>
          <w:tblHeader/>
        </w:trPr>
        <w:tc>
          <w:tcPr>
            <w:tcW w:w="1530" w:type="dxa"/>
          </w:tcPr>
          <w:p w14:paraId="50773F49" w14:textId="4989D2D8" w:rsidR="00C01716" w:rsidRPr="00C01716" w:rsidRDefault="00C01716" w:rsidP="00C01716">
            <w:pPr>
              <w:rPr>
                <w:b/>
                <w:bCs/>
              </w:rPr>
            </w:pPr>
            <w:r w:rsidRPr="00C01716">
              <w:rPr>
                <w:b/>
                <w:bCs/>
              </w:rPr>
              <w:t>Code</w:t>
            </w:r>
          </w:p>
        </w:tc>
        <w:tc>
          <w:tcPr>
            <w:tcW w:w="8550" w:type="dxa"/>
          </w:tcPr>
          <w:p w14:paraId="09C3B980" w14:textId="476A760F" w:rsidR="00C01716" w:rsidRPr="00C01716" w:rsidRDefault="00C01716" w:rsidP="00C01716">
            <w:pPr>
              <w:rPr>
                <w:b/>
                <w:bCs/>
              </w:rPr>
            </w:pPr>
            <w:r w:rsidRPr="00C01716">
              <w:rPr>
                <w:b/>
                <w:bCs/>
              </w:rPr>
              <w:t>Description</w:t>
            </w:r>
          </w:p>
        </w:tc>
      </w:tr>
      <w:tr w:rsidR="00C01716" w14:paraId="7F1D2495" w14:textId="77777777" w:rsidTr="00540018">
        <w:trPr>
          <w:cantSplit/>
          <w:tblHeader/>
        </w:trPr>
        <w:tc>
          <w:tcPr>
            <w:tcW w:w="1530" w:type="dxa"/>
          </w:tcPr>
          <w:p w14:paraId="63A79865" w14:textId="5A3FE77A" w:rsidR="00C01716" w:rsidRDefault="00C01716" w:rsidP="00C01716">
            <w:r w:rsidRPr="00A9395C">
              <w:t>22-</w:t>
            </w:r>
          </w:p>
        </w:tc>
        <w:tc>
          <w:tcPr>
            <w:tcW w:w="8550" w:type="dxa"/>
          </w:tcPr>
          <w:p w14:paraId="2F8E3F3F" w14:textId="60A01ED7" w:rsidR="00C01716" w:rsidRDefault="00C01716" w:rsidP="00C01716">
            <w:r w:rsidRPr="00A9395C">
              <w:t>Annual heat input is less than or equal to 2.2 (10</w:t>
            </w:r>
            <w:r w:rsidRPr="00A9395C">
              <w:rPr>
                <w:vertAlign w:val="superscript"/>
              </w:rPr>
              <w:t>11</w:t>
            </w:r>
            <w:r w:rsidRPr="00A9395C">
              <w:t>) Btu/yr</w:t>
            </w:r>
          </w:p>
        </w:tc>
      </w:tr>
      <w:tr w:rsidR="00C01716" w14:paraId="7368377E" w14:textId="77777777" w:rsidTr="00540018">
        <w:trPr>
          <w:cantSplit/>
          <w:tblHeader/>
        </w:trPr>
        <w:tc>
          <w:tcPr>
            <w:tcW w:w="1530" w:type="dxa"/>
          </w:tcPr>
          <w:p w14:paraId="1C115A06" w14:textId="79CC110B" w:rsidR="00C01716" w:rsidRDefault="00C01716" w:rsidP="00C01716">
            <w:r w:rsidRPr="00A9395C">
              <w:t>22+</w:t>
            </w:r>
          </w:p>
        </w:tc>
        <w:tc>
          <w:tcPr>
            <w:tcW w:w="8550" w:type="dxa"/>
          </w:tcPr>
          <w:p w14:paraId="60B74F40" w14:textId="24B6C544" w:rsidR="00C01716" w:rsidRDefault="00C01716" w:rsidP="00C01716">
            <w:r w:rsidRPr="00A9395C">
              <w:t>Annual heat input is greater than 2.2 (10</w:t>
            </w:r>
            <w:r w:rsidRPr="00A9395C">
              <w:rPr>
                <w:vertAlign w:val="superscript"/>
              </w:rPr>
              <w:t>11</w:t>
            </w:r>
            <w:r w:rsidRPr="00A9395C">
              <w:t>) Btu/yr</w:t>
            </w:r>
          </w:p>
        </w:tc>
      </w:tr>
    </w:tbl>
    <w:p w14:paraId="0D734F52" w14:textId="77777777" w:rsidR="00F861CF" w:rsidRPr="00C21A97" w:rsidRDefault="00F861CF" w:rsidP="00C01716">
      <w:pPr>
        <w:pStyle w:val="APDStrong"/>
        <w:spacing w:before="120"/>
      </w:pPr>
      <w:r w:rsidRPr="00C21A97">
        <w:t>Service Type:</w:t>
      </w:r>
    </w:p>
    <w:p w14:paraId="1BB6A361" w14:textId="77777777" w:rsidR="00F861CF" w:rsidRDefault="00F861CF" w:rsidP="00056A48">
      <w:pPr>
        <w:pStyle w:val="APDBodyText"/>
      </w:pPr>
      <w:r w:rsidRPr="00056A48">
        <w:t>Select one of the following options for the type of service.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571F9B" w14:paraId="1EFEDC11" w14:textId="77777777" w:rsidTr="00540018">
        <w:trPr>
          <w:cantSplit/>
          <w:tblHeader/>
        </w:trPr>
        <w:tc>
          <w:tcPr>
            <w:tcW w:w="1530" w:type="dxa"/>
          </w:tcPr>
          <w:p w14:paraId="185E951E" w14:textId="040A1621" w:rsidR="00571F9B" w:rsidRPr="00571F9B" w:rsidRDefault="00571F9B" w:rsidP="00571F9B">
            <w:pPr>
              <w:rPr>
                <w:b/>
                <w:bCs/>
              </w:rPr>
            </w:pPr>
            <w:r w:rsidRPr="00571F9B">
              <w:rPr>
                <w:b/>
                <w:bCs/>
              </w:rPr>
              <w:t>Code</w:t>
            </w:r>
          </w:p>
        </w:tc>
        <w:tc>
          <w:tcPr>
            <w:tcW w:w="8550" w:type="dxa"/>
          </w:tcPr>
          <w:p w14:paraId="7F8B5312" w14:textId="11FF9C20" w:rsidR="00571F9B" w:rsidRPr="00571F9B" w:rsidRDefault="00571F9B" w:rsidP="00571F9B">
            <w:pPr>
              <w:rPr>
                <w:b/>
                <w:bCs/>
              </w:rPr>
            </w:pPr>
            <w:r w:rsidRPr="00571F9B">
              <w:rPr>
                <w:b/>
                <w:bCs/>
              </w:rPr>
              <w:t>Description</w:t>
            </w:r>
          </w:p>
        </w:tc>
      </w:tr>
      <w:tr w:rsidR="00571F9B" w14:paraId="2DA87661" w14:textId="77777777" w:rsidTr="00540018">
        <w:trPr>
          <w:cantSplit/>
          <w:tblHeader/>
        </w:trPr>
        <w:tc>
          <w:tcPr>
            <w:tcW w:w="1530" w:type="dxa"/>
          </w:tcPr>
          <w:p w14:paraId="324D3BD6" w14:textId="16152A94" w:rsidR="00571F9B" w:rsidRDefault="00571F9B" w:rsidP="00571F9B">
            <w:r w:rsidRPr="00B14C24">
              <w:t>UTIL</w:t>
            </w:r>
          </w:p>
        </w:tc>
        <w:tc>
          <w:tcPr>
            <w:tcW w:w="8550" w:type="dxa"/>
          </w:tcPr>
          <w:p w14:paraId="57FD5B67" w14:textId="450F3706" w:rsidR="00571F9B" w:rsidRDefault="00571F9B" w:rsidP="00571F9B">
            <w:r w:rsidRPr="00B14C24">
              <w:t>Utility boiler (other than peaking service)</w:t>
            </w:r>
          </w:p>
        </w:tc>
      </w:tr>
      <w:tr w:rsidR="00571F9B" w14:paraId="43A67667" w14:textId="77777777" w:rsidTr="00540018">
        <w:trPr>
          <w:cantSplit/>
          <w:tblHeader/>
        </w:trPr>
        <w:tc>
          <w:tcPr>
            <w:tcW w:w="1530" w:type="dxa"/>
          </w:tcPr>
          <w:p w14:paraId="32D239A9" w14:textId="73BEB10D" w:rsidR="00571F9B" w:rsidRDefault="00571F9B" w:rsidP="00571F9B">
            <w:r w:rsidRPr="00B14C24">
              <w:t>AUX-D</w:t>
            </w:r>
          </w:p>
        </w:tc>
        <w:tc>
          <w:tcPr>
            <w:tcW w:w="8550" w:type="dxa"/>
          </w:tcPr>
          <w:p w14:paraId="45FADABE" w14:textId="759B31B0" w:rsidR="00571F9B" w:rsidRDefault="00571F9B" w:rsidP="00571F9B">
            <w:r w:rsidRPr="00B14C24">
              <w:t>Auxiliary boiler that is an affected facility under 40 CFR Part 60, Subpart D, Db, or Dc</w:t>
            </w:r>
          </w:p>
        </w:tc>
      </w:tr>
      <w:tr w:rsidR="00571F9B" w14:paraId="21D904C9" w14:textId="77777777" w:rsidTr="00540018">
        <w:trPr>
          <w:cantSplit/>
          <w:tblHeader/>
        </w:trPr>
        <w:tc>
          <w:tcPr>
            <w:tcW w:w="1530" w:type="dxa"/>
          </w:tcPr>
          <w:p w14:paraId="64191CEA" w14:textId="5DCE116A" w:rsidR="00571F9B" w:rsidRDefault="00571F9B" w:rsidP="00571F9B">
            <w:r w:rsidRPr="00B14C24">
              <w:t>AUX</w:t>
            </w:r>
          </w:p>
        </w:tc>
        <w:tc>
          <w:tcPr>
            <w:tcW w:w="8550" w:type="dxa"/>
          </w:tcPr>
          <w:p w14:paraId="3277327F" w14:textId="457EFFAD" w:rsidR="00571F9B" w:rsidRDefault="00571F9B" w:rsidP="00571F9B">
            <w:r w:rsidRPr="00B14C24">
              <w:t>Auxiliary boiler that is not an affected facility under 40 CFR Part 60, Subpart D, Db, or Dc</w:t>
            </w:r>
          </w:p>
        </w:tc>
      </w:tr>
    </w:tbl>
    <w:p w14:paraId="1C72200D" w14:textId="6E7E4221" w:rsidR="00F861CF" w:rsidRPr="0099181F" w:rsidRDefault="00F861CF" w:rsidP="00FD7888">
      <w:pPr>
        <w:pStyle w:val="APDContinueTriangle"/>
      </w:pPr>
      <w:r w:rsidRPr="0099181F">
        <w:t>Continue if “Annual Heat Input” is “22+</w:t>
      </w:r>
      <w:r w:rsidR="009624AD" w:rsidRPr="0099181F">
        <w:t>,</w:t>
      </w:r>
      <w:r w:rsidRPr="0099181F">
        <w:t xml:space="preserve">” </w:t>
      </w:r>
      <w:r w:rsidR="00AE143D" w:rsidRPr="0099181F">
        <w:t xml:space="preserve">and </w:t>
      </w:r>
      <w:r w:rsidRPr="0099181F">
        <w:t xml:space="preserve">“Date Placed in Service” is “92-”; </w:t>
      </w:r>
      <w:r w:rsidR="00AE143D" w:rsidRPr="0099181F">
        <w:t xml:space="preserve">or </w:t>
      </w:r>
      <w:r w:rsidRPr="0099181F">
        <w:t>“Date Placed in Service” is “93-FCD” and “Functionally Identical Replacement” is “</w:t>
      </w:r>
      <w:r w:rsidR="00B42127">
        <w:t>YES</w:t>
      </w:r>
      <w:r w:rsidRPr="0099181F">
        <w:t>.”</w:t>
      </w:r>
    </w:p>
    <w:p w14:paraId="61446451" w14:textId="6A33F7AA" w:rsidR="00F861CF" w:rsidRPr="00C21A97" w:rsidRDefault="00F861CF" w:rsidP="00C21A97">
      <w:pPr>
        <w:pStyle w:val="APDStrong"/>
      </w:pPr>
      <w:r w:rsidRPr="00C21A97">
        <w:t>Fuel Type:</w:t>
      </w:r>
    </w:p>
    <w:p w14:paraId="17C97037" w14:textId="77777777" w:rsidR="00F861CF" w:rsidRDefault="00F861CF" w:rsidP="00056A48">
      <w:pPr>
        <w:pStyle w:val="APDBodyText"/>
      </w:pPr>
      <w:r w:rsidRPr="00056A48">
        <w:t>Select one of the following options for fuel type.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E36242" w14:paraId="246ADA74" w14:textId="77777777" w:rsidTr="00540018">
        <w:trPr>
          <w:cantSplit/>
          <w:tblHeader/>
        </w:trPr>
        <w:tc>
          <w:tcPr>
            <w:tcW w:w="1530" w:type="dxa"/>
          </w:tcPr>
          <w:p w14:paraId="13262BC9" w14:textId="367C805F" w:rsidR="00E36242" w:rsidRPr="00540018" w:rsidRDefault="00E36242" w:rsidP="00E36242">
            <w:pPr>
              <w:rPr>
                <w:b/>
                <w:bCs/>
              </w:rPr>
            </w:pPr>
            <w:r w:rsidRPr="00540018">
              <w:rPr>
                <w:b/>
                <w:bCs/>
              </w:rPr>
              <w:t>Code</w:t>
            </w:r>
          </w:p>
        </w:tc>
        <w:tc>
          <w:tcPr>
            <w:tcW w:w="8550" w:type="dxa"/>
          </w:tcPr>
          <w:p w14:paraId="3A6A8B32" w14:textId="61557C0D" w:rsidR="00E36242" w:rsidRPr="00540018" w:rsidRDefault="00E36242" w:rsidP="00E36242">
            <w:pPr>
              <w:rPr>
                <w:b/>
                <w:bCs/>
              </w:rPr>
            </w:pPr>
            <w:r w:rsidRPr="00540018">
              <w:rPr>
                <w:b/>
                <w:bCs/>
              </w:rPr>
              <w:t>Description</w:t>
            </w:r>
          </w:p>
        </w:tc>
      </w:tr>
      <w:tr w:rsidR="00E36242" w14:paraId="5DC59FF2" w14:textId="77777777" w:rsidTr="00540018">
        <w:trPr>
          <w:cantSplit/>
          <w:tblHeader/>
        </w:trPr>
        <w:tc>
          <w:tcPr>
            <w:tcW w:w="1530" w:type="dxa"/>
          </w:tcPr>
          <w:p w14:paraId="324B4D16" w14:textId="2784D9C3" w:rsidR="00E36242" w:rsidRDefault="00E36242" w:rsidP="00E36242">
            <w:r w:rsidRPr="007B52FE">
              <w:t>NG</w:t>
            </w:r>
          </w:p>
        </w:tc>
        <w:tc>
          <w:tcPr>
            <w:tcW w:w="8550" w:type="dxa"/>
          </w:tcPr>
          <w:p w14:paraId="0DD920A2" w14:textId="2EA2DBEB" w:rsidR="00E36242" w:rsidRDefault="00E36242" w:rsidP="00E36242">
            <w:r w:rsidRPr="007B52FE">
              <w:t>Natural gas (gaseous)</w:t>
            </w:r>
          </w:p>
        </w:tc>
      </w:tr>
      <w:tr w:rsidR="00E36242" w14:paraId="26325E74" w14:textId="77777777" w:rsidTr="00540018">
        <w:trPr>
          <w:cantSplit/>
          <w:tblHeader/>
        </w:trPr>
        <w:tc>
          <w:tcPr>
            <w:tcW w:w="1530" w:type="dxa"/>
          </w:tcPr>
          <w:p w14:paraId="0195F07E" w14:textId="38DB8430" w:rsidR="00E36242" w:rsidRDefault="00E36242" w:rsidP="00E36242">
            <w:r w:rsidRPr="007B52FE">
              <w:t>CL</w:t>
            </w:r>
          </w:p>
        </w:tc>
        <w:tc>
          <w:tcPr>
            <w:tcW w:w="8550" w:type="dxa"/>
          </w:tcPr>
          <w:p w14:paraId="7037C2A0" w14:textId="586AF9A8" w:rsidR="00E36242" w:rsidRDefault="00E36242" w:rsidP="00E36242">
            <w:r w:rsidRPr="007B52FE">
              <w:t>Coal</w:t>
            </w:r>
          </w:p>
        </w:tc>
      </w:tr>
      <w:tr w:rsidR="00E36242" w14:paraId="52DDC316" w14:textId="77777777" w:rsidTr="00540018">
        <w:trPr>
          <w:cantSplit/>
          <w:tblHeader/>
        </w:trPr>
        <w:tc>
          <w:tcPr>
            <w:tcW w:w="1530" w:type="dxa"/>
          </w:tcPr>
          <w:p w14:paraId="755E3D90" w14:textId="1AF8822B" w:rsidR="00E36242" w:rsidRDefault="00E36242" w:rsidP="00E36242">
            <w:r w:rsidRPr="007B52FE">
              <w:t>FO</w:t>
            </w:r>
          </w:p>
        </w:tc>
        <w:tc>
          <w:tcPr>
            <w:tcW w:w="8550" w:type="dxa"/>
          </w:tcPr>
          <w:p w14:paraId="3B6CAAB5" w14:textId="4AA660D2" w:rsidR="00E36242" w:rsidRDefault="00E36242" w:rsidP="00E36242">
            <w:r w:rsidRPr="007B52FE">
              <w:t>Fuel oil (liquid)</w:t>
            </w:r>
          </w:p>
        </w:tc>
      </w:tr>
      <w:tr w:rsidR="00E36242" w14:paraId="3727F9D9" w14:textId="77777777" w:rsidTr="00540018">
        <w:trPr>
          <w:cantSplit/>
          <w:tblHeader/>
        </w:trPr>
        <w:tc>
          <w:tcPr>
            <w:tcW w:w="1530" w:type="dxa"/>
          </w:tcPr>
          <w:p w14:paraId="2091FAF6" w14:textId="6BDD30C7" w:rsidR="00E36242" w:rsidRDefault="00E36242" w:rsidP="00E36242">
            <w:r w:rsidRPr="007B52FE">
              <w:t>WST</w:t>
            </w:r>
          </w:p>
        </w:tc>
        <w:tc>
          <w:tcPr>
            <w:tcW w:w="8550" w:type="dxa"/>
          </w:tcPr>
          <w:p w14:paraId="1B556C49" w14:textId="1F2ED3C1" w:rsidR="00E36242" w:rsidRDefault="00E36242" w:rsidP="00E36242">
            <w:r w:rsidRPr="007B52FE">
              <w:t>Waste oil (liquid</w:t>
            </w:r>
            <w:r>
              <w:t>)</w:t>
            </w:r>
          </w:p>
        </w:tc>
      </w:tr>
    </w:tbl>
    <w:p w14:paraId="0B0A73DE" w14:textId="16A74C92" w:rsidR="00F861CF" w:rsidRDefault="00F861CF" w:rsidP="002E6F19">
      <w:pPr>
        <w:pStyle w:val="APDBodyText"/>
        <w:spacing w:before="120"/>
      </w:pPr>
      <w:r w:rsidRPr="00EF0801">
        <w:t xml:space="preserve">If a fuel-firing option consists of multiple fuel types being combusted simultaneously, enter the 30 TAC Chapter 117 fuel type code for each fuel in a separate column on the same line, with a single SOP index number. If there are more than three fuels being combusted simultaneously, use multiple lines, and start each line with a different SOP index number. Start each additional fuel-firing option on a different line with a different SOP index number. If multiple fuels that use the same code are simultaneously </w:t>
      </w:r>
      <w:r w:rsidR="00167DF2" w:rsidRPr="00EF0801">
        <w:t>combusted,</w:t>
      </w:r>
      <w:r w:rsidRPr="00EF0801">
        <w:t xml:space="preserve"> then enter the code once for each fuel (See Fuel-firing Option C: for an example of multiple types of fuel oil fired simultaneously).</w:t>
      </w: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See Fuel-firing Option C: for an example of multiple types of fuel oil fired simultaneously"/>
      </w:tblPr>
      <w:tblGrid>
        <w:gridCol w:w="2160"/>
        <w:gridCol w:w="2160"/>
        <w:gridCol w:w="2160"/>
        <w:gridCol w:w="2160"/>
        <w:gridCol w:w="2160"/>
      </w:tblGrid>
      <w:tr w:rsidR="00134AC0" w:rsidRPr="0074396E" w14:paraId="2C722EB1" w14:textId="77777777" w:rsidTr="00205EAC">
        <w:trPr>
          <w:cantSplit/>
          <w:tblHeader/>
        </w:trPr>
        <w:tc>
          <w:tcPr>
            <w:tcW w:w="2160" w:type="dxa"/>
            <w:tcBorders>
              <w:top w:val="nil"/>
              <w:left w:val="nil"/>
              <w:bottom w:val="nil"/>
              <w:right w:val="double" w:sz="6" w:space="0" w:color="auto"/>
            </w:tcBorders>
          </w:tcPr>
          <w:p w14:paraId="3131BD1E" w14:textId="77777777" w:rsidR="00134AC0" w:rsidRPr="0074396E" w:rsidRDefault="00134AC0" w:rsidP="00205EAC">
            <w:pPr>
              <w:rPr>
                <w:sz w:val="20"/>
                <w:szCs w:val="20"/>
              </w:rPr>
            </w:pPr>
            <w:r w:rsidRPr="0074396E">
              <w:rPr>
                <w:i/>
                <w:sz w:val="20"/>
                <w:szCs w:val="20"/>
              </w:rPr>
              <w:t>Example:</w:t>
            </w:r>
          </w:p>
        </w:tc>
        <w:tc>
          <w:tcPr>
            <w:tcW w:w="2160" w:type="dxa"/>
            <w:tcBorders>
              <w:left w:val="double" w:sz="6" w:space="0" w:color="auto"/>
            </w:tcBorders>
            <w:shd w:val="clear" w:color="auto" w:fill="D9D9D9" w:themeFill="background1" w:themeFillShade="D9"/>
          </w:tcPr>
          <w:p w14:paraId="5C31027C" w14:textId="66985D1A" w:rsidR="00134AC0" w:rsidRPr="0074396E" w:rsidRDefault="00134AC0" w:rsidP="00205EAC">
            <w:pPr>
              <w:rPr>
                <w:sz w:val="20"/>
                <w:szCs w:val="20"/>
              </w:rPr>
            </w:pPr>
            <w:r w:rsidRPr="0074396E">
              <w:rPr>
                <w:b/>
                <w:sz w:val="20"/>
                <w:szCs w:val="20"/>
              </w:rPr>
              <w:t xml:space="preserve">SOP Index </w:t>
            </w:r>
            <w:r w:rsidR="00B42127">
              <w:rPr>
                <w:b/>
                <w:sz w:val="20"/>
                <w:szCs w:val="20"/>
              </w:rPr>
              <w:t>N</w:t>
            </w:r>
            <w:r w:rsidR="00FF547C">
              <w:rPr>
                <w:b/>
                <w:sz w:val="20"/>
                <w:szCs w:val="20"/>
              </w:rPr>
              <w:t>o</w:t>
            </w:r>
            <w:r w:rsidRPr="0074396E">
              <w:rPr>
                <w:b/>
                <w:sz w:val="20"/>
                <w:szCs w:val="20"/>
              </w:rPr>
              <w:t>.</w:t>
            </w:r>
          </w:p>
        </w:tc>
        <w:tc>
          <w:tcPr>
            <w:tcW w:w="2160" w:type="dxa"/>
            <w:shd w:val="clear" w:color="auto" w:fill="D9D9D9" w:themeFill="background1" w:themeFillShade="D9"/>
          </w:tcPr>
          <w:p w14:paraId="5F39400A" w14:textId="77777777" w:rsidR="00134AC0" w:rsidRPr="0074396E" w:rsidRDefault="00134AC0" w:rsidP="00205EAC">
            <w:pPr>
              <w:rPr>
                <w:sz w:val="20"/>
                <w:szCs w:val="20"/>
              </w:rPr>
            </w:pPr>
            <w:r w:rsidRPr="0074396E">
              <w:rPr>
                <w:b/>
                <w:sz w:val="20"/>
                <w:szCs w:val="20"/>
              </w:rPr>
              <w:t>Fuel Type</w:t>
            </w:r>
          </w:p>
        </w:tc>
        <w:tc>
          <w:tcPr>
            <w:tcW w:w="2160" w:type="dxa"/>
            <w:shd w:val="clear" w:color="auto" w:fill="D9D9D9" w:themeFill="background1" w:themeFillShade="D9"/>
          </w:tcPr>
          <w:p w14:paraId="325A962D" w14:textId="77777777" w:rsidR="00134AC0" w:rsidRPr="0074396E" w:rsidRDefault="00134AC0" w:rsidP="00205EAC">
            <w:pPr>
              <w:rPr>
                <w:sz w:val="20"/>
                <w:szCs w:val="20"/>
              </w:rPr>
            </w:pPr>
            <w:r w:rsidRPr="0074396E">
              <w:rPr>
                <w:b/>
                <w:sz w:val="20"/>
                <w:szCs w:val="20"/>
              </w:rPr>
              <w:t>Fuel Type</w:t>
            </w:r>
          </w:p>
        </w:tc>
        <w:tc>
          <w:tcPr>
            <w:tcW w:w="2160" w:type="dxa"/>
            <w:shd w:val="clear" w:color="auto" w:fill="D9D9D9" w:themeFill="background1" w:themeFillShade="D9"/>
          </w:tcPr>
          <w:p w14:paraId="58400E51" w14:textId="77777777" w:rsidR="00134AC0" w:rsidRPr="0074396E" w:rsidRDefault="00134AC0" w:rsidP="00205EAC">
            <w:pPr>
              <w:rPr>
                <w:sz w:val="20"/>
                <w:szCs w:val="20"/>
              </w:rPr>
            </w:pPr>
            <w:r w:rsidRPr="0074396E">
              <w:rPr>
                <w:b/>
                <w:sz w:val="20"/>
                <w:szCs w:val="20"/>
              </w:rPr>
              <w:t>Fuel Type</w:t>
            </w:r>
          </w:p>
        </w:tc>
      </w:tr>
      <w:tr w:rsidR="00134AC0" w:rsidRPr="0074396E" w14:paraId="5C9CE26B" w14:textId="77777777" w:rsidTr="00205EAC">
        <w:trPr>
          <w:cantSplit/>
          <w:tblHeader/>
        </w:trPr>
        <w:tc>
          <w:tcPr>
            <w:tcW w:w="2160" w:type="dxa"/>
            <w:tcBorders>
              <w:top w:val="nil"/>
              <w:left w:val="nil"/>
              <w:bottom w:val="nil"/>
              <w:right w:val="double" w:sz="6" w:space="0" w:color="auto"/>
            </w:tcBorders>
          </w:tcPr>
          <w:p w14:paraId="3375FA0B" w14:textId="18241CB1" w:rsidR="00134AC0" w:rsidRPr="0074396E" w:rsidRDefault="0074396E" w:rsidP="00134AC0">
            <w:pPr>
              <w:rPr>
                <w:sz w:val="20"/>
                <w:szCs w:val="20"/>
              </w:rPr>
            </w:pPr>
            <w:r w:rsidRPr="0074396E">
              <w:rPr>
                <w:sz w:val="20"/>
                <w:szCs w:val="20"/>
              </w:rPr>
              <w:t>Fuel-firing Option A</w:t>
            </w:r>
          </w:p>
        </w:tc>
        <w:tc>
          <w:tcPr>
            <w:tcW w:w="2160" w:type="dxa"/>
            <w:tcBorders>
              <w:left w:val="double" w:sz="6" w:space="0" w:color="auto"/>
            </w:tcBorders>
          </w:tcPr>
          <w:p w14:paraId="5006453F" w14:textId="336B6757" w:rsidR="00134AC0" w:rsidRPr="0074396E" w:rsidRDefault="00134AC0" w:rsidP="00134AC0">
            <w:pPr>
              <w:rPr>
                <w:sz w:val="20"/>
                <w:szCs w:val="20"/>
              </w:rPr>
            </w:pPr>
            <w:r w:rsidRPr="0074396E">
              <w:rPr>
                <w:sz w:val="20"/>
                <w:szCs w:val="20"/>
              </w:rPr>
              <w:t>R7UT-1</w:t>
            </w:r>
          </w:p>
        </w:tc>
        <w:tc>
          <w:tcPr>
            <w:tcW w:w="2160" w:type="dxa"/>
          </w:tcPr>
          <w:p w14:paraId="1B9B6625" w14:textId="3A68568A" w:rsidR="00134AC0" w:rsidRPr="0074396E" w:rsidRDefault="00134AC0" w:rsidP="00134AC0">
            <w:pPr>
              <w:rPr>
                <w:sz w:val="20"/>
                <w:szCs w:val="20"/>
              </w:rPr>
            </w:pPr>
            <w:r w:rsidRPr="0074396E">
              <w:rPr>
                <w:sz w:val="20"/>
                <w:szCs w:val="20"/>
              </w:rPr>
              <w:t>NG</w:t>
            </w:r>
          </w:p>
        </w:tc>
        <w:tc>
          <w:tcPr>
            <w:tcW w:w="2160" w:type="dxa"/>
          </w:tcPr>
          <w:p w14:paraId="33AA4E44" w14:textId="4FCCAF1E" w:rsidR="00134AC0" w:rsidRPr="0074396E" w:rsidRDefault="00134AC0" w:rsidP="00134AC0">
            <w:pPr>
              <w:rPr>
                <w:sz w:val="20"/>
                <w:szCs w:val="20"/>
              </w:rPr>
            </w:pPr>
            <w:r w:rsidRPr="0074396E">
              <w:rPr>
                <w:sz w:val="20"/>
                <w:szCs w:val="20"/>
              </w:rPr>
              <w:t>CL</w:t>
            </w:r>
          </w:p>
        </w:tc>
        <w:tc>
          <w:tcPr>
            <w:tcW w:w="2160" w:type="dxa"/>
          </w:tcPr>
          <w:p w14:paraId="278962B8" w14:textId="57B88194" w:rsidR="00134AC0" w:rsidRPr="0074396E" w:rsidRDefault="00134AC0" w:rsidP="00134AC0">
            <w:pPr>
              <w:rPr>
                <w:sz w:val="20"/>
                <w:szCs w:val="20"/>
              </w:rPr>
            </w:pPr>
          </w:p>
        </w:tc>
      </w:tr>
      <w:tr w:rsidR="00134AC0" w:rsidRPr="0074396E" w14:paraId="76071657" w14:textId="77777777" w:rsidTr="00205EAC">
        <w:trPr>
          <w:cantSplit/>
          <w:tblHeader/>
        </w:trPr>
        <w:tc>
          <w:tcPr>
            <w:tcW w:w="2160" w:type="dxa"/>
            <w:tcBorders>
              <w:top w:val="nil"/>
              <w:left w:val="nil"/>
              <w:bottom w:val="nil"/>
              <w:right w:val="double" w:sz="6" w:space="0" w:color="auto"/>
            </w:tcBorders>
          </w:tcPr>
          <w:p w14:paraId="5CC48BB8" w14:textId="77777777" w:rsidR="00134AC0" w:rsidRPr="0074396E" w:rsidRDefault="00134AC0" w:rsidP="00134AC0">
            <w:pPr>
              <w:rPr>
                <w:sz w:val="20"/>
                <w:szCs w:val="20"/>
              </w:rPr>
            </w:pPr>
            <w:r w:rsidRPr="0074396E">
              <w:rPr>
                <w:sz w:val="20"/>
                <w:szCs w:val="20"/>
              </w:rPr>
              <w:t>Fuel-firing Option B</w:t>
            </w:r>
          </w:p>
        </w:tc>
        <w:tc>
          <w:tcPr>
            <w:tcW w:w="2160" w:type="dxa"/>
            <w:tcBorders>
              <w:left w:val="double" w:sz="6" w:space="0" w:color="auto"/>
            </w:tcBorders>
          </w:tcPr>
          <w:p w14:paraId="7B30FE1D" w14:textId="5414294F" w:rsidR="00134AC0" w:rsidRPr="0074396E" w:rsidRDefault="00134AC0" w:rsidP="00134AC0">
            <w:pPr>
              <w:rPr>
                <w:sz w:val="20"/>
                <w:szCs w:val="20"/>
              </w:rPr>
            </w:pPr>
            <w:r w:rsidRPr="0074396E">
              <w:rPr>
                <w:sz w:val="20"/>
                <w:szCs w:val="20"/>
              </w:rPr>
              <w:t>R7UT-2A</w:t>
            </w:r>
          </w:p>
        </w:tc>
        <w:tc>
          <w:tcPr>
            <w:tcW w:w="2160" w:type="dxa"/>
          </w:tcPr>
          <w:p w14:paraId="21918A6F" w14:textId="24819B62" w:rsidR="00134AC0" w:rsidRPr="0074396E" w:rsidRDefault="00134AC0" w:rsidP="00134AC0">
            <w:pPr>
              <w:rPr>
                <w:sz w:val="20"/>
                <w:szCs w:val="20"/>
              </w:rPr>
            </w:pPr>
            <w:r w:rsidRPr="0074396E">
              <w:rPr>
                <w:sz w:val="20"/>
                <w:szCs w:val="20"/>
              </w:rPr>
              <w:t>NG</w:t>
            </w:r>
          </w:p>
        </w:tc>
        <w:tc>
          <w:tcPr>
            <w:tcW w:w="2160" w:type="dxa"/>
          </w:tcPr>
          <w:p w14:paraId="67788D61" w14:textId="1B32D6B8" w:rsidR="00134AC0" w:rsidRPr="0074396E" w:rsidRDefault="00134AC0" w:rsidP="00134AC0">
            <w:pPr>
              <w:rPr>
                <w:sz w:val="20"/>
                <w:szCs w:val="20"/>
              </w:rPr>
            </w:pPr>
            <w:r w:rsidRPr="0074396E">
              <w:rPr>
                <w:sz w:val="20"/>
                <w:szCs w:val="20"/>
              </w:rPr>
              <w:t>CL</w:t>
            </w:r>
          </w:p>
        </w:tc>
        <w:tc>
          <w:tcPr>
            <w:tcW w:w="2160" w:type="dxa"/>
          </w:tcPr>
          <w:p w14:paraId="16D49FE7" w14:textId="08641BB3" w:rsidR="00134AC0" w:rsidRPr="0074396E" w:rsidRDefault="00134AC0" w:rsidP="00134AC0">
            <w:pPr>
              <w:rPr>
                <w:sz w:val="20"/>
                <w:szCs w:val="20"/>
              </w:rPr>
            </w:pPr>
            <w:r w:rsidRPr="0074396E">
              <w:rPr>
                <w:sz w:val="20"/>
                <w:szCs w:val="20"/>
              </w:rPr>
              <w:t>FO</w:t>
            </w:r>
          </w:p>
        </w:tc>
      </w:tr>
      <w:tr w:rsidR="00134AC0" w:rsidRPr="0074396E" w14:paraId="07AA9A21" w14:textId="77777777" w:rsidTr="00205EAC">
        <w:trPr>
          <w:cantSplit/>
          <w:tblHeader/>
        </w:trPr>
        <w:tc>
          <w:tcPr>
            <w:tcW w:w="2160" w:type="dxa"/>
            <w:tcBorders>
              <w:top w:val="nil"/>
              <w:left w:val="nil"/>
              <w:bottom w:val="nil"/>
              <w:right w:val="double" w:sz="6" w:space="0" w:color="auto"/>
            </w:tcBorders>
          </w:tcPr>
          <w:p w14:paraId="08F0F501" w14:textId="77777777" w:rsidR="00134AC0" w:rsidRPr="0074396E" w:rsidRDefault="00134AC0" w:rsidP="00134AC0">
            <w:pPr>
              <w:rPr>
                <w:sz w:val="20"/>
                <w:szCs w:val="20"/>
              </w:rPr>
            </w:pPr>
            <w:r w:rsidRPr="0074396E">
              <w:rPr>
                <w:sz w:val="20"/>
                <w:szCs w:val="20"/>
              </w:rPr>
              <w:t>Fuel-firing Option C</w:t>
            </w:r>
          </w:p>
        </w:tc>
        <w:tc>
          <w:tcPr>
            <w:tcW w:w="2160" w:type="dxa"/>
            <w:tcBorders>
              <w:left w:val="double" w:sz="6" w:space="0" w:color="auto"/>
            </w:tcBorders>
          </w:tcPr>
          <w:p w14:paraId="1EF3E256" w14:textId="0387671E" w:rsidR="00134AC0" w:rsidRPr="0074396E" w:rsidRDefault="00134AC0" w:rsidP="00134AC0">
            <w:pPr>
              <w:rPr>
                <w:sz w:val="20"/>
                <w:szCs w:val="20"/>
              </w:rPr>
            </w:pPr>
            <w:r w:rsidRPr="0074396E">
              <w:rPr>
                <w:sz w:val="20"/>
                <w:szCs w:val="20"/>
              </w:rPr>
              <w:t>R7UT-3</w:t>
            </w:r>
          </w:p>
        </w:tc>
        <w:tc>
          <w:tcPr>
            <w:tcW w:w="2160" w:type="dxa"/>
          </w:tcPr>
          <w:p w14:paraId="0D3EAED9" w14:textId="7C8B8924" w:rsidR="00134AC0" w:rsidRPr="0074396E" w:rsidRDefault="00134AC0" w:rsidP="00134AC0">
            <w:pPr>
              <w:rPr>
                <w:sz w:val="20"/>
                <w:szCs w:val="20"/>
              </w:rPr>
            </w:pPr>
            <w:r w:rsidRPr="0074396E">
              <w:rPr>
                <w:sz w:val="20"/>
                <w:szCs w:val="20"/>
              </w:rPr>
              <w:t>NG</w:t>
            </w:r>
          </w:p>
        </w:tc>
        <w:tc>
          <w:tcPr>
            <w:tcW w:w="2160" w:type="dxa"/>
          </w:tcPr>
          <w:p w14:paraId="38C677C0" w14:textId="10192078" w:rsidR="00134AC0" w:rsidRPr="0074396E" w:rsidRDefault="00134AC0" w:rsidP="00134AC0">
            <w:pPr>
              <w:rPr>
                <w:sz w:val="20"/>
                <w:szCs w:val="20"/>
              </w:rPr>
            </w:pPr>
            <w:r w:rsidRPr="0074396E">
              <w:rPr>
                <w:sz w:val="20"/>
                <w:szCs w:val="20"/>
              </w:rPr>
              <w:t>FO</w:t>
            </w:r>
          </w:p>
        </w:tc>
        <w:tc>
          <w:tcPr>
            <w:tcW w:w="2160" w:type="dxa"/>
          </w:tcPr>
          <w:p w14:paraId="30ECCE14" w14:textId="2EFF4EC5" w:rsidR="00134AC0" w:rsidRPr="0074396E" w:rsidRDefault="00134AC0" w:rsidP="00134AC0">
            <w:pPr>
              <w:rPr>
                <w:sz w:val="20"/>
                <w:szCs w:val="20"/>
              </w:rPr>
            </w:pPr>
            <w:r w:rsidRPr="0074396E">
              <w:rPr>
                <w:sz w:val="20"/>
                <w:szCs w:val="20"/>
              </w:rPr>
              <w:t>FO</w:t>
            </w:r>
          </w:p>
        </w:tc>
      </w:tr>
    </w:tbl>
    <w:p w14:paraId="0392D011" w14:textId="77777777" w:rsidR="009D703B" w:rsidRDefault="009D703B" w:rsidP="00390EE3">
      <w:pPr>
        <w:pStyle w:val="APDCompleteStar"/>
        <w:sectPr w:rsidR="009D703B" w:rsidSect="0031268E">
          <w:pgSz w:w="12240" w:h="15840" w:code="1"/>
          <w:pgMar w:top="720" w:right="720" w:bottom="720" w:left="720" w:header="720" w:footer="720" w:gutter="0"/>
          <w:cols w:space="720"/>
          <w:titlePg/>
          <w:docGrid w:linePitch="360"/>
        </w:sectPr>
      </w:pPr>
    </w:p>
    <w:p w14:paraId="40DB9DD4" w14:textId="5A59C24D" w:rsidR="00D108F5" w:rsidRDefault="00F861CF" w:rsidP="00390EE3">
      <w:pPr>
        <w:pStyle w:val="APDCompleteStar"/>
      </w:pPr>
      <w:r w:rsidRPr="00EF0801">
        <w:lastRenderedPageBreak/>
        <w:t>Complete “RACT NO</w:t>
      </w:r>
      <w:r w:rsidRPr="00EF0801">
        <w:rPr>
          <w:vertAlign w:val="subscript"/>
        </w:rPr>
        <w:t>x</w:t>
      </w:r>
      <w:r w:rsidRPr="00EF0801">
        <w:t xml:space="preserve"> Emission Limitation” only if the site is located in the Beaumont/Port Arthur ozone nonattainment area and “Service Type” is “AUX” or “AUX-D.”</w:t>
      </w:r>
    </w:p>
    <w:p w14:paraId="4442B617" w14:textId="77777777" w:rsidR="00F861CF" w:rsidRPr="00C21A97" w:rsidRDefault="00F861CF" w:rsidP="00C21A97">
      <w:pPr>
        <w:pStyle w:val="APDStrong"/>
      </w:pPr>
      <w:r w:rsidRPr="00C21A97">
        <w:t>RACT NOx Emission Limitation:</w:t>
      </w:r>
    </w:p>
    <w:p w14:paraId="4E5075A8" w14:textId="027A8D57" w:rsidR="00F861CF" w:rsidRDefault="00F861CF" w:rsidP="0042025A">
      <w:pPr>
        <w:pStyle w:val="APDBodyText"/>
      </w:pPr>
      <w:r w:rsidRPr="00EF0801">
        <w:t>Title 30 TAC Chapter 117 provides several methods to be in compliance with the applicable NO</w:t>
      </w:r>
      <w:r w:rsidRPr="00EF0801">
        <w:rPr>
          <w:vertAlign w:val="subscript"/>
        </w:rPr>
        <w:t>x</w:t>
      </w:r>
      <w:r w:rsidRPr="00EF0801">
        <w:t xml:space="preserve"> limitation standards listed in 30 TAC § 117.1005. 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4A5C2F" w14:paraId="11EDB53D" w14:textId="77777777" w:rsidTr="004A5C2F">
        <w:tc>
          <w:tcPr>
            <w:tcW w:w="1530" w:type="dxa"/>
          </w:tcPr>
          <w:p w14:paraId="2CA8DFE4" w14:textId="0CDDFE6A" w:rsidR="004A5C2F" w:rsidRPr="004A5C2F" w:rsidRDefault="004A5C2F" w:rsidP="004A5C2F">
            <w:pPr>
              <w:rPr>
                <w:b/>
                <w:bCs/>
              </w:rPr>
            </w:pPr>
            <w:r w:rsidRPr="004A5C2F">
              <w:rPr>
                <w:b/>
                <w:bCs/>
              </w:rPr>
              <w:t>Code</w:t>
            </w:r>
          </w:p>
        </w:tc>
        <w:tc>
          <w:tcPr>
            <w:tcW w:w="8550" w:type="dxa"/>
          </w:tcPr>
          <w:p w14:paraId="65A1F981" w14:textId="3B75DD68" w:rsidR="004A5C2F" w:rsidRPr="004A5C2F" w:rsidRDefault="004A5C2F" w:rsidP="004A5C2F">
            <w:pPr>
              <w:rPr>
                <w:b/>
                <w:bCs/>
              </w:rPr>
            </w:pPr>
            <w:r w:rsidRPr="004A5C2F">
              <w:rPr>
                <w:b/>
                <w:bCs/>
              </w:rPr>
              <w:t>Description</w:t>
            </w:r>
          </w:p>
        </w:tc>
      </w:tr>
      <w:tr w:rsidR="004A5C2F" w14:paraId="38D35D90" w14:textId="77777777" w:rsidTr="004A5C2F">
        <w:tc>
          <w:tcPr>
            <w:tcW w:w="1530" w:type="dxa"/>
          </w:tcPr>
          <w:p w14:paraId="674EA3CC" w14:textId="33BBC1C3" w:rsidR="004A5C2F" w:rsidRDefault="004A5C2F" w:rsidP="004A5C2F">
            <w:r w:rsidRPr="002550EC">
              <w:t>X05</w:t>
            </w:r>
          </w:p>
        </w:tc>
        <w:tc>
          <w:tcPr>
            <w:tcW w:w="8550" w:type="dxa"/>
          </w:tcPr>
          <w:p w14:paraId="4EEEC39E" w14:textId="45052DA8" w:rsidR="004A5C2F" w:rsidRDefault="004A5C2F" w:rsidP="004A5C2F">
            <w:r w:rsidRPr="002550EC">
              <w:t>Title 30 TAC § 117.1005 [relating to Emission Specifications for Reasonably Available Control Technology]</w:t>
            </w:r>
          </w:p>
        </w:tc>
      </w:tr>
      <w:tr w:rsidR="004A5C2F" w14:paraId="7E85E8F7" w14:textId="77777777" w:rsidTr="004A5C2F">
        <w:tc>
          <w:tcPr>
            <w:tcW w:w="1530" w:type="dxa"/>
          </w:tcPr>
          <w:p w14:paraId="1FB93D00" w14:textId="72B55B5F" w:rsidR="004A5C2F" w:rsidRDefault="004A5C2F" w:rsidP="004A5C2F">
            <w:r w:rsidRPr="002550EC">
              <w:t>ACSS</w:t>
            </w:r>
          </w:p>
        </w:tc>
        <w:tc>
          <w:tcPr>
            <w:tcW w:w="8550" w:type="dxa"/>
          </w:tcPr>
          <w:p w14:paraId="2065DAC1" w14:textId="327F4772" w:rsidR="004A5C2F" w:rsidRDefault="004A5C2F" w:rsidP="004A5C2F">
            <w:r w:rsidRPr="002550EC">
              <w:t>Title 30 TAC § 117.1025, [relating to Alternative Case Specific Specifications]</w:t>
            </w:r>
          </w:p>
        </w:tc>
      </w:tr>
    </w:tbl>
    <w:p w14:paraId="701B96B7" w14:textId="3DEDB3FB" w:rsidR="00F861CF" w:rsidRPr="00EF0801" w:rsidRDefault="00F861CF" w:rsidP="00702ADF">
      <w:pPr>
        <w:pStyle w:val="APDBodyTextItalics"/>
        <w:spacing w:before="120"/>
      </w:pPr>
      <w:r w:rsidRPr="00EF0801">
        <w:t>Note: If using some other alternative, such as an alternate reasonably available control technology, alternate means of control, or emission reduction credit, the type of alternate used will need to be explained in a cover letter or some other attachment to the permit application.</w:t>
      </w:r>
    </w:p>
    <w:p w14:paraId="6D71CDC2" w14:textId="529DC36F" w:rsidR="00721C9C" w:rsidRDefault="00F861CF" w:rsidP="00390EE3">
      <w:pPr>
        <w:pStyle w:val="APDCompleteStar"/>
      </w:pPr>
      <w:r w:rsidRPr="00EF0801">
        <w:t>Complete “ESAD NO</w:t>
      </w:r>
      <w:r w:rsidRPr="00EF0801">
        <w:rPr>
          <w:vertAlign w:val="subscript"/>
        </w:rPr>
        <w:t>x</w:t>
      </w:r>
      <w:r w:rsidRPr="00EF0801">
        <w:t xml:space="preserve"> Emission Limitation” only if “RACT NO</w:t>
      </w:r>
      <w:r w:rsidRPr="00EF0801">
        <w:rPr>
          <w:vertAlign w:val="subscript"/>
        </w:rPr>
        <w:t>x</w:t>
      </w:r>
      <w:r w:rsidRPr="00EF0801">
        <w:t xml:space="preserve"> Emission Limitation” was NOT completed.</w:t>
      </w:r>
    </w:p>
    <w:p w14:paraId="41EF7F3E" w14:textId="77777777" w:rsidR="00F861CF" w:rsidRPr="00C21A97" w:rsidRDefault="00F861CF" w:rsidP="00C21A97">
      <w:pPr>
        <w:pStyle w:val="APDStrong"/>
      </w:pPr>
      <w:r w:rsidRPr="00C21A97">
        <w:t>ESAD NOx Emission Limitation:</w:t>
      </w:r>
    </w:p>
    <w:p w14:paraId="1BF1396E" w14:textId="77777777" w:rsidR="00F861CF" w:rsidRDefault="00F861CF" w:rsidP="003F1A5E">
      <w:pPr>
        <w:pStyle w:val="APDBodyText"/>
      </w:pPr>
      <w:r w:rsidRPr="00EF0801">
        <w:t>Title 30 TAC Chapter 117 provides several methods to be in compliance with the applicable NO</w:t>
      </w:r>
      <w:r w:rsidRPr="00EF0801">
        <w:rPr>
          <w:vertAlign w:val="subscript"/>
        </w:rPr>
        <w:t>x</w:t>
      </w:r>
      <w:r w:rsidRPr="00EF0801">
        <w:t xml:space="preserve"> limitation standards listed in 30 TAC §§ 117.1010, 117.1210, or 117.1310. 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3A3E04" w14:paraId="730532F0" w14:textId="77777777" w:rsidTr="000A5B8B">
        <w:trPr>
          <w:cantSplit/>
          <w:tblHeader/>
        </w:trPr>
        <w:tc>
          <w:tcPr>
            <w:tcW w:w="1530" w:type="dxa"/>
          </w:tcPr>
          <w:p w14:paraId="4AD0A536" w14:textId="0519836D" w:rsidR="003A3E04" w:rsidRPr="003A3E04" w:rsidRDefault="003A3E04" w:rsidP="003A3E04">
            <w:pPr>
              <w:rPr>
                <w:b/>
                <w:bCs/>
              </w:rPr>
            </w:pPr>
            <w:r w:rsidRPr="003A3E04">
              <w:rPr>
                <w:b/>
                <w:bCs/>
              </w:rPr>
              <w:t>Code</w:t>
            </w:r>
          </w:p>
        </w:tc>
        <w:tc>
          <w:tcPr>
            <w:tcW w:w="8550" w:type="dxa"/>
          </w:tcPr>
          <w:p w14:paraId="415EF5B7" w14:textId="3ED3AE9C" w:rsidR="003A3E04" w:rsidRPr="003A3E04" w:rsidRDefault="003A3E04" w:rsidP="003A3E04">
            <w:pPr>
              <w:rPr>
                <w:b/>
                <w:bCs/>
              </w:rPr>
            </w:pPr>
            <w:r w:rsidRPr="003A3E04">
              <w:rPr>
                <w:b/>
                <w:bCs/>
              </w:rPr>
              <w:t>Description</w:t>
            </w:r>
          </w:p>
        </w:tc>
      </w:tr>
      <w:tr w:rsidR="003A3E04" w14:paraId="548638CA" w14:textId="77777777" w:rsidTr="000A5B8B">
        <w:trPr>
          <w:cantSplit/>
          <w:tblHeader/>
        </w:trPr>
        <w:tc>
          <w:tcPr>
            <w:tcW w:w="1530" w:type="dxa"/>
          </w:tcPr>
          <w:p w14:paraId="298009A4" w14:textId="59DE717C" w:rsidR="003A3E04" w:rsidRDefault="003A3E04" w:rsidP="003A3E04">
            <w:r w:rsidRPr="002A798D">
              <w:t>X10</w:t>
            </w:r>
          </w:p>
        </w:tc>
        <w:tc>
          <w:tcPr>
            <w:tcW w:w="8550" w:type="dxa"/>
          </w:tcPr>
          <w:p w14:paraId="2FFE9426" w14:textId="45B48195" w:rsidR="003A3E04" w:rsidRDefault="003A3E04" w:rsidP="003A3E04">
            <w:r w:rsidRPr="002A798D">
              <w:t>Title 30 TAC §§ 117.1010 or 117.1310 [relating to Emission Specifications for Attainment Demonstration]</w:t>
            </w:r>
          </w:p>
        </w:tc>
      </w:tr>
      <w:tr w:rsidR="003A3E04" w14:paraId="5E1923FA" w14:textId="77777777" w:rsidTr="000A5B8B">
        <w:trPr>
          <w:cantSplit/>
          <w:tblHeader/>
        </w:trPr>
        <w:tc>
          <w:tcPr>
            <w:tcW w:w="1530" w:type="dxa"/>
          </w:tcPr>
          <w:p w14:paraId="3C3D860F" w14:textId="38DBFB4F" w:rsidR="003A3E04" w:rsidRDefault="003A3E04" w:rsidP="003A3E04">
            <w:r w:rsidRPr="002A798D">
              <w:t>SC</w:t>
            </w:r>
          </w:p>
        </w:tc>
        <w:tc>
          <w:tcPr>
            <w:tcW w:w="8550" w:type="dxa"/>
          </w:tcPr>
          <w:p w14:paraId="1F4CBDC6" w14:textId="6A44D8CB" w:rsidR="003A3E04" w:rsidRDefault="003A3E04" w:rsidP="003A3E04">
            <w:r w:rsidRPr="002A798D">
              <w:t>Title 30 TAC § 117.1020 [relating to System Cap]</w:t>
            </w:r>
          </w:p>
        </w:tc>
      </w:tr>
      <w:tr w:rsidR="003A3E04" w14:paraId="46A6F040" w14:textId="77777777" w:rsidTr="000A5B8B">
        <w:trPr>
          <w:cantSplit/>
          <w:tblHeader/>
        </w:trPr>
        <w:tc>
          <w:tcPr>
            <w:tcW w:w="1530" w:type="dxa"/>
          </w:tcPr>
          <w:p w14:paraId="05861FDD" w14:textId="6E3DCE71" w:rsidR="003A3E04" w:rsidRDefault="003A3E04" w:rsidP="003A3E04">
            <w:r w:rsidRPr="002A798D">
              <w:t>1201-</w:t>
            </w:r>
          </w:p>
        </w:tc>
        <w:tc>
          <w:tcPr>
            <w:tcW w:w="8550" w:type="dxa"/>
          </w:tcPr>
          <w:p w14:paraId="0581264C" w14:textId="5425B811" w:rsidR="003A3E04" w:rsidRDefault="003A3E04" w:rsidP="003A3E04">
            <w:r w:rsidRPr="002A798D">
              <w:t>Unit complying with any applicable permit limit in a permit issued before January 2, 2001, in lb/MMBtu heat input as specified in § 117.1220 [relating to System Cap] and 30 TAC Chapter 101, Subchapter H: Division 3</w:t>
            </w:r>
          </w:p>
        </w:tc>
      </w:tr>
      <w:tr w:rsidR="003A3E04" w14:paraId="5EF5933E" w14:textId="77777777" w:rsidTr="000A5B8B">
        <w:trPr>
          <w:cantSplit/>
          <w:tblHeader/>
        </w:trPr>
        <w:tc>
          <w:tcPr>
            <w:tcW w:w="1530" w:type="dxa"/>
          </w:tcPr>
          <w:p w14:paraId="0D5B9B66" w14:textId="4613371F" w:rsidR="003A3E04" w:rsidRDefault="003A3E04" w:rsidP="003A3E04">
            <w:r w:rsidRPr="002A798D">
              <w:t>1201+</w:t>
            </w:r>
          </w:p>
        </w:tc>
        <w:tc>
          <w:tcPr>
            <w:tcW w:w="8550" w:type="dxa"/>
          </w:tcPr>
          <w:p w14:paraId="0E654ADC" w14:textId="6A367D05" w:rsidR="003A3E04" w:rsidRDefault="003A3E04" w:rsidP="003A3E04">
            <w:r w:rsidRPr="002A798D">
              <w:t>Unit complying with any applicable permit limit in a permit issued on or after January 2, 2001, that the owner or operator submitted an application determined to be administratively complete by the E.D. before January 2, 2001, in lb/MMBtu heat input as specified in § 117.1220 [relating to System Cap] and 30 TAC Chapter 101, Subchapter H: Division 3</w:t>
            </w:r>
          </w:p>
        </w:tc>
      </w:tr>
      <w:tr w:rsidR="003A3E04" w14:paraId="5BC31E68" w14:textId="77777777" w:rsidTr="000A5B8B">
        <w:trPr>
          <w:cantSplit/>
          <w:tblHeader/>
        </w:trPr>
        <w:tc>
          <w:tcPr>
            <w:tcW w:w="1530" w:type="dxa"/>
          </w:tcPr>
          <w:p w14:paraId="0E1E89A4" w14:textId="47672413" w:rsidR="003A3E04" w:rsidRDefault="003A3E04" w:rsidP="003A3E04">
            <w:r w:rsidRPr="002A798D">
              <w:t>12PBR</w:t>
            </w:r>
          </w:p>
        </w:tc>
        <w:tc>
          <w:tcPr>
            <w:tcW w:w="8550" w:type="dxa"/>
          </w:tcPr>
          <w:p w14:paraId="4493236E" w14:textId="5ADFBF06" w:rsidR="003A3E04" w:rsidRDefault="003A3E04" w:rsidP="003A3E04">
            <w:r w:rsidRPr="002A798D">
              <w:t>Unit complying with any applicable permit limit in a permit by rule under which construction commenced by January 2, 2001, that the owner or operator submitted an application determined to be administratively complete by the E.D. before January 2, 2001, in lb/MMBtu heat input as specified in § 117.1220 [relating to System Cap] and 30 TAC Chapter 101, Subchapter H: Division 3</w:t>
            </w:r>
          </w:p>
        </w:tc>
      </w:tr>
      <w:tr w:rsidR="003A3E04" w14:paraId="33014341" w14:textId="77777777" w:rsidTr="000A5B8B">
        <w:trPr>
          <w:cantSplit/>
          <w:tblHeader/>
        </w:trPr>
        <w:tc>
          <w:tcPr>
            <w:tcW w:w="1530" w:type="dxa"/>
          </w:tcPr>
          <w:p w14:paraId="677267C0" w14:textId="54B02604" w:rsidR="003A3E04" w:rsidRDefault="003A3E04" w:rsidP="003A3E04">
            <w:r w:rsidRPr="002A798D">
              <w:t>1210</w:t>
            </w:r>
          </w:p>
        </w:tc>
        <w:tc>
          <w:tcPr>
            <w:tcW w:w="8550" w:type="dxa"/>
          </w:tcPr>
          <w:p w14:paraId="2B032723" w14:textId="04AF4352" w:rsidR="003A3E04" w:rsidRDefault="003A3E04" w:rsidP="003A3E04">
            <w:r w:rsidRPr="002A798D">
              <w:t>Title 30 TAC § 117.1210 [relating to Emission Specifications for Attainment Demonstration] (not complying with any above emission specifications)</w:t>
            </w:r>
          </w:p>
        </w:tc>
      </w:tr>
    </w:tbl>
    <w:p w14:paraId="73D80762" w14:textId="6F2871F7" w:rsidR="00F861CF" w:rsidRPr="00EF0801" w:rsidRDefault="00F861CF" w:rsidP="00390EE3">
      <w:pPr>
        <w:pStyle w:val="APDCompleteStar"/>
      </w:pPr>
      <w:r w:rsidRPr="00EF0801">
        <w:t>Complete “EGF” only if located in the Houston/Galveston/Brazoria ozone nonattainment area.</w:t>
      </w:r>
    </w:p>
    <w:p w14:paraId="41A03E8D" w14:textId="77777777" w:rsidR="00F861CF" w:rsidRPr="00C21A97" w:rsidRDefault="00F861CF" w:rsidP="00C21A97">
      <w:pPr>
        <w:pStyle w:val="APDStrong"/>
      </w:pPr>
      <w:r w:rsidRPr="00C21A97">
        <w:t>EGF:</w:t>
      </w:r>
    </w:p>
    <w:p w14:paraId="27EBE18C" w14:textId="77777777" w:rsidR="002A5358" w:rsidRDefault="00F861CF" w:rsidP="009D71C0">
      <w:pPr>
        <w:pStyle w:val="APDBodyText"/>
        <w:sectPr w:rsidR="002A5358" w:rsidSect="0031268E">
          <w:pgSz w:w="12240" w:h="15840" w:code="1"/>
          <w:pgMar w:top="720" w:right="720" w:bottom="720" w:left="720" w:header="720" w:footer="720" w:gutter="0"/>
          <w:cols w:space="720"/>
          <w:titlePg/>
          <w:docGrid w:linePitch="360"/>
        </w:sectPr>
      </w:pPr>
      <w:r w:rsidRPr="009D71C0">
        <w:t>Enter “</w:t>
      </w:r>
      <w:r w:rsidR="00B42127">
        <w:t>YES</w:t>
      </w:r>
      <w:r w:rsidRPr="009D71C0">
        <w:t>” if the unit meets the definition of an electric generating facility (EGF). Otherwise, enter “</w:t>
      </w:r>
      <w:r w:rsidR="00B42127">
        <w:t>NO</w:t>
      </w:r>
      <w:r w:rsidRPr="009D71C0">
        <w:t>.”</w:t>
      </w:r>
    </w:p>
    <w:p w14:paraId="09673136" w14:textId="77777777" w:rsidR="00F861CF" w:rsidRPr="00EF0801" w:rsidRDefault="00F861CF" w:rsidP="00F861CF">
      <w:pPr>
        <w:pBdr>
          <w:bottom w:val="double" w:sz="6" w:space="1" w:color="auto"/>
        </w:pBdr>
      </w:pPr>
    </w:p>
    <w:bookmarkStart w:id="74" w:name="Table_6b"/>
    <w:p w14:paraId="4BBFB0BC" w14:textId="4431BB39" w:rsidR="00F861CF" w:rsidRPr="006D67FD" w:rsidRDefault="005F7C62" w:rsidP="002C7C54">
      <w:pPr>
        <w:pStyle w:val="APDChapterTitles"/>
        <w:rPr>
          <w:rStyle w:val="APDTableChapterChar"/>
          <w:rFonts w:eastAsia="Calibri"/>
          <w:b/>
          <w:bCs w:val="0"/>
        </w:rPr>
      </w:pPr>
      <w:r w:rsidRPr="001B0CF4">
        <w:rPr>
          <w:rStyle w:val="Hyperlink"/>
          <w:rFonts w:eastAsia="Calibri"/>
          <w:b/>
          <w:bCs w:val="0"/>
        </w:rPr>
        <w:fldChar w:fldCharType="begin"/>
      </w:r>
      <w:r w:rsidR="007A0C11" w:rsidRPr="001B0CF4">
        <w:rPr>
          <w:rStyle w:val="Hyperlink"/>
          <w:b/>
          <w:bCs w:val="0"/>
        </w:rPr>
        <w:instrText>HYPERLINK  \l "TBL_6b" \o "Table 6b"</w:instrText>
      </w:r>
      <w:r w:rsidRPr="001B0CF4">
        <w:rPr>
          <w:rStyle w:val="Hyperlink"/>
          <w:rFonts w:eastAsia="Calibri"/>
          <w:b/>
          <w:bCs w:val="0"/>
        </w:rPr>
      </w:r>
      <w:r w:rsidRPr="001B0CF4">
        <w:rPr>
          <w:rStyle w:val="Hyperlink"/>
          <w:rFonts w:eastAsia="Calibri"/>
          <w:b/>
          <w:bCs w:val="0"/>
        </w:rPr>
        <w:fldChar w:fldCharType="separate"/>
      </w:r>
      <w:bookmarkStart w:id="75" w:name="_Toc180398504"/>
      <w:bookmarkStart w:id="76" w:name="_Toc180398558"/>
      <w:r w:rsidR="00F861CF" w:rsidRPr="001B0CF4">
        <w:rPr>
          <w:rStyle w:val="Hyperlink"/>
          <w:rFonts w:eastAsia="Calibri"/>
          <w:b/>
          <w:bCs w:val="0"/>
        </w:rPr>
        <w:t>Table 6b</w:t>
      </w:r>
      <w:r w:rsidRPr="001B0CF4">
        <w:rPr>
          <w:rStyle w:val="Hyperlink"/>
          <w:rFonts w:eastAsia="Calibri"/>
          <w:b/>
          <w:bCs w:val="0"/>
        </w:rPr>
        <w:fldChar w:fldCharType="end"/>
      </w:r>
      <w:bookmarkEnd w:id="74"/>
      <w:r w:rsidR="00F861CF" w:rsidRPr="001B0CF4">
        <w:rPr>
          <w:rStyle w:val="Hyperlink"/>
          <w:rFonts w:eastAsia="Calibri"/>
          <w:b/>
          <w:bCs w:val="0"/>
        </w:rPr>
        <w:t>:</w:t>
      </w:r>
      <w:r w:rsidR="00F861CF" w:rsidRPr="00EF0801">
        <w:rPr>
          <w:rFonts w:eastAsia="Calibri"/>
          <w:szCs w:val="20"/>
        </w:rPr>
        <w:tab/>
      </w:r>
      <w:r w:rsidR="00F861CF" w:rsidRPr="006D67FD">
        <w:rPr>
          <w:rStyle w:val="APDTableChapterChar"/>
          <w:rFonts w:eastAsia="Calibri"/>
          <w:b/>
        </w:rPr>
        <w:t>Title 30 Texas Administrative Code Chapter 117 (30 TAC Chapter 117)</w:t>
      </w:r>
      <w:r w:rsidR="00E03505" w:rsidRPr="006D67FD">
        <w:rPr>
          <w:rStyle w:val="APDTableChapterChar"/>
          <w:rFonts w:eastAsia="Calibri"/>
          <w:b/>
        </w:rPr>
        <w:t xml:space="preserve">, </w:t>
      </w:r>
      <w:r w:rsidR="00F861CF" w:rsidRPr="006D67FD">
        <w:rPr>
          <w:rStyle w:val="APDTableChapterChar"/>
          <w:rFonts w:eastAsia="Calibri"/>
          <w:b/>
        </w:rPr>
        <w:t>Subchapter C: Combustion Control at Major Utility Electric Generation Sources in Ozone Non</w:t>
      </w:r>
      <w:r w:rsidR="00F861CF" w:rsidRPr="006D67FD">
        <w:rPr>
          <w:rStyle w:val="APDTableChapterChar"/>
          <w:rFonts w:eastAsia="Calibri"/>
          <w:b/>
        </w:rPr>
        <w:noBreakHyphen/>
        <w:t>Attainment Areas</w:t>
      </w:r>
      <w:bookmarkEnd w:id="75"/>
      <w:bookmarkEnd w:id="76"/>
    </w:p>
    <w:p w14:paraId="13EBEC66" w14:textId="5F296CA1" w:rsidR="00F861CF" w:rsidRPr="00EF0801" w:rsidRDefault="00F861CF" w:rsidP="00D54FD8">
      <w:pPr>
        <w:pStyle w:val="APDStrong"/>
      </w:pPr>
      <w:r w:rsidRPr="00EF0801">
        <w:t xml:space="preserve">Unit ID </w:t>
      </w:r>
      <w:r w:rsidR="00B42127">
        <w:t>N</w:t>
      </w:r>
      <w:r w:rsidR="00FF547C">
        <w:t>o</w:t>
      </w:r>
      <w:r w:rsidRPr="00EF0801">
        <w:t>.</w:t>
      </w:r>
      <w:r w:rsidRPr="00C46EC0">
        <w:rPr>
          <w:bCs/>
        </w:rPr>
        <w:t>:</w:t>
      </w:r>
    </w:p>
    <w:p w14:paraId="5CD8BF33" w14:textId="1D9A63D4" w:rsidR="00F861CF" w:rsidRPr="00EF0801" w:rsidRDefault="00F861CF" w:rsidP="008924AD">
      <w:pPr>
        <w:pStyle w:val="APDBodyText"/>
      </w:pPr>
      <w:r w:rsidRPr="00EF0801">
        <w:t xml:space="preserve">Enter the identification number (ID </w:t>
      </w:r>
      <w:r w:rsidR="00B42127">
        <w:t>N</w:t>
      </w:r>
      <w:r w:rsidR="005667BA">
        <w:t>o</w:t>
      </w:r>
      <w:r w:rsidRPr="00EF0801">
        <w:t>.) for the unit (maximum 10 characters) as listed on Form OP</w:t>
      </w:r>
      <w:r w:rsidRPr="00EF0801">
        <w:noBreakHyphen/>
        <w:t>SUM (Individ</w:t>
      </w:r>
      <w:r w:rsidR="007743B4" w:rsidRPr="00EF0801">
        <w:t>ual</w:t>
      </w:r>
      <w:r w:rsidR="00B239B6">
        <w:t> </w:t>
      </w:r>
      <w:r w:rsidRPr="00EF0801">
        <w:t>Unit Summary).</w:t>
      </w:r>
    </w:p>
    <w:p w14:paraId="022BDF92" w14:textId="59D6CD48" w:rsidR="00F861CF" w:rsidRPr="00EF0801" w:rsidRDefault="00F861CF" w:rsidP="00D54FD8">
      <w:pPr>
        <w:pStyle w:val="APDStrong"/>
      </w:pPr>
      <w:r w:rsidRPr="00EF0801">
        <w:t xml:space="preserve">SOP Index </w:t>
      </w:r>
      <w:r w:rsidR="00B42127">
        <w:t>N</w:t>
      </w:r>
      <w:r w:rsidR="00FF547C">
        <w:t>o</w:t>
      </w:r>
      <w:r w:rsidRPr="00EF0801">
        <w:t>.</w:t>
      </w:r>
      <w:r w:rsidRPr="00C46EC0">
        <w:rPr>
          <w:bCs/>
        </w:rPr>
        <w:t>:</w:t>
      </w:r>
    </w:p>
    <w:p w14:paraId="589767D3" w14:textId="3FF2A657" w:rsidR="00775600" w:rsidRPr="00EF0801" w:rsidRDefault="00F861CF" w:rsidP="008924AD">
      <w:pPr>
        <w:pStyle w:val="APDBodyText"/>
      </w:pPr>
      <w:r w:rsidRPr="00EF0801">
        <w:t xml:space="preserve">Site operating permit (SOP) applicants should indicate the SOP index number for the </w:t>
      </w:r>
      <w:r w:rsidR="007743B4" w:rsidRPr="00EF0801">
        <w:t>unit or group of units (</w:t>
      </w:r>
      <w:r w:rsidR="007743B4" w:rsidRPr="00B239B6">
        <w:t>maximum15</w:t>
      </w:r>
      <w:r w:rsidR="00B239B6">
        <w:t> </w:t>
      </w:r>
      <w:r w:rsidRPr="00EF0801">
        <w:t xml:space="preserve">characters consisting of numeric, alphanumeric characters, and/or dashes prefixed by a code for the applicable regulation [i.e., 60KB-XXXX]). For additional information relating to SOP index numbers, </w:t>
      </w:r>
      <w:r w:rsidR="00775600" w:rsidRPr="00EF0801">
        <w:t xml:space="preserve">please </w:t>
      </w:r>
      <w:r w:rsidR="00775600">
        <w:t xml:space="preserve">see the Completing FOP Applications – Additional Guidance on the </w:t>
      </w:r>
      <w:r w:rsidR="00775600" w:rsidRPr="00EF0801">
        <w:t xml:space="preserve">TCEQ website at </w:t>
      </w:r>
      <w:hyperlink r:id="rId30" w:tooltip="TCEQ - Completing FOP Applications - Additional Guidance" w:history="1">
        <w:r w:rsidR="00775600" w:rsidRPr="00F47022">
          <w:rPr>
            <w:rStyle w:val="Hyperlink"/>
          </w:rPr>
          <w:t>www.tceq.texas.gov/permitting/air/guidance/titlev/tv_fop_guidance.html</w:t>
        </w:r>
      </w:hyperlink>
      <w:r w:rsidR="00775600" w:rsidRPr="00EF0801">
        <w:t>.</w:t>
      </w:r>
    </w:p>
    <w:p w14:paraId="1432F84F" w14:textId="77777777" w:rsidR="00F861CF" w:rsidRPr="00EF0801" w:rsidRDefault="00F861CF" w:rsidP="00390EE3">
      <w:pPr>
        <w:pStyle w:val="APDCompleteStar"/>
      </w:pPr>
      <w:r w:rsidRPr="00EF0801">
        <w:t>Complete “Fuel Firing Option” only if the site is located in the Houston/Galveston/Brazoria ozone nonattainment area and “ESAD NO</w:t>
      </w:r>
      <w:r w:rsidRPr="00EF0801">
        <w:rPr>
          <w:vertAlign w:val="subscript"/>
        </w:rPr>
        <w:t>x</w:t>
      </w:r>
      <w:r w:rsidRPr="00EF0801">
        <w:t xml:space="preserve"> Emission Limitation” is “1210” and “Service Type” is “UTIL.”</w:t>
      </w:r>
    </w:p>
    <w:p w14:paraId="026CA494" w14:textId="77777777" w:rsidR="00F861CF" w:rsidRPr="00EF0801" w:rsidRDefault="00F861CF" w:rsidP="00D54FD8">
      <w:pPr>
        <w:pStyle w:val="APDStrong"/>
      </w:pPr>
      <w:r w:rsidRPr="00EF0801">
        <w:t>Fuel Firing Option</w:t>
      </w:r>
      <w:r w:rsidRPr="00C46EC0">
        <w:rPr>
          <w:bCs/>
        </w:rPr>
        <w:t>:</w:t>
      </w:r>
    </w:p>
    <w:p w14:paraId="1CF265E2" w14:textId="77777777" w:rsidR="00F861CF" w:rsidRDefault="00F861CF" w:rsidP="008924AD">
      <w:pPr>
        <w:pStyle w:val="APDBodyText"/>
      </w:pPr>
      <w:r w:rsidRPr="00EF0801">
        <w:t>Title 30 TAC Chapter 117 provides two methods to be in compliance with the applicable NO</w:t>
      </w:r>
      <w:r w:rsidRPr="00EF0801">
        <w:rPr>
          <w:vertAlign w:val="subscript"/>
        </w:rPr>
        <w:t>x</w:t>
      </w:r>
      <w:r w:rsidRPr="00EF0801">
        <w:t xml:space="preserve"> limitation standards listed in 30 TAC § 117.1210(a)(1)(B). 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9D3395" w14:paraId="4CFAE6C1" w14:textId="77777777" w:rsidTr="007D1934">
        <w:trPr>
          <w:cantSplit/>
          <w:tblHeader/>
        </w:trPr>
        <w:tc>
          <w:tcPr>
            <w:tcW w:w="1530" w:type="dxa"/>
          </w:tcPr>
          <w:p w14:paraId="0C1BE9B3" w14:textId="006718C1" w:rsidR="009D3395" w:rsidRPr="009D3395" w:rsidRDefault="009D3395" w:rsidP="009D3395">
            <w:pPr>
              <w:rPr>
                <w:b/>
                <w:bCs/>
              </w:rPr>
            </w:pPr>
            <w:r w:rsidRPr="009D3395">
              <w:rPr>
                <w:b/>
                <w:bCs/>
              </w:rPr>
              <w:t>Code</w:t>
            </w:r>
          </w:p>
        </w:tc>
        <w:tc>
          <w:tcPr>
            <w:tcW w:w="8550" w:type="dxa"/>
          </w:tcPr>
          <w:p w14:paraId="25E13D57" w14:textId="0E2D508D" w:rsidR="009D3395" w:rsidRPr="009D3395" w:rsidRDefault="009D3395" w:rsidP="009D3395">
            <w:pPr>
              <w:rPr>
                <w:b/>
                <w:bCs/>
              </w:rPr>
            </w:pPr>
            <w:r w:rsidRPr="009D3395">
              <w:rPr>
                <w:b/>
                <w:bCs/>
              </w:rPr>
              <w:t>Description</w:t>
            </w:r>
          </w:p>
        </w:tc>
      </w:tr>
      <w:tr w:rsidR="009D3395" w14:paraId="17D1F3D7" w14:textId="77777777" w:rsidTr="007D1934">
        <w:trPr>
          <w:cantSplit/>
          <w:tblHeader/>
        </w:trPr>
        <w:tc>
          <w:tcPr>
            <w:tcW w:w="1530" w:type="dxa"/>
          </w:tcPr>
          <w:p w14:paraId="50736423" w14:textId="7B77D9AF" w:rsidR="009D3395" w:rsidRDefault="009D3395" w:rsidP="009D3395">
            <w:r w:rsidRPr="00487DFC">
              <w:t>WALL</w:t>
            </w:r>
          </w:p>
        </w:tc>
        <w:tc>
          <w:tcPr>
            <w:tcW w:w="8550" w:type="dxa"/>
          </w:tcPr>
          <w:p w14:paraId="75D56D60" w14:textId="3FE6FA14" w:rsidR="009D3395" w:rsidRDefault="009D3395" w:rsidP="009D3395">
            <w:r w:rsidRPr="00487DFC">
              <w:t>Wall-fired</w:t>
            </w:r>
          </w:p>
        </w:tc>
      </w:tr>
      <w:tr w:rsidR="009D3395" w14:paraId="122EBB95" w14:textId="77777777" w:rsidTr="007D1934">
        <w:trPr>
          <w:cantSplit/>
          <w:tblHeader/>
        </w:trPr>
        <w:tc>
          <w:tcPr>
            <w:tcW w:w="1530" w:type="dxa"/>
          </w:tcPr>
          <w:p w14:paraId="6C842B3C" w14:textId="1B14A5B6" w:rsidR="009D3395" w:rsidRDefault="009D3395" w:rsidP="009D3395">
            <w:r w:rsidRPr="00487DFC">
              <w:t>TANG</w:t>
            </w:r>
          </w:p>
        </w:tc>
        <w:tc>
          <w:tcPr>
            <w:tcW w:w="8550" w:type="dxa"/>
          </w:tcPr>
          <w:p w14:paraId="257B9C7A" w14:textId="022605CC" w:rsidR="009D3395" w:rsidRDefault="009D3395" w:rsidP="009D3395">
            <w:r w:rsidRPr="00487DFC">
              <w:t>Tangential fired</w:t>
            </w:r>
          </w:p>
        </w:tc>
      </w:tr>
    </w:tbl>
    <w:p w14:paraId="55D67E41" w14:textId="374F334A" w:rsidR="00721C9C" w:rsidRDefault="00F861CF" w:rsidP="00390EE3">
      <w:pPr>
        <w:pStyle w:val="APDCompleteStar"/>
      </w:pPr>
      <w:r w:rsidRPr="00EF0801">
        <w:t>Complete “ESAD NO</w:t>
      </w:r>
      <w:r w:rsidRPr="00EF0801">
        <w:rPr>
          <w:vertAlign w:val="subscript"/>
        </w:rPr>
        <w:t>x</w:t>
      </w:r>
      <w:r w:rsidRPr="00EF0801">
        <w:t xml:space="preserve"> Emission Limitation for DFW 8-Hour” only if the site is located in the Dallas/Fort Worth Eight Hour ozone nonattainment area and “ESAD NO</w:t>
      </w:r>
      <w:r w:rsidRPr="00EF0801">
        <w:rPr>
          <w:vertAlign w:val="subscript"/>
        </w:rPr>
        <w:t>x</w:t>
      </w:r>
      <w:r w:rsidRPr="00EF0801">
        <w:t xml:space="preserve"> Emission Limitation” is “X10” and “Service Type” is “UTIL.”</w:t>
      </w:r>
    </w:p>
    <w:p w14:paraId="20B66193" w14:textId="77777777" w:rsidR="00F861CF" w:rsidRPr="00EF0801" w:rsidRDefault="00F861CF" w:rsidP="00D54FD8">
      <w:pPr>
        <w:pStyle w:val="APDStrong"/>
      </w:pPr>
      <w:r w:rsidRPr="00EF0801">
        <w:t>ESAD NO</w:t>
      </w:r>
      <w:r w:rsidRPr="00EF0801">
        <w:rPr>
          <w:vertAlign w:val="subscript"/>
        </w:rPr>
        <w:t>x</w:t>
      </w:r>
      <w:r w:rsidRPr="00EF0801">
        <w:t xml:space="preserve"> Emission Limitation for DFW 8-Hour</w:t>
      </w:r>
      <w:r w:rsidRPr="00C46EC0">
        <w:rPr>
          <w:bCs/>
        </w:rPr>
        <w:t>:</w:t>
      </w:r>
    </w:p>
    <w:p w14:paraId="0FCA15B4" w14:textId="489C029A" w:rsidR="00F861CF" w:rsidRDefault="00F861CF" w:rsidP="008924AD">
      <w:pPr>
        <w:pStyle w:val="APDBodyText"/>
      </w:pPr>
      <w:r w:rsidRPr="00EF0801">
        <w:t>Title 30 TAC Chapter 117 provides several methods to be in compliance with the applicable NO</w:t>
      </w:r>
      <w:r w:rsidRPr="00EF0801">
        <w:rPr>
          <w:vertAlign w:val="subscript"/>
        </w:rPr>
        <w:t>x</w:t>
      </w:r>
      <w:r w:rsidRPr="00EF0801">
        <w:t xml:space="preserve"> limitation standards listed in 30 TAC § 117.1310. 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03BC6" w14:paraId="363740ED" w14:textId="77777777" w:rsidTr="00A03BC6">
        <w:trPr>
          <w:cantSplit/>
          <w:tblHeader/>
        </w:trPr>
        <w:tc>
          <w:tcPr>
            <w:tcW w:w="1530" w:type="dxa"/>
          </w:tcPr>
          <w:p w14:paraId="4DC9E4E4" w14:textId="4408A450" w:rsidR="00A03BC6" w:rsidRPr="00A03BC6" w:rsidRDefault="00A03BC6" w:rsidP="00A03BC6">
            <w:pPr>
              <w:rPr>
                <w:b/>
                <w:bCs/>
              </w:rPr>
            </w:pPr>
            <w:r w:rsidRPr="00A03BC6">
              <w:rPr>
                <w:b/>
                <w:bCs/>
              </w:rPr>
              <w:t>Code</w:t>
            </w:r>
          </w:p>
        </w:tc>
        <w:tc>
          <w:tcPr>
            <w:tcW w:w="8550" w:type="dxa"/>
          </w:tcPr>
          <w:p w14:paraId="555EF058" w14:textId="1A947312" w:rsidR="00A03BC6" w:rsidRPr="00A03BC6" w:rsidRDefault="00A03BC6" w:rsidP="00A03BC6">
            <w:pPr>
              <w:rPr>
                <w:b/>
                <w:bCs/>
              </w:rPr>
            </w:pPr>
            <w:r w:rsidRPr="00A03BC6">
              <w:rPr>
                <w:b/>
                <w:bCs/>
              </w:rPr>
              <w:t>Description</w:t>
            </w:r>
          </w:p>
        </w:tc>
      </w:tr>
      <w:tr w:rsidR="00A03BC6" w14:paraId="1D59D7E9" w14:textId="77777777" w:rsidTr="00A03BC6">
        <w:trPr>
          <w:cantSplit/>
          <w:tblHeader/>
        </w:trPr>
        <w:tc>
          <w:tcPr>
            <w:tcW w:w="1530" w:type="dxa"/>
          </w:tcPr>
          <w:p w14:paraId="00C29F97" w14:textId="4C0F437E" w:rsidR="00A03BC6" w:rsidRDefault="00A03BC6" w:rsidP="00A03BC6">
            <w:r w:rsidRPr="005D3ED6">
              <w:t>SMALL</w:t>
            </w:r>
          </w:p>
        </w:tc>
        <w:tc>
          <w:tcPr>
            <w:tcW w:w="8550" w:type="dxa"/>
          </w:tcPr>
          <w:p w14:paraId="45710F04" w14:textId="009D1D55" w:rsidR="00A03BC6" w:rsidRDefault="00A03BC6" w:rsidP="00A03BC6">
            <w:r w:rsidRPr="005D3ED6">
              <w:t>Unit part of a small utility system as defined in § 117.10</w:t>
            </w:r>
          </w:p>
        </w:tc>
      </w:tr>
      <w:tr w:rsidR="00A03BC6" w14:paraId="67837567" w14:textId="77777777" w:rsidTr="00A03BC6">
        <w:trPr>
          <w:cantSplit/>
          <w:tblHeader/>
        </w:trPr>
        <w:tc>
          <w:tcPr>
            <w:tcW w:w="1530" w:type="dxa"/>
          </w:tcPr>
          <w:p w14:paraId="1ABCC137" w14:textId="267AF037" w:rsidR="00A03BC6" w:rsidRDefault="00A03BC6" w:rsidP="00A03BC6">
            <w:r w:rsidRPr="005D3ED6">
              <w:t>ANNUAL</w:t>
            </w:r>
          </w:p>
        </w:tc>
        <w:tc>
          <w:tcPr>
            <w:tcW w:w="8550" w:type="dxa"/>
          </w:tcPr>
          <w:p w14:paraId="564D1DF7" w14:textId="555E3982" w:rsidR="00A03BC6" w:rsidRDefault="00A03BC6" w:rsidP="00A03BC6">
            <w:r w:rsidRPr="005D3ED6">
              <w:t>Unit calculating emissions on an annual average basis lb/MW-hr</w:t>
            </w:r>
          </w:p>
        </w:tc>
      </w:tr>
      <w:tr w:rsidR="00A03BC6" w14:paraId="733C5499" w14:textId="77777777" w:rsidTr="00A03BC6">
        <w:trPr>
          <w:cantSplit/>
          <w:tblHeader/>
        </w:trPr>
        <w:tc>
          <w:tcPr>
            <w:tcW w:w="1530" w:type="dxa"/>
          </w:tcPr>
          <w:p w14:paraId="393BE71B" w14:textId="1AD1192B" w:rsidR="00A03BC6" w:rsidRDefault="00A03BC6" w:rsidP="00A03BC6">
            <w:r w:rsidRPr="005D3ED6">
              <w:t>LRG-SW</w:t>
            </w:r>
          </w:p>
        </w:tc>
        <w:tc>
          <w:tcPr>
            <w:tcW w:w="8550" w:type="dxa"/>
          </w:tcPr>
          <w:p w14:paraId="4A1DC5DC" w14:textId="62BF35D3" w:rsidR="00A03BC6" w:rsidRDefault="00A03BC6" w:rsidP="00A03BC6">
            <w:r w:rsidRPr="005D3ED6">
              <w:t>Unit part of a large utility system calculating emissions on a system-wide heat input weighted average basis</w:t>
            </w:r>
          </w:p>
        </w:tc>
      </w:tr>
      <w:tr w:rsidR="00A03BC6" w14:paraId="5EE82B08" w14:textId="77777777" w:rsidTr="00A03BC6">
        <w:trPr>
          <w:cantSplit/>
          <w:trHeight w:val="688"/>
          <w:tblHeader/>
        </w:trPr>
        <w:tc>
          <w:tcPr>
            <w:tcW w:w="1530" w:type="dxa"/>
          </w:tcPr>
          <w:p w14:paraId="6C865CF4" w14:textId="5C80CA20" w:rsidR="00A03BC6" w:rsidRDefault="00A03BC6" w:rsidP="00A03BC6">
            <w:r w:rsidRPr="005D3ED6">
              <w:t>LRG</w:t>
            </w:r>
          </w:p>
        </w:tc>
        <w:tc>
          <w:tcPr>
            <w:tcW w:w="8550" w:type="dxa"/>
          </w:tcPr>
          <w:p w14:paraId="79A8E1B7" w14:textId="53D70BBC" w:rsidR="00A03BC6" w:rsidRDefault="00A03BC6" w:rsidP="00A03BC6">
            <w:r w:rsidRPr="005D3ED6">
              <w:t>Unit part of a large utility system not calculating emissions on a system-wide heat input weighted average basis.</w:t>
            </w:r>
          </w:p>
        </w:tc>
      </w:tr>
    </w:tbl>
    <w:p w14:paraId="0FACD247" w14:textId="77777777" w:rsidR="00620B95" w:rsidRDefault="00620B95" w:rsidP="00A03BC6">
      <w:pPr>
        <w:pStyle w:val="APDStrong"/>
        <w:spacing w:before="120"/>
        <w:sectPr w:rsidR="00620B95" w:rsidSect="0031268E">
          <w:pgSz w:w="12240" w:h="15840" w:code="1"/>
          <w:pgMar w:top="720" w:right="720" w:bottom="720" w:left="720" w:header="720" w:footer="720" w:gutter="0"/>
          <w:cols w:space="720"/>
          <w:titlePg/>
          <w:docGrid w:linePitch="360"/>
        </w:sectPr>
      </w:pPr>
    </w:p>
    <w:p w14:paraId="3E1ACAB1" w14:textId="4E482B7D" w:rsidR="00F861CF" w:rsidRPr="00EF0801" w:rsidRDefault="00F861CF" w:rsidP="00A03BC6">
      <w:pPr>
        <w:pStyle w:val="APDStrong"/>
        <w:spacing w:before="120"/>
      </w:pPr>
      <w:r w:rsidRPr="00EF0801">
        <w:lastRenderedPageBreak/>
        <w:t>NO</w:t>
      </w:r>
      <w:r w:rsidRPr="00EF0801">
        <w:rPr>
          <w:vertAlign w:val="subscript"/>
        </w:rPr>
        <w:t>x</w:t>
      </w:r>
      <w:r w:rsidRPr="00EF0801">
        <w:t xml:space="preserve"> Monitoring System</w:t>
      </w:r>
      <w:r w:rsidRPr="003F6B96">
        <w:rPr>
          <w:bCs/>
        </w:rPr>
        <w:t>:</w:t>
      </w:r>
    </w:p>
    <w:p w14:paraId="24DEC956" w14:textId="77777777" w:rsidR="00F861CF" w:rsidRDefault="00F861CF" w:rsidP="008924AD">
      <w:pPr>
        <w:pStyle w:val="APDBodyText"/>
      </w:pPr>
      <w:r w:rsidRPr="00EF0801">
        <w:t>Select one of the following monitoring system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DE55EE" w14:paraId="31437B92" w14:textId="77777777" w:rsidTr="00DE55EE">
        <w:trPr>
          <w:cantSplit/>
          <w:tblHeader/>
        </w:trPr>
        <w:tc>
          <w:tcPr>
            <w:tcW w:w="1530" w:type="dxa"/>
          </w:tcPr>
          <w:p w14:paraId="0D1C7BBF" w14:textId="07575F8A" w:rsidR="00DE55EE" w:rsidRPr="00DE55EE" w:rsidRDefault="00DE55EE" w:rsidP="00DE55EE">
            <w:pPr>
              <w:rPr>
                <w:b/>
                <w:bCs/>
              </w:rPr>
            </w:pPr>
            <w:r w:rsidRPr="00DE55EE">
              <w:rPr>
                <w:b/>
                <w:bCs/>
              </w:rPr>
              <w:t>Code</w:t>
            </w:r>
          </w:p>
        </w:tc>
        <w:tc>
          <w:tcPr>
            <w:tcW w:w="8550" w:type="dxa"/>
          </w:tcPr>
          <w:p w14:paraId="18C3F966" w14:textId="3DF8EDD3" w:rsidR="00DE55EE" w:rsidRPr="00DE55EE" w:rsidRDefault="00DE55EE" w:rsidP="00DE55EE">
            <w:pPr>
              <w:rPr>
                <w:b/>
                <w:bCs/>
              </w:rPr>
            </w:pPr>
            <w:r w:rsidRPr="00DE55EE">
              <w:rPr>
                <w:b/>
                <w:bCs/>
              </w:rPr>
              <w:t>Description</w:t>
            </w:r>
          </w:p>
        </w:tc>
      </w:tr>
      <w:tr w:rsidR="00DE55EE" w14:paraId="2A3AAE6E" w14:textId="77777777" w:rsidTr="00DE55EE">
        <w:trPr>
          <w:cantSplit/>
          <w:tblHeader/>
        </w:trPr>
        <w:tc>
          <w:tcPr>
            <w:tcW w:w="1530" w:type="dxa"/>
          </w:tcPr>
          <w:p w14:paraId="04E86EC1" w14:textId="11C89671" w:rsidR="00DE55EE" w:rsidRDefault="00DE55EE" w:rsidP="00DE55EE">
            <w:r w:rsidRPr="00E85B24">
              <w:t>75-E</w:t>
            </w:r>
          </w:p>
        </w:tc>
        <w:tc>
          <w:tcPr>
            <w:tcW w:w="8550" w:type="dxa"/>
          </w:tcPr>
          <w:p w14:paraId="63ED8601" w14:textId="574017E9" w:rsidR="00DE55EE" w:rsidRDefault="00DE55EE" w:rsidP="00DE55EE">
            <w:r w:rsidRPr="00E85B24">
              <w:t>Monitoring operating parameters in accordance with 40 CFR Part 75, Appendix E</w:t>
            </w:r>
          </w:p>
        </w:tc>
      </w:tr>
      <w:tr w:rsidR="00DE55EE" w14:paraId="102C333A" w14:textId="77777777" w:rsidTr="00DE55EE">
        <w:trPr>
          <w:cantSplit/>
          <w:tblHeader/>
        </w:trPr>
        <w:tc>
          <w:tcPr>
            <w:tcW w:w="1530" w:type="dxa"/>
          </w:tcPr>
          <w:p w14:paraId="2842722D" w14:textId="50E21B96" w:rsidR="00DE55EE" w:rsidRDefault="00DE55EE" w:rsidP="00DE55EE">
            <w:r w:rsidRPr="00E85B24">
              <w:t>CEMS</w:t>
            </w:r>
          </w:p>
        </w:tc>
        <w:tc>
          <w:tcPr>
            <w:tcW w:w="8550" w:type="dxa"/>
          </w:tcPr>
          <w:p w14:paraId="1822F560" w14:textId="0D493072" w:rsidR="00DE55EE" w:rsidRDefault="00DE55EE" w:rsidP="00DE55EE">
            <w:r w:rsidRPr="00E85B24">
              <w:t>Continuous emission monitoring system</w:t>
            </w:r>
          </w:p>
        </w:tc>
      </w:tr>
      <w:tr w:rsidR="00DE55EE" w14:paraId="5B5A8BC9" w14:textId="77777777" w:rsidTr="00DE55EE">
        <w:trPr>
          <w:cantSplit/>
          <w:tblHeader/>
        </w:trPr>
        <w:tc>
          <w:tcPr>
            <w:tcW w:w="1530" w:type="dxa"/>
          </w:tcPr>
          <w:p w14:paraId="0AB5F943" w14:textId="4BD44EEB" w:rsidR="00DE55EE" w:rsidRDefault="00DE55EE" w:rsidP="00DE55EE">
            <w:r w:rsidRPr="00E85B24">
              <w:t>PEMS</w:t>
            </w:r>
          </w:p>
        </w:tc>
        <w:tc>
          <w:tcPr>
            <w:tcW w:w="8550" w:type="dxa"/>
          </w:tcPr>
          <w:p w14:paraId="022833DE" w14:textId="2AE46E7B" w:rsidR="00DE55EE" w:rsidRDefault="00DE55EE" w:rsidP="00DE55EE">
            <w:r w:rsidRPr="00E85B24">
              <w:t>Predictive emission monitoring system in accordance with 30 TAC §§ 117.1040(f), 117.1240(g) or 117.1340(g)</w:t>
            </w:r>
          </w:p>
        </w:tc>
      </w:tr>
      <w:tr w:rsidR="00DE55EE" w14:paraId="4A7621CA" w14:textId="77777777" w:rsidTr="00DE55EE">
        <w:trPr>
          <w:cantSplit/>
          <w:tblHeader/>
        </w:trPr>
        <w:tc>
          <w:tcPr>
            <w:tcW w:w="1530" w:type="dxa"/>
          </w:tcPr>
          <w:p w14:paraId="3BB18A72" w14:textId="186F27BF" w:rsidR="00DE55EE" w:rsidRDefault="00DE55EE" w:rsidP="00DE55EE">
            <w:r w:rsidRPr="00E85B24">
              <w:t>1HR</w:t>
            </w:r>
          </w:p>
        </w:tc>
        <w:tc>
          <w:tcPr>
            <w:tcW w:w="8550" w:type="dxa"/>
          </w:tcPr>
          <w:p w14:paraId="2518FB87" w14:textId="7B5493AA" w:rsidR="00DE55EE" w:rsidRDefault="00DE55EE" w:rsidP="00DE55EE">
            <w:r w:rsidRPr="00E85B24">
              <w:t>Monitoring operating parameters using the maximum block 1-hour emission rate as measured by the 30-day test</w:t>
            </w:r>
          </w:p>
        </w:tc>
      </w:tr>
      <w:tr w:rsidR="00DE55EE" w14:paraId="5E2892C1" w14:textId="77777777" w:rsidTr="00DE55EE">
        <w:trPr>
          <w:cantSplit/>
          <w:tblHeader/>
        </w:trPr>
        <w:tc>
          <w:tcPr>
            <w:tcW w:w="1530" w:type="dxa"/>
          </w:tcPr>
          <w:p w14:paraId="30FB219E" w14:textId="76B1D352" w:rsidR="00DE55EE" w:rsidRDefault="00DE55EE" w:rsidP="00DE55EE">
            <w:r w:rsidRPr="00E85B24">
              <w:t>NONE</w:t>
            </w:r>
          </w:p>
        </w:tc>
        <w:tc>
          <w:tcPr>
            <w:tcW w:w="8550" w:type="dxa"/>
          </w:tcPr>
          <w:p w14:paraId="2D457F12" w14:textId="1F04E6A7" w:rsidR="00DE55EE" w:rsidRDefault="00DE55EE" w:rsidP="00DE55EE">
            <w:r w:rsidRPr="00E85B24">
              <w:t>Not using any of the above options</w:t>
            </w:r>
          </w:p>
        </w:tc>
      </w:tr>
    </w:tbl>
    <w:p w14:paraId="0F4B69A9" w14:textId="2233E1A7" w:rsidR="00F861CF" w:rsidRPr="00EF0801" w:rsidRDefault="00F861CF" w:rsidP="00390EE3">
      <w:pPr>
        <w:pStyle w:val="APDCompleteStar"/>
      </w:pPr>
      <w:r w:rsidRPr="00EF0801">
        <w:t xml:space="preserve">Complete “Title 30 TAC Chapter 116 Permit Limit” only if in the Beaumont/Port Arthur ozone nonattainment area, “RACT </w:t>
      </w:r>
      <w:r w:rsidR="00B42127">
        <w:t>NO</w:t>
      </w:r>
      <w:r w:rsidRPr="00EF0801">
        <w:t xml:space="preserve"> Emission Limitation” is “X05” and the unit is an auxiliary steam boiler.</w:t>
      </w:r>
    </w:p>
    <w:p w14:paraId="5B212DE4" w14:textId="77777777" w:rsidR="00F861CF" w:rsidRPr="00EF0801" w:rsidRDefault="00F861CF" w:rsidP="00D54FD8">
      <w:pPr>
        <w:pStyle w:val="APDStrong"/>
      </w:pPr>
      <w:r w:rsidRPr="00EF0801">
        <w:t>Title 30 TAC Chapter 116 Permit Limit</w:t>
      </w:r>
      <w:r w:rsidRPr="003F6B96">
        <w:rPr>
          <w:bCs/>
        </w:rPr>
        <w:t>:</w:t>
      </w:r>
    </w:p>
    <w:p w14:paraId="22EA7832" w14:textId="77777777" w:rsidR="00F861CF" w:rsidRDefault="00F861CF" w:rsidP="00272C73">
      <w:pPr>
        <w:pStyle w:val="APDBodyText"/>
      </w:pPr>
      <w:r w:rsidRPr="00EF0801">
        <w:t>Select one of the following descriptions of the 30 TAC Chapter 116 permit limit.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274BD" w14:paraId="63CE7734" w14:textId="77777777" w:rsidTr="0014440F">
        <w:tc>
          <w:tcPr>
            <w:tcW w:w="1530" w:type="dxa"/>
          </w:tcPr>
          <w:p w14:paraId="6580C5A9" w14:textId="4356926D" w:rsidR="008274BD" w:rsidRPr="008274BD" w:rsidRDefault="008274BD" w:rsidP="008274BD">
            <w:pPr>
              <w:rPr>
                <w:b/>
                <w:bCs/>
              </w:rPr>
            </w:pPr>
            <w:r w:rsidRPr="008274BD">
              <w:rPr>
                <w:b/>
                <w:bCs/>
              </w:rPr>
              <w:t>Code</w:t>
            </w:r>
          </w:p>
        </w:tc>
        <w:tc>
          <w:tcPr>
            <w:tcW w:w="8550" w:type="dxa"/>
          </w:tcPr>
          <w:p w14:paraId="182BCFC5" w14:textId="6B3C4A5E" w:rsidR="008274BD" w:rsidRPr="008274BD" w:rsidRDefault="008274BD" w:rsidP="008274BD">
            <w:pPr>
              <w:rPr>
                <w:b/>
                <w:bCs/>
              </w:rPr>
            </w:pPr>
            <w:r w:rsidRPr="008274BD">
              <w:rPr>
                <w:b/>
                <w:bCs/>
              </w:rPr>
              <w:t>Description</w:t>
            </w:r>
          </w:p>
        </w:tc>
      </w:tr>
      <w:tr w:rsidR="008274BD" w14:paraId="0A199E08" w14:textId="77777777" w:rsidTr="0014440F">
        <w:tc>
          <w:tcPr>
            <w:tcW w:w="1530" w:type="dxa"/>
          </w:tcPr>
          <w:p w14:paraId="02C00067" w14:textId="02FDF223" w:rsidR="008274BD" w:rsidRDefault="008274BD" w:rsidP="008274BD">
            <w:r w:rsidRPr="00E4268F">
              <w:t>82Y</w:t>
            </w:r>
          </w:p>
        </w:tc>
        <w:tc>
          <w:tcPr>
            <w:tcW w:w="8550" w:type="dxa"/>
          </w:tcPr>
          <w:p w14:paraId="1ADC2239" w14:textId="633ED119" w:rsidR="008274BD" w:rsidRDefault="008274BD" w:rsidP="008274BD">
            <w:r w:rsidRPr="00E4268F">
              <w:t>Emission limit in a 30 TAC Chapter 116 permit issued after March 3, 1982, is equal to 0.12</w:t>
            </w:r>
            <w:r w:rsidRPr="00E4268F">
              <w:noBreakHyphen/>
              <w:t>pound NO</w:t>
            </w:r>
            <w:r w:rsidRPr="00E4268F">
              <w:rPr>
                <w:vertAlign w:val="subscript"/>
              </w:rPr>
              <w:t>x</w:t>
            </w:r>
            <w:r w:rsidRPr="00E4268F">
              <w:t xml:space="preserve"> per MMBtu heat input</w:t>
            </w:r>
          </w:p>
        </w:tc>
      </w:tr>
    </w:tbl>
    <w:p w14:paraId="65668FB8" w14:textId="77777777" w:rsidR="00F861CF" w:rsidRDefault="00F861CF" w:rsidP="008274BD">
      <w:pPr>
        <w:pStyle w:val="APDCodeIdentifiers"/>
        <w:spacing w:before="120"/>
      </w:pPr>
      <w:r w:rsidRPr="00EF0801">
        <w:t>For units having a 30 TAC Chapter 116 permit in effect on June 9, 1993:</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F6F97" w14:paraId="6AC3A29D" w14:textId="77777777" w:rsidTr="0014440F">
        <w:trPr>
          <w:cantSplit/>
          <w:tblHeader/>
        </w:trPr>
        <w:tc>
          <w:tcPr>
            <w:tcW w:w="1530" w:type="dxa"/>
          </w:tcPr>
          <w:p w14:paraId="32AE63D0" w14:textId="3CDC1AA8" w:rsidR="008F6F97" w:rsidRPr="008F6F97" w:rsidRDefault="008F6F97" w:rsidP="008F6F97">
            <w:pPr>
              <w:rPr>
                <w:b/>
                <w:bCs/>
              </w:rPr>
            </w:pPr>
            <w:r w:rsidRPr="008F6F97">
              <w:rPr>
                <w:b/>
                <w:bCs/>
              </w:rPr>
              <w:t>Code</w:t>
            </w:r>
          </w:p>
        </w:tc>
        <w:tc>
          <w:tcPr>
            <w:tcW w:w="8550" w:type="dxa"/>
          </w:tcPr>
          <w:p w14:paraId="67380278" w14:textId="62F76457" w:rsidR="008F6F97" w:rsidRPr="008F6F97" w:rsidRDefault="008F6F97" w:rsidP="008F6F97">
            <w:pPr>
              <w:rPr>
                <w:b/>
                <w:bCs/>
              </w:rPr>
            </w:pPr>
            <w:r w:rsidRPr="008F6F97">
              <w:rPr>
                <w:b/>
                <w:bCs/>
              </w:rPr>
              <w:t>Description</w:t>
            </w:r>
          </w:p>
        </w:tc>
      </w:tr>
      <w:tr w:rsidR="008F6F97" w14:paraId="6CDAF4C0" w14:textId="77777777" w:rsidTr="0014440F">
        <w:trPr>
          <w:cantSplit/>
          <w:tblHeader/>
        </w:trPr>
        <w:tc>
          <w:tcPr>
            <w:tcW w:w="1530" w:type="dxa"/>
          </w:tcPr>
          <w:p w14:paraId="6E4245E3" w14:textId="47D1381E" w:rsidR="008F6F97" w:rsidRDefault="008F6F97" w:rsidP="008F6F97">
            <w:r w:rsidRPr="009A355B">
              <w:t>93Y</w:t>
            </w:r>
          </w:p>
        </w:tc>
        <w:tc>
          <w:tcPr>
            <w:tcW w:w="8550" w:type="dxa"/>
          </w:tcPr>
          <w:p w14:paraId="7F800208" w14:textId="4062C0EC" w:rsidR="008F6F97" w:rsidRDefault="008F6F97" w:rsidP="008F6F97">
            <w:r w:rsidRPr="009A355B">
              <w:t>NO</w:t>
            </w:r>
            <w:r w:rsidRPr="009A355B">
              <w:rPr>
                <w:vertAlign w:val="subscript"/>
              </w:rPr>
              <w:t>x</w:t>
            </w:r>
            <w:r w:rsidRPr="009A355B">
              <w:t xml:space="preserve"> emission limit in 30 TAC § 117.1005 is greater than the NO</w:t>
            </w:r>
            <w:r w:rsidRPr="009A355B">
              <w:rPr>
                <w:vertAlign w:val="subscript"/>
              </w:rPr>
              <w:t>x</w:t>
            </w:r>
            <w:r w:rsidRPr="009A355B">
              <w:t xml:space="preserve"> emission limit in a 30 TAC Chapter 116 permit</w:t>
            </w:r>
          </w:p>
        </w:tc>
      </w:tr>
      <w:tr w:rsidR="008F6F97" w14:paraId="7C76FB96" w14:textId="77777777" w:rsidTr="0014440F">
        <w:trPr>
          <w:cantSplit/>
          <w:tblHeader/>
        </w:trPr>
        <w:tc>
          <w:tcPr>
            <w:tcW w:w="1530" w:type="dxa"/>
          </w:tcPr>
          <w:p w14:paraId="26EC4FBB" w14:textId="278FF866" w:rsidR="008F6F97" w:rsidRDefault="008F6F97" w:rsidP="008F6F97">
            <w:r w:rsidRPr="009A355B">
              <w:t>93N</w:t>
            </w:r>
          </w:p>
        </w:tc>
        <w:tc>
          <w:tcPr>
            <w:tcW w:w="8550" w:type="dxa"/>
          </w:tcPr>
          <w:p w14:paraId="52BB74A7" w14:textId="7BAD6E12" w:rsidR="008F6F97" w:rsidRDefault="008F6F97" w:rsidP="008F6F97">
            <w:r w:rsidRPr="009A355B">
              <w:t>NOx emission limit in 30 TAC § 117.1005 is not greater than the NO</w:t>
            </w:r>
            <w:r w:rsidRPr="009A355B">
              <w:rPr>
                <w:vertAlign w:val="subscript"/>
              </w:rPr>
              <w:t>x</w:t>
            </w:r>
            <w:r w:rsidRPr="009A355B">
              <w:t xml:space="preserve"> emission limit in a 30 TAC Chapter 116 permit</w:t>
            </w:r>
          </w:p>
        </w:tc>
      </w:tr>
    </w:tbl>
    <w:p w14:paraId="14D760B2" w14:textId="3D1DFAEC" w:rsidR="00F861CF" w:rsidRDefault="00F861CF" w:rsidP="008F6F97">
      <w:pPr>
        <w:pStyle w:val="APDCodeIdentifiers"/>
        <w:spacing w:before="120"/>
      </w:pPr>
      <w:r w:rsidRPr="00EF0801">
        <w:t xml:space="preserve">For units placed into service after June 9, </w:t>
      </w:r>
      <w:r w:rsidR="00D75D6A" w:rsidRPr="00EF0801">
        <w:t>1993,</w:t>
      </w:r>
      <w:r w:rsidRPr="00EF0801">
        <w:t xml:space="preserve"> and prior to the final compliance date in 30 TAC § 117.9100, as functionally identical replacement for an existing unit or group of units and limited to the cumulative maximum rated capacity of the units replaced:</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F7798" w14:paraId="0552136F" w14:textId="77777777" w:rsidTr="00D13396">
        <w:trPr>
          <w:cantSplit/>
          <w:tblHeader/>
        </w:trPr>
        <w:tc>
          <w:tcPr>
            <w:tcW w:w="1530" w:type="dxa"/>
          </w:tcPr>
          <w:p w14:paraId="67929C0A" w14:textId="5A12F504" w:rsidR="00AF7798" w:rsidRPr="00AF7798" w:rsidRDefault="00AF7798" w:rsidP="00AF7798">
            <w:pPr>
              <w:rPr>
                <w:b/>
                <w:bCs/>
              </w:rPr>
            </w:pPr>
            <w:r w:rsidRPr="00AF7798">
              <w:rPr>
                <w:b/>
                <w:bCs/>
              </w:rPr>
              <w:t>Code</w:t>
            </w:r>
          </w:p>
        </w:tc>
        <w:tc>
          <w:tcPr>
            <w:tcW w:w="8550" w:type="dxa"/>
          </w:tcPr>
          <w:p w14:paraId="7E790F6F" w14:textId="244E7C9C" w:rsidR="00AF7798" w:rsidRPr="00AF7798" w:rsidRDefault="00AF7798" w:rsidP="00AF7798">
            <w:pPr>
              <w:rPr>
                <w:b/>
                <w:bCs/>
              </w:rPr>
            </w:pPr>
            <w:r w:rsidRPr="00AF7798">
              <w:rPr>
                <w:b/>
                <w:bCs/>
              </w:rPr>
              <w:t>Description</w:t>
            </w:r>
          </w:p>
        </w:tc>
      </w:tr>
      <w:tr w:rsidR="00AF7798" w14:paraId="35CBC373" w14:textId="77777777" w:rsidTr="00D13396">
        <w:trPr>
          <w:cantSplit/>
          <w:tblHeader/>
        </w:trPr>
        <w:tc>
          <w:tcPr>
            <w:tcW w:w="1530" w:type="dxa"/>
          </w:tcPr>
          <w:p w14:paraId="38C03169" w14:textId="720F448F" w:rsidR="00AF7798" w:rsidRDefault="00AF7798" w:rsidP="00AF7798">
            <w:r w:rsidRPr="00C3783E">
              <w:t>95Y</w:t>
            </w:r>
          </w:p>
        </w:tc>
        <w:tc>
          <w:tcPr>
            <w:tcW w:w="8550" w:type="dxa"/>
          </w:tcPr>
          <w:p w14:paraId="403469CD" w14:textId="4EC624A0" w:rsidR="00AF7798" w:rsidRDefault="00AF7798" w:rsidP="00AF7798">
            <w:r w:rsidRPr="00C3783E">
              <w:t>Emission limit in 30 TAC § 117.1005 is greater than the NO</w:t>
            </w:r>
            <w:r w:rsidRPr="00C3783E">
              <w:rPr>
                <w:vertAlign w:val="subscript"/>
              </w:rPr>
              <w:t>x</w:t>
            </w:r>
            <w:r w:rsidRPr="00C3783E">
              <w:t xml:space="preserve"> emission limit in any 30 TAC Chapter 116 permit issued after June 9, 1993</w:t>
            </w:r>
          </w:p>
        </w:tc>
      </w:tr>
      <w:tr w:rsidR="00AF7798" w14:paraId="77991102" w14:textId="77777777" w:rsidTr="00D13396">
        <w:trPr>
          <w:cantSplit/>
          <w:tblHeader/>
        </w:trPr>
        <w:tc>
          <w:tcPr>
            <w:tcW w:w="1530" w:type="dxa"/>
          </w:tcPr>
          <w:p w14:paraId="6515F4C8" w14:textId="2277DF93" w:rsidR="00AF7798" w:rsidRDefault="00AF7798" w:rsidP="00AF7798">
            <w:r w:rsidRPr="00C3783E">
              <w:t>95N</w:t>
            </w:r>
          </w:p>
        </w:tc>
        <w:tc>
          <w:tcPr>
            <w:tcW w:w="8550" w:type="dxa"/>
          </w:tcPr>
          <w:p w14:paraId="165C8CFA" w14:textId="6BC8CEE2" w:rsidR="00AF7798" w:rsidRDefault="00AF7798" w:rsidP="00AF7798">
            <w:r w:rsidRPr="00C3783E">
              <w:t>Emission limit in 30 TAC § 117.1005 is not greater than the NO</w:t>
            </w:r>
            <w:r w:rsidRPr="00C3783E">
              <w:rPr>
                <w:vertAlign w:val="subscript"/>
              </w:rPr>
              <w:t>x</w:t>
            </w:r>
            <w:r w:rsidRPr="00C3783E">
              <w:t xml:space="preserve"> emission limit in any 30 TAC Chapter 116 permit issued after June 9, 1993</w:t>
            </w:r>
          </w:p>
        </w:tc>
      </w:tr>
    </w:tbl>
    <w:p w14:paraId="0459DDA0" w14:textId="77777777" w:rsidR="00583413" w:rsidRDefault="00583413" w:rsidP="00AF7798">
      <w:pPr>
        <w:pStyle w:val="APDStrong"/>
        <w:spacing w:before="120"/>
        <w:sectPr w:rsidR="00583413" w:rsidSect="0031268E">
          <w:pgSz w:w="12240" w:h="15840" w:code="1"/>
          <w:pgMar w:top="720" w:right="720" w:bottom="720" w:left="720" w:header="720" w:footer="720" w:gutter="0"/>
          <w:cols w:space="720"/>
          <w:titlePg/>
          <w:docGrid w:linePitch="360"/>
        </w:sectPr>
      </w:pPr>
    </w:p>
    <w:p w14:paraId="17C8D1CD" w14:textId="62BD4647" w:rsidR="00F861CF" w:rsidRPr="00EF0801" w:rsidRDefault="00F861CF" w:rsidP="00AF7798">
      <w:pPr>
        <w:pStyle w:val="APDStrong"/>
        <w:spacing w:before="120"/>
      </w:pPr>
      <w:r w:rsidRPr="00EF0801">
        <w:lastRenderedPageBreak/>
        <w:t>CO Emission Limitation</w:t>
      </w:r>
      <w:r w:rsidRPr="003F6B96">
        <w:rPr>
          <w:bCs/>
        </w:rPr>
        <w:t>:</w:t>
      </w:r>
    </w:p>
    <w:p w14:paraId="0E255535" w14:textId="77777777" w:rsidR="00F861CF" w:rsidRDefault="00F861CF" w:rsidP="00272C73">
      <w:pPr>
        <w:pStyle w:val="APDBodyText"/>
      </w:pPr>
      <w:r w:rsidRPr="00EF0801">
        <w:t>Title 30 TAC Chapter 117 provides options to be in compliance with the applicable CO emission specifications of 30 TAC Chapter 117, Subchapter C. 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1C7C9A" w14:paraId="02A39E7A" w14:textId="77777777" w:rsidTr="00373AAE">
        <w:trPr>
          <w:cantSplit/>
          <w:tblHeader/>
        </w:trPr>
        <w:tc>
          <w:tcPr>
            <w:tcW w:w="1530" w:type="dxa"/>
          </w:tcPr>
          <w:p w14:paraId="73F86B10" w14:textId="6173ACC1" w:rsidR="001C7C9A" w:rsidRPr="001C7C9A" w:rsidRDefault="001C7C9A" w:rsidP="001C7C9A">
            <w:pPr>
              <w:rPr>
                <w:b/>
                <w:bCs/>
              </w:rPr>
            </w:pPr>
            <w:r w:rsidRPr="001C7C9A">
              <w:rPr>
                <w:b/>
                <w:bCs/>
              </w:rPr>
              <w:t>Code</w:t>
            </w:r>
          </w:p>
        </w:tc>
        <w:tc>
          <w:tcPr>
            <w:tcW w:w="8550" w:type="dxa"/>
          </w:tcPr>
          <w:p w14:paraId="1C3043BE" w14:textId="2DB7586F" w:rsidR="001C7C9A" w:rsidRPr="001C7C9A" w:rsidRDefault="001C7C9A" w:rsidP="001C7C9A">
            <w:pPr>
              <w:rPr>
                <w:b/>
                <w:bCs/>
              </w:rPr>
            </w:pPr>
            <w:r w:rsidRPr="001C7C9A">
              <w:rPr>
                <w:b/>
                <w:bCs/>
              </w:rPr>
              <w:t>Description</w:t>
            </w:r>
          </w:p>
        </w:tc>
      </w:tr>
      <w:tr w:rsidR="001C7C9A" w14:paraId="27EBAD1A" w14:textId="77777777" w:rsidTr="00373AAE">
        <w:trPr>
          <w:cantSplit/>
          <w:tblHeader/>
        </w:trPr>
        <w:tc>
          <w:tcPr>
            <w:tcW w:w="1530" w:type="dxa"/>
          </w:tcPr>
          <w:p w14:paraId="5A03689D" w14:textId="6DC85883" w:rsidR="001C7C9A" w:rsidRDefault="001C7C9A" w:rsidP="001C7C9A">
            <w:r w:rsidRPr="002A2BFA">
              <w:t>1005</w:t>
            </w:r>
          </w:p>
        </w:tc>
        <w:tc>
          <w:tcPr>
            <w:tcW w:w="8550" w:type="dxa"/>
          </w:tcPr>
          <w:p w14:paraId="4FD13504" w14:textId="39F890A7" w:rsidR="001C7C9A" w:rsidRDefault="001C7C9A" w:rsidP="001C7C9A">
            <w:r w:rsidRPr="002A2BFA">
              <w:t>Title 30 TAC § 117.1005(h) [relating to Emission Specifications for Reasonably Available Control Technology] (use for boilers located in the Beaumont/Port Arthur ozone nonattainment area)</w:t>
            </w:r>
          </w:p>
        </w:tc>
      </w:tr>
      <w:tr w:rsidR="001C7C9A" w14:paraId="23D5459A" w14:textId="77777777" w:rsidTr="00373AAE">
        <w:trPr>
          <w:cantSplit/>
          <w:tblHeader/>
        </w:trPr>
        <w:tc>
          <w:tcPr>
            <w:tcW w:w="1530" w:type="dxa"/>
          </w:tcPr>
          <w:p w14:paraId="175C7F56" w14:textId="0FD22246" w:rsidR="001C7C9A" w:rsidRDefault="001C7C9A" w:rsidP="001C7C9A">
            <w:r w:rsidRPr="002A2BFA">
              <w:t>1010</w:t>
            </w:r>
          </w:p>
        </w:tc>
        <w:tc>
          <w:tcPr>
            <w:tcW w:w="8550" w:type="dxa"/>
          </w:tcPr>
          <w:p w14:paraId="528DC542" w14:textId="0B799579" w:rsidR="001C7C9A" w:rsidRDefault="001C7C9A" w:rsidP="001C7C9A">
            <w:r w:rsidRPr="002A2BFA">
              <w:t>Title 30 TAC § 117.1010(b)(1) [relating to Emission Specifications for Attainment Demonstration] (use for boilers located in the Beaumont/Port Arthur ozone nonattainment area)</w:t>
            </w:r>
          </w:p>
        </w:tc>
      </w:tr>
      <w:tr w:rsidR="001C7C9A" w14:paraId="5B8384BE" w14:textId="77777777" w:rsidTr="00373AAE">
        <w:trPr>
          <w:cantSplit/>
          <w:tblHeader/>
        </w:trPr>
        <w:tc>
          <w:tcPr>
            <w:tcW w:w="1530" w:type="dxa"/>
          </w:tcPr>
          <w:p w14:paraId="47DBE981" w14:textId="526805B8" w:rsidR="001C7C9A" w:rsidRDefault="001C7C9A" w:rsidP="001C7C9A">
            <w:r w:rsidRPr="002A2BFA">
              <w:t>1210</w:t>
            </w:r>
          </w:p>
        </w:tc>
        <w:tc>
          <w:tcPr>
            <w:tcW w:w="8550" w:type="dxa"/>
          </w:tcPr>
          <w:p w14:paraId="5A99DB6B" w14:textId="7BB0379C" w:rsidR="001C7C9A" w:rsidRDefault="001C7C9A" w:rsidP="001C7C9A">
            <w:r w:rsidRPr="002A2BFA">
              <w:t>Title 30 TAC § 117.1210(b)(1) [relating to Emission Specifications for Attainment Demonstration] (use for boilers located in the Houston/Galveston/Brazoria ozone nonattainment area)</w:t>
            </w:r>
          </w:p>
        </w:tc>
      </w:tr>
      <w:tr w:rsidR="001C7C9A" w14:paraId="574E37A8" w14:textId="77777777" w:rsidTr="00373AAE">
        <w:trPr>
          <w:cantSplit/>
          <w:tblHeader/>
        </w:trPr>
        <w:tc>
          <w:tcPr>
            <w:tcW w:w="1530" w:type="dxa"/>
          </w:tcPr>
          <w:p w14:paraId="5F8843F0" w14:textId="32525EB9" w:rsidR="001C7C9A" w:rsidRDefault="001C7C9A" w:rsidP="001C7C9A">
            <w:r w:rsidRPr="002A2BFA">
              <w:t>1310</w:t>
            </w:r>
          </w:p>
        </w:tc>
        <w:tc>
          <w:tcPr>
            <w:tcW w:w="8550" w:type="dxa"/>
          </w:tcPr>
          <w:p w14:paraId="09A34301" w14:textId="1D08AD36" w:rsidR="001C7C9A" w:rsidRDefault="001C7C9A" w:rsidP="001C7C9A">
            <w:r w:rsidRPr="002A2BFA">
              <w:t>Title 30 TAC § 117.1310(b)(1)(A) [relating to Emission Specifications for Eight</w:t>
            </w:r>
            <w:r w:rsidRPr="002A2BFA">
              <w:noBreakHyphen/>
              <w:t>Hour Attainment Demonstration] (use for boilers located in the Dallas/Fort Worth Eight-Hour ozone nonattainment area)</w:t>
            </w:r>
          </w:p>
        </w:tc>
      </w:tr>
      <w:tr w:rsidR="001C7C9A" w14:paraId="2231AA41" w14:textId="77777777" w:rsidTr="00373AAE">
        <w:trPr>
          <w:cantSplit/>
          <w:tblHeader/>
        </w:trPr>
        <w:tc>
          <w:tcPr>
            <w:tcW w:w="1530" w:type="dxa"/>
          </w:tcPr>
          <w:p w14:paraId="6EBA0E02" w14:textId="70E9A776" w:rsidR="001C7C9A" w:rsidRDefault="001C7C9A" w:rsidP="001C7C9A">
            <w:r w:rsidRPr="002A2BFA">
              <w:t>ACSS</w:t>
            </w:r>
          </w:p>
        </w:tc>
        <w:tc>
          <w:tcPr>
            <w:tcW w:w="8550" w:type="dxa"/>
          </w:tcPr>
          <w:p w14:paraId="72B844BB" w14:textId="4ECA5892" w:rsidR="001C7C9A" w:rsidRDefault="001C7C9A" w:rsidP="001C7C9A">
            <w:r w:rsidRPr="002A2BFA">
              <w:t>Unit is complying with an Alternative Case Specific Specifications under 30 TAC §§ 117.1025, 117.1225 or 117.1325</w:t>
            </w:r>
          </w:p>
        </w:tc>
      </w:tr>
    </w:tbl>
    <w:p w14:paraId="44E3B02F" w14:textId="77777777" w:rsidR="00F861CF" w:rsidRPr="00EF0801" w:rsidRDefault="00F861CF" w:rsidP="00A16258">
      <w:pPr>
        <w:pStyle w:val="APDStrong"/>
        <w:spacing w:before="120"/>
      </w:pPr>
      <w:r w:rsidRPr="00EF0801">
        <w:t>CO Monitoring System</w:t>
      </w:r>
      <w:r w:rsidRPr="003F6B96">
        <w:rPr>
          <w:bCs/>
        </w:rPr>
        <w:t>:</w:t>
      </w:r>
    </w:p>
    <w:p w14:paraId="6DEADB5B" w14:textId="77777777" w:rsidR="00F861CF" w:rsidRDefault="00F861CF" w:rsidP="00775FCC">
      <w:pPr>
        <w:pStyle w:val="APDBodyText"/>
      </w:pPr>
      <w:r w:rsidRPr="00EF0801">
        <w:t>Select one of the following monitoring system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373AAE" w14:paraId="1F8D4DD7" w14:textId="77777777" w:rsidTr="0035178A">
        <w:trPr>
          <w:cantSplit/>
          <w:tblHeader/>
        </w:trPr>
        <w:tc>
          <w:tcPr>
            <w:tcW w:w="1530" w:type="dxa"/>
          </w:tcPr>
          <w:p w14:paraId="444CE8BF" w14:textId="648EF0F2" w:rsidR="00373AAE" w:rsidRPr="00373AAE" w:rsidRDefault="00373AAE" w:rsidP="00373AAE">
            <w:pPr>
              <w:rPr>
                <w:b/>
                <w:bCs/>
              </w:rPr>
            </w:pPr>
            <w:r w:rsidRPr="00373AAE">
              <w:rPr>
                <w:b/>
                <w:bCs/>
              </w:rPr>
              <w:t>Code</w:t>
            </w:r>
          </w:p>
        </w:tc>
        <w:tc>
          <w:tcPr>
            <w:tcW w:w="8550" w:type="dxa"/>
          </w:tcPr>
          <w:p w14:paraId="5589B90F" w14:textId="5ABE5492" w:rsidR="00373AAE" w:rsidRPr="00373AAE" w:rsidRDefault="00373AAE" w:rsidP="00373AAE">
            <w:pPr>
              <w:rPr>
                <w:b/>
                <w:bCs/>
              </w:rPr>
            </w:pPr>
            <w:r w:rsidRPr="00373AAE">
              <w:rPr>
                <w:b/>
                <w:bCs/>
              </w:rPr>
              <w:t>Description</w:t>
            </w:r>
          </w:p>
        </w:tc>
      </w:tr>
      <w:tr w:rsidR="00373AAE" w14:paraId="444DB1D4" w14:textId="77777777" w:rsidTr="0035178A">
        <w:trPr>
          <w:cantSplit/>
          <w:tblHeader/>
        </w:trPr>
        <w:tc>
          <w:tcPr>
            <w:tcW w:w="1530" w:type="dxa"/>
          </w:tcPr>
          <w:p w14:paraId="0AEFFF56" w14:textId="52BF4B04" w:rsidR="00373AAE" w:rsidRDefault="00373AAE" w:rsidP="00373AAE">
            <w:r w:rsidRPr="00275E25">
              <w:t>CEMS</w:t>
            </w:r>
          </w:p>
        </w:tc>
        <w:tc>
          <w:tcPr>
            <w:tcW w:w="8550" w:type="dxa"/>
          </w:tcPr>
          <w:p w14:paraId="34232BA2" w14:textId="0FADBA76" w:rsidR="00373AAE" w:rsidRDefault="00373AAE" w:rsidP="00373AAE">
            <w:r w:rsidRPr="00275E25">
              <w:t>Continuous emission monitoring system</w:t>
            </w:r>
          </w:p>
        </w:tc>
      </w:tr>
      <w:tr w:rsidR="00373AAE" w14:paraId="52314C8B" w14:textId="77777777" w:rsidTr="0035178A">
        <w:trPr>
          <w:cantSplit/>
          <w:tblHeader/>
        </w:trPr>
        <w:tc>
          <w:tcPr>
            <w:tcW w:w="1530" w:type="dxa"/>
          </w:tcPr>
          <w:p w14:paraId="73ABF2E5" w14:textId="16D70AD3" w:rsidR="00373AAE" w:rsidRDefault="00373AAE" w:rsidP="00373AAE">
            <w:r w:rsidRPr="00275E25">
              <w:t>PEMS</w:t>
            </w:r>
          </w:p>
        </w:tc>
        <w:tc>
          <w:tcPr>
            <w:tcW w:w="8550" w:type="dxa"/>
          </w:tcPr>
          <w:p w14:paraId="26923613" w14:textId="52C6FED8" w:rsidR="00373AAE" w:rsidRDefault="00373AAE" w:rsidP="00373AAE">
            <w:r w:rsidRPr="00275E25">
              <w:t>Predictive emission monitoring system in accordance with 30 TAC §§ 117.1040(f), 117.1240(g) or 117.1340(g)</w:t>
            </w:r>
          </w:p>
        </w:tc>
      </w:tr>
      <w:tr w:rsidR="00373AAE" w14:paraId="3420B3F5" w14:textId="77777777" w:rsidTr="0035178A">
        <w:trPr>
          <w:cantSplit/>
          <w:tblHeader/>
        </w:trPr>
        <w:tc>
          <w:tcPr>
            <w:tcW w:w="1530" w:type="dxa"/>
          </w:tcPr>
          <w:p w14:paraId="485261F0" w14:textId="372B752B" w:rsidR="00373AAE" w:rsidRDefault="00373AAE" w:rsidP="00373AAE">
            <w:r w:rsidRPr="00275E25">
              <w:t>NONE</w:t>
            </w:r>
          </w:p>
        </w:tc>
        <w:tc>
          <w:tcPr>
            <w:tcW w:w="8550" w:type="dxa"/>
          </w:tcPr>
          <w:p w14:paraId="1B840E2E" w14:textId="193ABE27" w:rsidR="00373AAE" w:rsidRDefault="00373AAE" w:rsidP="00373AAE">
            <w:r w:rsidRPr="00275E25">
              <w:t>Not using CEMS or PEMS</w:t>
            </w:r>
          </w:p>
        </w:tc>
      </w:tr>
    </w:tbl>
    <w:p w14:paraId="078B2357" w14:textId="292E9FCB" w:rsidR="00F861CF" w:rsidRPr="00EF0801" w:rsidRDefault="00F861CF" w:rsidP="00373AAE">
      <w:pPr>
        <w:pStyle w:val="APDStrong"/>
        <w:spacing w:before="120"/>
      </w:pPr>
      <w:r w:rsidRPr="00EF0801">
        <w:t>Ammonia Use</w:t>
      </w:r>
      <w:r w:rsidRPr="003F6B96">
        <w:rPr>
          <w:bCs/>
        </w:rPr>
        <w:t>:</w:t>
      </w:r>
    </w:p>
    <w:p w14:paraId="7FD76B29" w14:textId="1877F566" w:rsidR="007743B4" w:rsidRPr="00EF0801" w:rsidRDefault="00F861CF" w:rsidP="00775FCC">
      <w:pPr>
        <w:pStyle w:val="APDBodyText"/>
      </w:pPr>
      <w:r w:rsidRPr="00EF0801">
        <w:t>Enter “</w:t>
      </w:r>
      <w:r w:rsidR="00B42127">
        <w:t>YES</w:t>
      </w:r>
      <w:r w:rsidRPr="00EF0801">
        <w:t>” if urea or ammonia injection is used to control NO</w:t>
      </w:r>
      <w:r w:rsidRPr="00EF0801">
        <w:rPr>
          <w:vertAlign w:val="subscript"/>
        </w:rPr>
        <w:t>x</w:t>
      </w:r>
      <w:r w:rsidRPr="00EF0801">
        <w:t xml:space="preserve"> emissions. Otherwise, enter “</w:t>
      </w:r>
      <w:r w:rsidR="00B42127">
        <w:t>NO</w:t>
      </w:r>
      <w:r w:rsidRPr="00EF0801">
        <w:t>.”</w:t>
      </w:r>
    </w:p>
    <w:p w14:paraId="06370AB2" w14:textId="00FDD344" w:rsidR="00D108F5" w:rsidRDefault="00F861CF" w:rsidP="00FD7888">
      <w:pPr>
        <w:pStyle w:val="APDContinueTriangle"/>
      </w:pPr>
      <w:r w:rsidRPr="00EF0801">
        <w:t>Continue only if “Ammonia Use” is “</w:t>
      </w:r>
      <w:r w:rsidR="00B42127">
        <w:t>YES</w:t>
      </w:r>
      <w:r w:rsidRPr="00EF0801">
        <w:t>.”</w:t>
      </w:r>
    </w:p>
    <w:p w14:paraId="571823AA" w14:textId="77777777" w:rsidR="0021333D" w:rsidRDefault="0021333D" w:rsidP="00C62EE6">
      <w:pPr>
        <w:pStyle w:val="APDStrong"/>
        <w:sectPr w:rsidR="0021333D" w:rsidSect="0031268E">
          <w:pgSz w:w="12240" w:h="15840" w:code="1"/>
          <w:pgMar w:top="720" w:right="720" w:bottom="720" w:left="720" w:header="720" w:footer="720" w:gutter="0"/>
          <w:cols w:space="720"/>
          <w:titlePg/>
          <w:docGrid w:linePitch="360"/>
        </w:sectPr>
      </w:pPr>
    </w:p>
    <w:p w14:paraId="08A1F974" w14:textId="77777777" w:rsidR="00F861CF" w:rsidRPr="00EF0801" w:rsidRDefault="00F861CF" w:rsidP="00C62EE6">
      <w:pPr>
        <w:pStyle w:val="APDStrong"/>
      </w:pPr>
      <w:r w:rsidRPr="00EF0801">
        <w:lastRenderedPageBreak/>
        <w:t>NH</w:t>
      </w:r>
      <w:r w:rsidRPr="00EF0801">
        <w:rPr>
          <w:vertAlign w:val="subscript"/>
        </w:rPr>
        <w:t>3</w:t>
      </w:r>
      <w:r w:rsidRPr="00EF0801">
        <w:t xml:space="preserve"> Emission Limitation</w:t>
      </w:r>
      <w:r w:rsidRPr="003F6B96">
        <w:rPr>
          <w:bCs/>
        </w:rPr>
        <w:t>:</w:t>
      </w:r>
    </w:p>
    <w:p w14:paraId="48EB7FC0" w14:textId="77777777" w:rsidR="00F861CF" w:rsidRDefault="00F861CF" w:rsidP="00775FCC">
      <w:pPr>
        <w:pStyle w:val="APDBodyText"/>
      </w:pPr>
      <w:r w:rsidRPr="00EF0801">
        <w:t>Title 30 TAC Chapter 117 provides two methods to be in compliance with the applicable NH</w:t>
      </w:r>
      <w:r w:rsidRPr="00EF0801">
        <w:rPr>
          <w:vertAlign w:val="subscript"/>
        </w:rPr>
        <w:t>3</w:t>
      </w:r>
      <w:r w:rsidRPr="00EF0801">
        <w:t xml:space="preserve"> limitation standards listed in 30 TAC Chapter 117, Subchapter C. 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1504F" w14:paraId="23D60B36" w14:textId="77777777" w:rsidTr="00B1504F">
        <w:trPr>
          <w:cantSplit/>
          <w:tblHeader/>
        </w:trPr>
        <w:tc>
          <w:tcPr>
            <w:tcW w:w="1530" w:type="dxa"/>
          </w:tcPr>
          <w:p w14:paraId="52B02B4D" w14:textId="38AA88FE" w:rsidR="00B1504F" w:rsidRPr="00B1504F" w:rsidRDefault="00B1504F" w:rsidP="00B1504F">
            <w:pPr>
              <w:rPr>
                <w:b/>
                <w:bCs/>
              </w:rPr>
            </w:pPr>
            <w:r w:rsidRPr="00B1504F">
              <w:rPr>
                <w:b/>
                <w:bCs/>
              </w:rPr>
              <w:t>Code</w:t>
            </w:r>
          </w:p>
        </w:tc>
        <w:tc>
          <w:tcPr>
            <w:tcW w:w="8550" w:type="dxa"/>
          </w:tcPr>
          <w:p w14:paraId="4B7A09C8" w14:textId="01565B2F" w:rsidR="00B1504F" w:rsidRPr="00B1504F" w:rsidRDefault="00B1504F" w:rsidP="00B1504F">
            <w:pPr>
              <w:rPr>
                <w:b/>
                <w:bCs/>
              </w:rPr>
            </w:pPr>
            <w:r w:rsidRPr="00B1504F">
              <w:rPr>
                <w:b/>
                <w:bCs/>
              </w:rPr>
              <w:t>Description</w:t>
            </w:r>
          </w:p>
        </w:tc>
      </w:tr>
      <w:tr w:rsidR="00B1504F" w14:paraId="008087D5" w14:textId="77777777" w:rsidTr="00B1504F">
        <w:trPr>
          <w:cantSplit/>
          <w:tblHeader/>
        </w:trPr>
        <w:tc>
          <w:tcPr>
            <w:tcW w:w="1530" w:type="dxa"/>
          </w:tcPr>
          <w:p w14:paraId="6578CA04" w14:textId="68F4C48E" w:rsidR="00B1504F" w:rsidRDefault="00B1504F" w:rsidP="00B1504F">
            <w:r w:rsidRPr="00295F65">
              <w:t>1005</w:t>
            </w:r>
          </w:p>
        </w:tc>
        <w:tc>
          <w:tcPr>
            <w:tcW w:w="8550" w:type="dxa"/>
          </w:tcPr>
          <w:p w14:paraId="65EAEC85" w14:textId="11257B6B" w:rsidR="00B1504F" w:rsidRDefault="00B1504F" w:rsidP="00B1504F">
            <w:r w:rsidRPr="00295F65">
              <w:t>Title 30 TAC § 117.1005(j) [relating to Emission Specifications for Reasonably Available Control Technology] (use for boilers located in the Beaumont/Port Arthur ozone nonattainment area)</w:t>
            </w:r>
          </w:p>
        </w:tc>
      </w:tr>
      <w:tr w:rsidR="00B1504F" w14:paraId="2E8275C8" w14:textId="77777777" w:rsidTr="00B1504F">
        <w:trPr>
          <w:cantSplit/>
          <w:tblHeader/>
        </w:trPr>
        <w:tc>
          <w:tcPr>
            <w:tcW w:w="1530" w:type="dxa"/>
          </w:tcPr>
          <w:p w14:paraId="5DE79DDD" w14:textId="65FC722A" w:rsidR="00B1504F" w:rsidRDefault="00B1504F" w:rsidP="00B1504F">
            <w:r w:rsidRPr="00295F65">
              <w:t>1010</w:t>
            </w:r>
          </w:p>
        </w:tc>
        <w:tc>
          <w:tcPr>
            <w:tcW w:w="8550" w:type="dxa"/>
          </w:tcPr>
          <w:p w14:paraId="19A01CED" w14:textId="20B49B3D" w:rsidR="00B1504F" w:rsidRDefault="00B1504F" w:rsidP="00B1504F">
            <w:r w:rsidRPr="00295F65">
              <w:t>Title 30 TAC § 117.1010(b)(2) [relating to Emission Specifications for Attainment Demonstration] (use for boilers located in the Beaumont/Port Arthur ozone nonattainment area)</w:t>
            </w:r>
          </w:p>
        </w:tc>
      </w:tr>
      <w:tr w:rsidR="00B1504F" w14:paraId="341D26BF" w14:textId="77777777" w:rsidTr="00B1504F">
        <w:trPr>
          <w:cantSplit/>
          <w:tblHeader/>
        </w:trPr>
        <w:tc>
          <w:tcPr>
            <w:tcW w:w="1530" w:type="dxa"/>
          </w:tcPr>
          <w:p w14:paraId="5DED50A6" w14:textId="4BB42ECD" w:rsidR="00B1504F" w:rsidRDefault="00B1504F" w:rsidP="00B1504F">
            <w:r w:rsidRPr="00295F65">
              <w:t>1210</w:t>
            </w:r>
          </w:p>
        </w:tc>
        <w:tc>
          <w:tcPr>
            <w:tcW w:w="8550" w:type="dxa"/>
          </w:tcPr>
          <w:p w14:paraId="743BC5B8" w14:textId="5A745ECA" w:rsidR="00B1504F" w:rsidRDefault="00B1504F" w:rsidP="00B1504F">
            <w:r w:rsidRPr="00295F65">
              <w:t>Title 30 TAC § 117.1210(b)(2) [relating to Emission Specifications for Attainment Demonstration] (use for boilers located in the Houston/Galveston/Brazoria ozone nonattainment area)</w:t>
            </w:r>
          </w:p>
        </w:tc>
      </w:tr>
      <w:tr w:rsidR="00B1504F" w14:paraId="49CE0106" w14:textId="77777777" w:rsidTr="00B1504F">
        <w:trPr>
          <w:cantSplit/>
          <w:tblHeader/>
        </w:trPr>
        <w:tc>
          <w:tcPr>
            <w:tcW w:w="1530" w:type="dxa"/>
          </w:tcPr>
          <w:p w14:paraId="5D642D73" w14:textId="3D654FF0" w:rsidR="00B1504F" w:rsidRDefault="00B1504F" w:rsidP="00B1504F">
            <w:r w:rsidRPr="00295F65">
              <w:t>1310</w:t>
            </w:r>
          </w:p>
        </w:tc>
        <w:tc>
          <w:tcPr>
            <w:tcW w:w="8550" w:type="dxa"/>
          </w:tcPr>
          <w:p w14:paraId="67307A3A" w14:textId="72B87AE2" w:rsidR="00B1504F" w:rsidRDefault="00B1504F" w:rsidP="00B1504F">
            <w:r w:rsidRPr="00295F65">
              <w:t>Title 30 TAC § 117.1310(b)(2) [relating to Emission Specifications for Eight</w:t>
            </w:r>
            <w:r w:rsidRPr="00295F65">
              <w:noBreakHyphen/>
              <w:t>Hour Attainment Demonstration] (use for boilers located in the Dallas/Fort Worth Eight-Hour ozone nonattainment area)</w:t>
            </w:r>
          </w:p>
        </w:tc>
      </w:tr>
      <w:tr w:rsidR="00B1504F" w14:paraId="518295F5" w14:textId="77777777" w:rsidTr="00B1504F">
        <w:trPr>
          <w:cantSplit/>
          <w:tblHeader/>
        </w:trPr>
        <w:tc>
          <w:tcPr>
            <w:tcW w:w="1530" w:type="dxa"/>
          </w:tcPr>
          <w:p w14:paraId="7F0A29FA" w14:textId="2A4F21FF" w:rsidR="00B1504F" w:rsidRDefault="00B1504F" w:rsidP="00B1504F">
            <w:r w:rsidRPr="00295F65">
              <w:t>ACSS</w:t>
            </w:r>
          </w:p>
        </w:tc>
        <w:tc>
          <w:tcPr>
            <w:tcW w:w="8550" w:type="dxa"/>
          </w:tcPr>
          <w:p w14:paraId="43F9641D" w14:textId="38D7EAB6" w:rsidR="00B1504F" w:rsidRDefault="00B1504F" w:rsidP="00B1504F">
            <w:r w:rsidRPr="00295F65">
              <w:t>Unit is complying with an Alternative Case Specific Specification under 30 TAC §§ 117.1025, 117.1225 or 117.1325</w:t>
            </w:r>
          </w:p>
        </w:tc>
      </w:tr>
    </w:tbl>
    <w:p w14:paraId="1E285C85" w14:textId="6DECC75B" w:rsidR="00F861CF" w:rsidRPr="00EF0801" w:rsidRDefault="00F861CF" w:rsidP="005D57BE">
      <w:pPr>
        <w:pStyle w:val="APDStrong"/>
        <w:spacing w:before="120"/>
      </w:pPr>
      <w:r w:rsidRPr="00EF0801">
        <w:t>NH</w:t>
      </w:r>
      <w:r w:rsidRPr="00EF0801">
        <w:rPr>
          <w:vertAlign w:val="subscript"/>
        </w:rPr>
        <w:t>3</w:t>
      </w:r>
      <w:r w:rsidRPr="00EF0801">
        <w:t xml:space="preserve"> Monitoring System</w:t>
      </w:r>
      <w:r w:rsidRPr="003F6B96">
        <w:rPr>
          <w:bCs/>
        </w:rPr>
        <w:t>:</w:t>
      </w:r>
    </w:p>
    <w:p w14:paraId="0D72191C" w14:textId="77777777" w:rsidR="00F861CF" w:rsidRDefault="00F861CF" w:rsidP="00775FCC">
      <w:pPr>
        <w:pStyle w:val="APDBodyText"/>
      </w:pPr>
      <w:r w:rsidRPr="00EF0801">
        <w:t>Select one of the following monitoring system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finitions"/>
      </w:tblPr>
      <w:tblGrid>
        <w:gridCol w:w="1530"/>
        <w:gridCol w:w="8550"/>
      </w:tblGrid>
      <w:tr w:rsidR="009E3EE4" w14:paraId="2B48F08C" w14:textId="77777777" w:rsidTr="009E3EE4">
        <w:trPr>
          <w:cantSplit/>
          <w:tblHeader/>
        </w:trPr>
        <w:tc>
          <w:tcPr>
            <w:tcW w:w="1530" w:type="dxa"/>
          </w:tcPr>
          <w:p w14:paraId="45A5127F" w14:textId="4A83B6EE" w:rsidR="009E3EE4" w:rsidRPr="009E3EE4" w:rsidRDefault="009E3EE4" w:rsidP="009E3EE4">
            <w:pPr>
              <w:rPr>
                <w:b/>
                <w:bCs/>
              </w:rPr>
            </w:pPr>
            <w:r w:rsidRPr="009E3EE4">
              <w:rPr>
                <w:b/>
                <w:bCs/>
              </w:rPr>
              <w:t>Code</w:t>
            </w:r>
          </w:p>
        </w:tc>
        <w:tc>
          <w:tcPr>
            <w:tcW w:w="8550" w:type="dxa"/>
          </w:tcPr>
          <w:p w14:paraId="68C366BB" w14:textId="3A0DAE84" w:rsidR="009E3EE4" w:rsidRPr="009E3EE4" w:rsidRDefault="009E3EE4" w:rsidP="009E3EE4">
            <w:pPr>
              <w:rPr>
                <w:b/>
                <w:bCs/>
              </w:rPr>
            </w:pPr>
            <w:r w:rsidRPr="009E3EE4">
              <w:rPr>
                <w:b/>
                <w:bCs/>
              </w:rPr>
              <w:t>Description</w:t>
            </w:r>
          </w:p>
        </w:tc>
      </w:tr>
      <w:tr w:rsidR="009E3EE4" w14:paraId="649627F8" w14:textId="77777777" w:rsidTr="009E3EE4">
        <w:trPr>
          <w:cantSplit/>
          <w:tblHeader/>
        </w:trPr>
        <w:tc>
          <w:tcPr>
            <w:tcW w:w="1530" w:type="dxa"/>
          </w:tcPr>
          <w:p w14:paraId="2840F1D1" w14:textId="39ECC091" w:rsidR="009E3EE4" w:rsidRDefault="009E3EE4" w:rsidP="009E3EE4">
            <w:r w:rsidRPr="008367CD">
              <w:t>CEMS</w:t>
            </w:r>
          </w:p>
        </w:tc>
        <w:tc>
          <w:tcPr>
            <w:tcW w:w="8550" w:type="dxa"/>
          </w:tcPr>
          <w:p w14:paraId="5E89B94A" w14:textId="4AA44082" w:rsidR="009E3EE4" w:rsidRDefault="009E3EE4" w:rsidP="009E3EE4">
            <w:r w:rsidRPr="008367CD">
              <w:t>Continuous emission monitoring system</w:t>
            </w:r>
          </w:p>
        </w:tc>
      </w:tr>
      <w:tr w:rsidR="009E3EE4" w14:paraId="4100E65F" w14:textId="77777777" w:rsidTr="009E3EE4">
        <w:trPr>
          <w:cantSplit/>
          <w:tblHeader/>
        </w:trPr>
        <w:tc>
          <w:tcPr>
            <w:tcW w:w="1530" w:type="dxa"/>
          </w:tcPr>
          <w:p w14:paraId="6F8837FF" w14:textId="1A4BA028" w:rsidR="009E3EE4" w:rsidRDefault="009E3EE4" w:rsidP="009E3EE4">
            <w:r w:rsidRPr="008367CD">
              <w:t>PEMS</w:t>
            </w:r>
          </w:p>
        </w:tc>
        <w:tc>
          <w:tcPr>
            <w:tcW w:w="8550" w:type="dxa"/>
          </w:tcPr>
          <w:p w14:paraId="57D928D9" w14:textId="624BEBB5" w:rsidR="009E3EE4" w:rsidRDefault="009E3EE4" w:rsidP="009E3EE4">
            <w:r w:rsidRPr="008367CD">
              <w:t>Predictive emission monitoring system in accordance with 30 TAC §§ 117.1040(f), 117.1240(g) or 117.1340(g)</w:t>
            </w:r>
          </w:p>
        </w:tc>
      </w:tr>
      <w:tr w:rsidR="009E3EE4" w14:paraId="71FADC25" w14:textId="77777777" w:rsidTr="009E3EE4">
        <w:trPr>
          <w:cantSplit/>
          <w:tblHeader/>
        </w:trPr>
        <w:tc>
          <w:tcPr>
            <w:tcW w:w="1530" w:type="dxa"/>
          </w:tcPr>
          <w:p w14:paraId="5A92A6AC" w14:textId="159E5C0B" w:rsidR="009E3EE4" w:rsidRDefault="009E3EE4" w:rsidP="009E3EE4">
            <w:r w:rsidRPr="008367CD">
              <w:t>NONE</w:t>
            </w:r>
          </w:p>
        </w:tc>
        <w:tc>
          <w:tcPr>
            <w:tcW w:w="8550" w:type="dxa"/>
          </w:tcPr>
          <w:p w14:paraId="4710FE5C" w14:textId="773DCAF0" w:rsidR="009E3EE4" w:rsidRDefault="009E3EE4" w:rsidP="009E3EE4">
            <w:r w:rsidRPr="008367CD">
              <w:t>Not using CEMS or PEMS</w:t>
            </w:r>
          </w:p>
        </w:tc>
      </w:tr>
    </w:tbl>
    <w:p w14:paraId="274F9B7A" w14:textId="77777777" w:rsidR="00F861CF" w:rsidRPr="00EF0801" w:rsidRDefault="00F861CF" w:rsidP="00F861CF">
      <w:pPr>
        <w:pBdr>
          <w:bottom w:val="double" w:sz="6" w:space="1" w:color="auto"/>
        </w:pBdr>
      </w:pPr>
    </w:p>
    <w:bookmarkStart w:id="77" w:name="Table_7"/>
    <w:p w14:paraId="5DC74490" w14:textId="02911C8F" w:rsidR="00F861CF" w:rsidRPr="00EF0801" w:rsidRDefault="009B0E55" w:rsidP="002C7C54">
      <w:pPr>
        <w:pStyle w:val="APDChapterTitles"/>
      </w:pPr>
      <w:r w:rsidRPr="001B0CF4">
        <w:rPr>
          <w:rStyle w:val="Hyperlink"/>
          <w:b/>
          <w:bCs w:val="0"/>
        </w:rPr>
        <w:fldChar w:fldCharType="begin"/>
      </w:r>
      <w:r w:rsidR="001D447B" w:rsidRPr="001B0CF4">
        <w:rPr>
          <w:rStyle w:val="Hyperlink"/>
          <w:b/>
          <w:bCs w:val="0"/>
        </w:rPr>
        <w:instrText>HYPERLINK  \l "TBL_7" \o "Table 7"</w:instrText>
      </w:r>
      <w:r w:rsidRPr="001B0CF4">
        <w:rPr>
          <w:rStyle w:val="Hyperlink"/>
          <w:b/>
          <w:bCs w:val="0"/>
        </w:rPr>
      </w:r>
      <w:r w:rsidRPr="001B0CF4">
        <w:rPr>
          <w:rStyle w:val="Hyperlink"/>
          <w:b/>
          <w:bCs w:val="0"/>
        </w:rPr>
        <w:fldChar w:fldCharType="separate"/>
      </w:r>
      <w:bookmarkStart w:id="78" w:name="_Toc180398505"/>
      <w:bookmarkStart w:id="79" w:name="_Toc180398559"/>
      <w:r w:rsidR="00F861CF" w:rsidRPr="001B0CF4">
        <w:rPr>
          <w:rStyle w:val="Hyperlink"/>
          <w:b/>
          <w:bCs w:val="0"/>
        </w:rPr>
        <w:t>Table 7</w:t>
      </w:r>
      <w:r w:rsidRPr="001B0CF4">
        <w:rPr>
          <w:rStyle w:val="Hyperlink"/>
          <w:b/>
          <w:bCs w:val="0"/>
        </w:rPr>
        <w:fldChar w:fldCharType="end"/>
      </w:r>
      <w:r w:rsidR="00F861CF" w:rsidRPr="001B0CF4">
        <w:rPr>
          <w:rStyle w:val="Hyperlink"/>
          <w:b/>
          <w:bCs w:val="0"/>
        </w:rPr>
        <w:t>:</w:t>
      </w:r>
      <w:bookmarkEnd w:id="77"/>
      <w:r w:rsidR="00F861CF" w:rsidRPr="00EF0801">
        <w:tab/>
      </w:r>
      <w:r w:rsidR="00F861CF" w:rsidRPr="00272C73">
        <w:rPr>
          <w:rStyle w:val="APDTableChapterChar"/>
          <w:b/>
        </w:rPr>
        <w:t>Title 30 Texas Administrative Code Chapter 112 (30 TAC Chapter 112)</w:t>
      </w:r>
      <w:r w:rsidR="00FB32E2" w:rsidRPr="00272C73">
        <w:rPr>
          <w:rStyle w:val="APDTableChapterChar"/>
          <w:b/>
        </w:rPr>
        <w:t>, Subchapters A–D:</w:t>
      </w:r>
      <w:r w:rsidR="00464215" w:rsidRPr="00272C73">
        <w:rPr>
          <w:rStyle w:val="APDTableChapterChar"/>
          <w:b/>
        </w:rPr>
        <w:t xml:space="preserve"> </w:t>
      </w:r>
      <w:r w:rsidR="00F861CF" w:rsidRPr="00272C73">
        <w:rPr>
          <w:rStyle w:val="APDTableChapterChar"/>
          <w:b/>
        </w:rPr>
        <w:t>Control of Air Pollution from Sulfur Compounds</w:t>
      </w:r>
      <w:bookmarkEnd w:id="78"/>
      <w:bookmarkEnd w:id="79"/>
    </w:p>
    <w:p w14:paraId="409E3496" w14:textId="77777777" w:rsidR="00F861CF" w:rsidRPr="00EF0801" w:rsidRDefault="00F861CF" w:rsidP="00390EE3">
      <w:pPr>
        <w:pStyle w:val="APDCompleteStar"/>
      </w:pPr>
      <w:r w:rsidRPr="00EF0801">
        <w:t>Complete only for units combusting liquid fuel or solid fossil fuel. Complete only for SOP applications.</w:t>
      </w:r>
    </w:p>
    <w:p w14:paraId="10542407" w14:textId="4764B3FB" w:rsidR="00F861CF" w:rsidRPr="00EF0801" w:rsidRDefault="00F861CF" w:rsidP="00C62EE6">
      <w:pPr>
        <w:pStyle w:val="APDStrong"/>
      </w:pPr>
      <w:r w:rsidRPr="00EF0801">
        <w:t xml:space="preserve">Unit ID </w:t>
      </w:r>
      <w:r w:rsidR="00B42127">
        <w:t>N</w:t>
      </w:r>
      <w:r w:rsidR="00FF547C">
        <w:t>o</w:t>
      </w:r>
      <w:r w:rsidRPr="00EF0801">
        <w:t>.</w:t>
      </w:r>
      <w:r w:rsidR="006C65E6">
        <w:t>:</w:t>
      </w:r>
    </w:p>
    <w:p w14:paraId="06F6E99A" w14:textId="2EB5D4C9" w:rsidR="00F861CF" w:rsidRPr="00EF0801" w:rsidRDefault="00F861CF" w:rsidP="00272C73">
      <w:pPr>
        <w:pStyle w:val="APDBodyText"/>
      </w:pPr>
      <w:r w:rsidRPr="00EF0801">
        <w:t xml:space="preserve">Enter the identification number (ID </w:t>
      </w:r>
      <w:r w:rsidR="00B42127">
        <w:t>N</w:t>
      </w:r>
      <w:r w:rsidR="005667BA">
        <w:t>o</w:t>
      </w:r>
      <w:r w:rsidRPr="00EF0801">
        <w:t>.) for the unit (maximum 10 characters) as li</w:t>
      </w:r>
      <w:r w:rsidR="00AE143D" w:rsidRPr="00EF0801">
        <w:t>sted on Form OP-SUM (Individual</w:t>
      </w:r>
      <w:r w:rsidR="00B239B6">
        <w:t> </w:t>
      </w:r>
      <w:r w:rsidRPr="00EF0801">
        <w:t>Unit Summary).</w:t>
      </w:r>
    </w:p>
    <w:p w14:paraId="496C703E" w14:textId="7D597F5E" w:rsidR="00F861CF" w:rsidRPr="00EF0801" w:rsidRDefault="00F861CF" w:rsidP="00C62EE6">
      <w:pPr>
        <w:pStyle w:val="APDStrong"/>
      </w:pPr>
      <w:r w:rsidRPr="00EF0801">
        <w:t xml:space="preserve">SOP Index </w:t>
      </w:r>
      <w:r w:rsidR="00B42127">
        <w:t>N</w:t>
      </w:r>
      <w:r w:rsidR="00FF547C">
        <w:t>o</w:t>
      </w:r>
      <w:r w:rsidRPr="00EF0801">
        <w:t>.</w:t>
      </w:r>
      <w:r w:rsidR="006C65E6">
        <w:t>:</w:t>
      </w:r>
    </w:p>
    <w:p w14:paraId="50ED03C0" w14:textId="4B7FFD22" w:rsidR="00775600" w:rsidRPr="00EF0801" w:rsidRDefault="00F861CF" w:rsidP="00272C73">
      <w:pPr>
        <w:pStyle w:val="APDBodyText"/>
      </w:pPr>
      <w:r w:rsidRPr="00EF0801">
        <w:t xml:space="preserve">Site operating permit (SOP) applicants should indicate the SOP index number for the </w:t>
      </w:r>
      <w:r w:rsidR="00AE143D" w:rsidRPr="00EF0801">
        <w:t>unit or group of units (maximum</w:t>
      </w:r>
      <w:r w:rsidR="00B239B6">
        <w:t> </w:t>
      </w:r>
      <w:r w:rsidR="00AE143D" w:rsidRPr="00EF0801">
        <w:t>15</w:t>
      </w:r>
      <w:r w:rsidR="00B239B6">
        <w:t> </w:t>
      </w:r>
      <w:r w:rsidRPr="00EF0801">
        <w:t xml:space="preserve">characters consisting of numeric, alphanumeric characters, and/or dashes prefixed by a code for the applicable regulation [i.e., 60KB-XXXX]). For additional information relating to SOP index numbers, </w:t>
      </w:r>
      <w:r w:rsidR="00775600" w:rsidRPr="00EF0801">
        <w:t xml:space="preserve">please </w:t>
      </w:r>
      <w:r w:rsidR="00775600">
        <w:t xml:space="preserve">see the Completing FOP Applications – Additional Guidance on the </w:t>
      </w:r>
      <w:r w:rsidR="00775600" w:rsidRPr="00EF0801">
        <w:t xml:space="preserve">TCEQ website at </w:t>
      </w:r>
      <w:hyperlink r:id="rId31" w:tooltip="TCEQ - Completing FOP Applications - Additional Guidance" w:history="1">
        <w:r w:rsidR="00775600" w:rsidRPr="00F47022">
          <w:rPr>
            <w:rStyle w:val="Hyperlink"/>
          </w:rPr>
          <w:t>www.tceq.texas.gov/permitting/air/guidance/titlev/tv_fop_guidance.html</w:t>
        </w:r>
      </w:hyperlink>
      <w:r w:rsidR="00775600" w:rsidRPr="00EF0801">
        <w:t>.</w:t>
      </w:r>
    </w:p>
    <w:p w14:paraId="541D1EE7" w14:textId="77777777" w:rsidR="0021333D" w:rsidRDefault="0021333D" w:rsidP="00D02E61">
      <w:pPr>
        <w:pStyle w:val="APDStrong"/>
        <w:sectPr w:rsidR="0021333D" w:rsidSect="0031268E">
          <w:pgSz w:w="12240" w:h="15840" w:code="1"/>
          <w:pgMar w:top="720" w:right="720" w:bottom="720" w:left="720" w:header="720" w:footer="720" w:gutter="0"/>
          <w:cols w:space="720"/>
          <w:titlePg/>
          <w:docGrid w:linePitch="360"/>
        </w:sectPr>
      </w:pPr>
    </w:p>
    <w:p w14:paraId="0F37B40E" w14:textId="47034094" w:rsidR="00F861CF" w:rsidRPr="00EF0801" w:rsidRDefault="00F861CF" w:rsidP="00D02E61">
      <w:pPr>
        <w:pStyle w:val="APDStrong"/>
      </w:pPr>
      <w:r w:rsidRPr="00EF0801">
        <w:lastRenderedPageBreak/>
        <w:t>Fuel Type:</w:t>
      </w:r>
    </w:p>
    <w:p w14:paraId="67032EB0" w14:textId="77777777" w:rsidR="00F861CF" w:rsidRPr="00EF0801" w:rsidRDefault="00F861CF" w:rsidP="003C7F98">
      <w:pPr>
        <w:pStyle w:val="APDBodyText"/>
      </w:pPr>
      <w:r w:rsidRPr="00EF0801">
        <w:t>Select one of the following options for the fuel type as it pertains to 30 TAC Chapter 112. Enter the code on the form.</w:t>
      </w:r>
    </w:p>
    <w:p w14:paraId="002304B9" w14:textId="77777777" w:rsidR="00F861CF" w:rsidRDefault="00F861CF" w:rsidP="003C7F98">
      <w:pPr>
        <w:pStyle w:val="APDCodeIdentifiers"/>
      </w:pPr>
      <w:r w:rsidRPr="00EF0801">
        <w:t>For units located in Harris or Jefferson County:</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F5723" w14:paraId="201794E1" w14:textId="77777777" w:rsidTr="00AF5723">
        <w:trPr>
          <w:cantSplit/>
          <w:tblHeader/>
        </w:trPr>
        <w:tc>
          <w:tcPr>
            <w:tcW w:w="1530" w:type="dxa"/>
          </w:tcPr>
          <w:p w14:paraId="649B2C81" w14:textId="0D49A445" w:rsidR="00AF5723" w:rsidRPr="00AF5723" w:rsidRDefault="00AF5723" w:rsidP="00AF5723">
            <w:pPr>
              <w:rPr>
                <w:b/>
                <w:bCs/>
              </w:rPr>
            </w:pPr>
            <w:r w:rsidRPr="00AF5723">
              <w:rPr>
                <w:b/>
                <w:bCs/>
                <w:lang w:val="fr-FR"/>
              </w:rPr>
              <w:t>Code</w:t>
            </w:r>
          </w:p>
        </w:tc>
        <w:tc>
          <w:tcPr>
            <w:tcW w:w="8550" w:type="dxa"/>
          </w:tcPr>
          <w:p w14:paraId="300738B7" w14:textId="5D2F94F3" w:rsidR="00AF5723" w:rsidRPr="00AF5723" w:rsidRDefault="00AF5723" w:rsidP="00AF5723">
            <w:pPr>
              <w:rPr>
                <w:b/>
                <w:bCs/>
              </w:rPr>
            </w:pPr>
            <w:r w:rsidRPr="00AF5723">
              <w:rPr>
                <w:b/>
                <w:bCs/>
                <w:lang w:val="fr-FR"/>
              </w:rPr>
              <w:t>Description</w:t>
            </w:r>
          </w:p>
        </w:tc>
      </w:tr>
      <w:tr w:rsidR="00AF5723" w14:paraId="2059E9A8" w14:textId="77777777" w:rsidTr="00AF5723">
        <w:trPr>
          <w:cantSplit/>
          <w:tblHeader/>
        </w:trPr>
        <w:tc>
          <w:tcPr>
            <w:tcW w:w="1530" w:type="dxa"/>
          </w:tcPr>
          <w:p w14:paraId="43B751C2" w14:textId="05721CBA" w:rsidR="00AF5723" w:rsidRDefault="00AF5723" w:rsidP="00AF5723">
            <w:r w:rsidRPr="005D229F">
              <w:rPr>
                <w:lang w:val="fr-FR"/>
              </w:rPr>
              <w:t>SLD-HJ</w:t>
            </w:r>
          </w:p>
        </w:tc>
        <w:tc>
          <w:tcPr>
            <w:tcW w:w="8550" w:type="dxa"/>
          </w:tcPr>
          <w:p w14:paraId="6AC84708" w14:textId="6D783B85" w:rsidR="00AF5723" w:rsidRDefault="00AF5723" w:rsidP="00AF5723">
            <w:r w:rsidRPr="005D229F">
              <w:rPr>
                <w:lang w:val="fr-FR"/>
              </w:rPr>
              <w:t xml:space="preserve">Solid </w:t>
            </w:r>
            <w:r w:rsidR="00CC5F25" w:rsidRPr="005D229F">
              <w:rPr>
                <w:lang w:val="fr-FR"/>
              </w:rPr>
              <w:t>fossil</w:t>
            </w:r>
            <w:r w:rsidRPr="005D229F">
              <w:rPr>
                <w:lang w:val="fr-FR"/>
              </w:rPr>
              <w:t xml:space="preserve"> fuel</w:t>
            </w:r>
          </w:p>
        </w:tc>
      </w:tr>
      <w:tr w:rsidR="00AF5723" w14:paraId="5FB45E92" w14:textId="77777777" w:rsidTr="00AF5723">
        <w:trPr>
          <w:cantSplit/>
          <w:tblHeader/>
        </w:trPr>
        <w:tc>
          <w:tcPr>
            <w:tcW w:w="1530" w:type="dxa"/>
          </w:tcPr>
          <w:p w14:paraId="34658D4D" w14:textId="6660D25C" w:rsidR="00AF5723" w:rsidRDefault="00AF5723" w:rsidP="00AF5723">
            <w:r w:rsidRPr="005D229F">
              <w:t>LQD+3</w:t>
            </w:r>
          </w:p>
        </w:tc>
        <w:tc>
          <w:tcPr>
            <w:tcW w:w="8550" w:type="dxa"/>
          </w:tcPr>
          <w:p w14:paraId="36EA9073" w14:textId="2B72FBF3" w:rsidR="00AF5723" w:rsidRDefault="00AF5723" w:rsidP="00AF5723">
            <w:r w:rsidRPr="005D229F">
              <w:t>Liquid fuel with a sulfur content greater than 0.3% by weight</w:t>
            </w:r>
          </w:p>
        </w:tc>
      </w:tr>
      <w:tr w:rsidR="00AF5723" w14:paraId="174B34A1" w14:textId="77777777" w:rsidTr="00AF5723">
        <w:trPr>
          <w:cantSplit/>
          <w:tblHeader/>
        </w:trPr>
        <w:tc>
          <w:tcPr>
            <w:tcW w:w="1530" w:type="dxa"/>
          </w:tcPr>
          <w:p w14:paraId="259CFC3B" w14:textId="75385BA9" w:rsidR="00AF5723" w:rsidRDefault="00AF5723" w:rsidP="00AF5723">
            <w:r w:rsidRPr="005D229F">
              <w:t>LQD-3</w:t>
            </w:r>
          </w:p>
        </w:tc>
        <w:tc>
          <w:tcPr>
            <w:tcW w:w="8550" w:type="dxa"/>
          </w:tcPr>
          <w:p w14:paraId="12851A36" w14:textId="0E21600D" w:rsidR="00AF5723" w:rsidRDefault="00AF5723" w:rsidP="00AF5723">
            <w:r w:rsidRPr="005D229F">
              <w:t>Liquid fuel with a sulfur content less than or equal to 0.3% by weight</w:t>
            </w:r>
          </w:p>
        </w:tc>
      </w:tr>
    </w:tbl>
    <w:p w14:paraId="69D1F746" w14:textId="77777777" w:rsidR="00F861CF" w:rsidRDefault="00F861CF" w:rsidP="00920DFA">
      <w:pPr>
        <w:pStyle w:val="APDCodeIdentifiers"/>
        <w:spacing w:before="120"/>
      </w:pPr>
      <w:bookmarkStart w:id="80" w:name="_Hlk31282332"/>
      <w:r w:rsidRPr="00EF0801">
        <w:t>For units located in other counties: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CC5F25" w14:paraId="532FA322" w14:textId="77777777" w:rsidTr="00B560DE">
        <w:trPr>
          <w:cantSplit/>
          <w:tblHeader/>
        </w:trPr>
        <w:tc>
          <w:tcPr>
            <w:tcW w:w="1530" w:type="dxa"/>
          </w:tcPr>
          <w:p w14:paraId="200CEF41" w14:textId="5BC320A6" w:rsidR="00CC5F25" w:rsidRPr="00CC5F25" w:rsidRDefault="00CC5F25" w:rsidP="00CC5F25">
            <w:pPr>
              <w:rPr>
                <w:b/>
                <w:bCs/>
              </w:rPr>
            </w:pPr>
            <w:r w:rsidRPr="00CC5F25">
              <w:rPr>
                <w:b/>
                <w:bCs/>
                <w:lang w:val="fr-FR"/>
              </w:rPr>
              <w:t>Code</w:t>
            </w:r>
          </w:p>
        </w:tc>
        <w:tc>
          <w:tcPr>
            <w:tcW w:w="8550" w:type="dxa"/>
          </w:tcPr>
          <w:p w14:paraId="2B4362BC" w14:textId="67C85CFD" w:rsidR="00CC5F25" w:rsidRPr="00CC5F25" w:rsidRDefault="00CC5F25" w:rsidP="00CC5F25">
            <w:pPr>
              <w:rPr>
                <w:b/>
                <w:bCs/>
              </w:rPr>
            </w:pPr>
            <w:r w:rsidRPr="00CC5F25">
              <w:rPr>
                <w:b/>
                <w:bCs/>
                <w:lang w:val="fr-FR"/>
              </w:rPr>
              <w:t>Description</w:t>
            </w:r>
          </w:p>
        </w:tc>
      </w:tr>
      <w:tr w:rsidR="00CC5F25" w14:paraId="4FFC3C65" w14:textId="77777777" w:rsidTr="00B560DE">
        <w:trPr>
          <w:cantSplit/>
          <w:tblHeader/>
        </w:trPr>
        <w:tc>
          <w:tcPr>
            <w:tcW w:w="1530" w:type="dxa"/>
          </w:tcPr>
          <w:p w14:paraId="65922B36" w14:textId="0CA44A34" w:rsidR="00CC5F25" w:rsidRDefault="00CC5F25" w:rsidP="00CC5F25">
            <w:r w:rsidRPr="007C19EA">
              <w:rPr>
                <w:lang w:val="fr-FR"/>
              </w:rPr>
              <w:t>SLD</w:t>
            </w:r>
          </w:p>
        </w:tc>
        <w:tc>
          <w:tcPr>
            <w:tcW w:w="8550" w:type="dxa"/>
          </w:tcPr>
          <w:p w14:paraId="3390AAFB" w14:textId="38905F9E" w:rsidR="00CC5F25" w:rsidRDefault="00CC5F25" w:rsidP="00CC5F25">
            <w:r w:rsidRPr="007C19EA">
              <w:rPr>
                <w:lang w:val="fr-FR"/>
              </w:rPr>
              <w:t>Solid fossil fuel</w:t>
            </w:r>
          </w:p>
        </w:tc>
      </w:tr>
      <w:tr w:rsidR="00CC5F25" w14:paraId="4F0321D7" w14:textId="77777777" w:rsidTr="00B560DE">
        <w:trPr>
          <w:cantSplit/>
          <w:tblHeader/>
        </w:trPr>
        <w:tc>
          <w:tcPr>
            <w:tcW w:w="1530" w:type="dxa"/>
          </w:tcPr>
          <w:p w14:paraId="1AA5C709" w14:textId="6956CE07" w:rsidR="00CC5F25" w:rsidRDefault="00CC5F25" w:rsidP="00CC5F25">
            <w:r w:rsidRPr="007C19EA">
              <w:t>LQD</w:t>
            </w:r>
          </w:p>
        </w:tc>
        <w:tc>
          <w:tcPr>
            <w:tcW w:w="8550" w:type="dxa"/>
          </w:tcPr>
          <w:p w14:paraId="64D15DAA" w14:textId="422AC1ED" w:rsidR="00CC5F25" w:rsidRDefault="00CC5F25" w:rsidP="00CC5F25">
            <w:r w:rsidRPr="007C19EA">
              <w:t>Liquid fuel</w:t>
            </w:r>
          </w:p>
        </w:tc>
      </w:tr>
    </w:tbl>
    <w:bookmarkEnd w:id="80"/>
    <w:p w14:paraId="3F296191" w14:textId="77777777" w:rsidR="00F861CF" w:rsidRPr="00EF0801" w:rsidRDefault="00F861CF" w:rsidP="00390EE3">
      <w:pPr>
        <w:pStyle w:val="APDCompleteStar"/>
      </w:pPr>
      <w:r w:rsidRPr="00EF0801">
        <w:t>Complete “Date of Operation” only for units located in Milam County and with “Fuel Type” designation of “SLD.”</w:t>
      </w:r>
    </w:p>
    <w:p w14:paraId="3190E047" w14:textId="77777777" w:rsidR="00F861CF" w:rsidRPr="00EF0801" w:rsidRDefault="00F861CF" w:rsidP="00D02E61">
      <w:pPr>
        <w:pStyle w:val="APDStrong"/>
      </w:pPr>
      <w:r w:rsidRPr="00EF0801">
        <w:t>Date of Operation</w:t>
      </w:r>
      <w:r w:rsidRPr="003F6B96">
        <w:rPr>
          <w:bCs/>
        </w:rPr>
        <w:t>:</w:t>
      </w:r>
    </w:p>
    <w:p w14:paraId="1DF8CD26" w14:textId="77777777" w:rsidR="00F861CF" w:rsidRDefault="00F861CF" w:rsidP="00D12A9D">
      <w:pPr>
        <w:pStyle w:val="APDBodyText"/>
      </w:pPr>
      <w:r w:rsidRPr="00D12A9D">
        <w:t>Select one of the following options for the date of operation.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4B1F7A" w14:paraId="7B47DDCA" w14:textId="77777777" w:rsidTr="00B560DE">
        <w:trPr>
          <w:cantSplit/>
          <w:tblHeader/>
        </w:trPr>
        <w:tc>
          <w:tcPr>
            <w:tcW w:w="1530" w:type="dxa"/>
          </w:tcPr>
          <w:p w14:paraId="18BE9E32" w14:textId="7E88ABD3" w:rsidR="004B1F7A" w:rsidRPr="004B1F7A" w:rsidRDefault="004B1F7A" w:rsidP="004B1F7A">
            <w:pPr>
              <w:rPr>
                <w:b/>
                <w:bCs/>
              </w:rPr>
            </w:pPr>
            <w:r w:rsidRPr="004B1F7A">
              <w:rPr>
                <w:b/>
                <w:bCs/>
              </w:rPr>
              <w:t>Code</w:t>
            </w:r>
          </w:p>
        </w:tc>
        <w:tc>
          <w:tcPr>
            <w:tcW w:w="8550" w:type="dxa"/>
          </w:tcPr>
          <w:p w14:paraId="63C79910" w14:textId="5C34BA42" w:rsidR="004B1F7A" w:rsidRPr="004B1F7A" w:rsidRDefault="004B1F7A" w:rsidP="004B1F7A">
            <w:pPr>
              <w:rPr>
                <w:b/>
                <w:bCs/>
              </w:rPr>
            </w:pPr>
            <w:r w:rsidRPr="004B1F7A">
              <w:rPr>
                <w:b/>
                <w:bCs/>
              </w:rPr>
              <w:t>Description</w:t>
            </w:r>
          </w:p>
        </w:tc>
      </w:tr>
      <w:tr w:rsidR="004B1F7A" w14:paraId="08BA139A" w14:textId="77777777" w:rsidTr="00B560DE">
        <w:trPr>
          <w:cantSplit/>
          <w:tblHeader/>
        </w:trPr>
        <w:tc>
          <w:tcPr>
            <w:tcW w:w="1530" w:type="dxa"/>
          </w:tcPr>
          <w:p w14:paraId="0F148C91" w14:textId="6DDA5283" w:rsidR="004B1F7A" w:rsidRDefault="004B1F7A" w:rsidP="004B1F7A">
            <w:r w:rsidRPr="00C04BB2">
              <w:t>55-</w:t>
            </w:r>
          </w:p>
        </w:tc>
        <w:tc>
          <w:tcPr>
            <w:tcW w:w="8550" w:type="dxa"/>
          </w:tcPr>
          <w:p w14:paraId="226145A8" w14:textId="6B9C51F1" w:rsidR="004B1F7A" w:rsidRDefault="004B1F7A" w:rsidP="004B1F7A">
            <w:r w:rsidRPr="00C04BB2">
              <w:t>Began operation before January 1, 1955</w:t>
            </w:r>
          </w:p>
        </w:tc>
      </w:tr>
      <w:tr w:rsidR="004B1F7A" w14:paraId="49450F66" w14:textId="77777777" w:rsidTr="00B560DE">
        <w:trPr>
          <w:cantSplit/>
          <w:tblHeader/>
        </w:trPr>
        <w:tc>
          <w:tcPr>
            <w:tcW w:w="1530" w:type="dxa"/>
          </w:tcPr>
          <w:p w14:paraId="658EBF0E" w14:textId="6700692F" w:rsidR="004B1F7A" w:rsidRDefault="004B1F7A" w:rsidP="004B1F7A">
            <w:r w:rsidRPr="00C04BB2">
              <w:t>55+</w:t>
            </w:r>
          </w:p>
        </w:tc>
        <w:tc>
          <w:tcPr>
            <w:tcW w:w="8550" w:type="dxa"/>
          </w:tcPr>
          <w:p w14:paraId="30445A32" w14:textId="15D019CD" w:rsidR="004B1F7A" w:rsidRDefault="004B1F7A" w:rsidP="004B1F7A">
            <w:r w:rsidRPr="00C04BB2">
              <w:t>Began operation on or after January 1, 1955</w:t>
            </w:r>
          </w:p>
        </w:tc>
      </w:tr>
    </w:tbl>
    <w:p w14:paraId="3CB738A6" w14:textId="77777777" w:rsidR="00F861CF" w:rsidRPr="00EF0801" w:rsidRDefault="00F861CF" w:rsidP="004B1F7A">
      <w:pPr>
        <w:pStyle w:val="APDStrong"/>
        <w:spacing w:before="120"/>
      </w:pPr>
      <w:r w:rsidRPr="00EF0801">
        <w:t>Heat Input</w:t>
      </w:r>
      <w:r w:rsidRPr="003F6B96">
        <w:rPr>
          <w:bCs/>
        </w:rPr>
        <w:t>:</w:t>
      </w:r>
    </w:p>
    <w:p w14:paraId="5C050674" w14:textId="77777777" w:rsidR="00F861CF" w:rsidRPr="00D12A9D" w:rsidRDefault="00F861CF" w:rsidP="00D12A9D">
      <w:pPr>
        <w:pStyle w:val="APDBodyText"/>
      </w:pPr>
      <w:r w:rsidRPr="00D12A9D">
        <w:t>Select one of the following options for the design heat input. Enter the code on the form.</w:t>
      </w:r>
    </w:p>
    <w:p w14:paraId="47D57B4A" w14:textId="77777777" w:rsidR="00F861CF" w:rsidRDefault="00F861CF" w:rsidP="003C7F98">
      <w:pPr>
        <w:pStyle w:val="APDCodeIdentifiers"/>
      </w:pPr>
      <w:r w:rsidRPr="00EF0801">
        <w:t>For units with “Fuel Type” designation of “SLD” or “SLD-HJ:”</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560DE" w14:paraId="40432224" w14:textId="77777777" w:rsidTr="00B560DE">
        <w:trPr>
          <w:cantSplit/>
          <w:tblHeader/>
        </w:trPr>
        <w:tc>
          <w:tcPr>
            <w:tcW w:w="1530" w:type="dxa"/>
          </w:tcPr>
          <w:p w14:paraId="0DC74AD4" w14:textId="03154A23" w:rsidR="00B560DE" w:rsidRPr="00B560DE" w:rsidRDefault="00B560DE" w:rsidP="00B560DE">
            <w:pPr>
              <w:rPr>
                <w:b/>
                <w:bCs/>
              </w:rPr>
            </w:pPr>
            <w:r w:rsidRPr="00B560DE">
              <w:rPr>
                <w:b/>
                <w:bCs/>
              </w:rPr>
              <w:t>Code</w:t>
            </w:r>
          </w:p>
        </w:tc>
        <w:tc>
          <w:tcPr>
            <w:tcW w:w="8550" w:type="dxa"/>
          </w:tcPr>
          <w:p w14:paraId="318E6EF3" w14:textId="62C9C25B" w:rsidR="00B560DE" w:rsidRPr="00B560DE" w:rsidRDefault="00B560DE" w:rsidP="00B560DE">
            <w:pPr>
              <w:rPr>
                <w:b/>
                <w:bCs/>
              </w:rPr>
            </w:pPr>
            <w:r w:rsidRPr="00B560DE">
              <w:rPr>
                <w:b/>
                <w:bCs/>
              </w:rPr>
              <w:t>Description</w:t>
            </w:r>
          </w:p>
        </w:tc>
      </w:tr>
      <w:tr w:rsidR="00B560DE" w14:paraId="4C3A8D4D" w14:textId="77777777" w:rsidTr="00B560DE">
        <w:trPr>
          <w:cantSplit/>
          <w:tblHeader/>
        </w:trPr>
        <w:tc>
          <w:tcPr>
            <w:tcW w:w="1530" w:type="dxa"/>
          </w:tcPr>
          <w:p w14:paraId="6A818BF4" w14:textId="71320C40" w:rsidR="00B560DE" w:rsidRDefault="00B560DE" w:rsidP="00B560DE">
            <w:r w:rsidRPr="001E7EDA">
              <w:t>250S-</w:t>
            </w:r>
          </w:p>
        </w:tc>
        <w:tc>
          <w:tcPr>
            <w:tcW w:w="8550" w:type="dxa"/>
          </w:tcPr>
          <w:p w14:paraId="06E2F76C" w14:textId="280CF960" w:rsidR="00B560DE" w:rsidRDefault="00B560DE" w:rsidP="00B560DE">
            <w:r w:rsidRPr="001E7EDA">
              <w:t>Design heat input is less than or equal to 250 MMBtu/hr</w:t>
            </w:r>
          </w:p>
        </w:tc>
      </w:tr>
      <w:tr w:rsidR="00B560DE" w14:paraId="5141E3E6" w14:textId="77777777" w:rsidTr="00B560DE">
        <w:trPr>
          <w:cantSplit/>
          <w:tblHeader/>
        </w:trPr>
        <w:tc>
          <w:tcPr>
            <w:tcW w:w="1530" w:type="dxa"/>
          </w:tcPr>
          <w:p w14:paraId="7D4B9D1C" w14:textId="14C790C0" w:rsidR="00B560DE" w:rsidRDefault="00B560DE" w:rsidP="00B560DE">
            <w:r w:rsidRPr="001E7EDA">
              <w:t>25-15H</w:t>
            </w:r>
          </w:p>
        </w:tc>
        <w:tc>
          <w:tcPr>
            <w:tcW w:w="8550" w:type="dxa"/>
          </w:tcPr>
          <w:p w14:paraId="58D728B7" w14:textId="4708C40E" w:rsidR="00B560DE" w:rsidRDefault="00B560DE" w:rsidP="00B560DE">
            <w:r w:rsidRPr="001E7EDA">
              <w:t>Design heat input is greater than 250 MMBtu/hr but less than or equal to 1500 MMBtu/hr</w:t>
            </w:r>
          </w:p>
        </w:tc>
      </w:tr>
      <w:tr w:rsidR="00B560DE" w14:paraId="71168D99" w14:textId="77777777" w:rsidTr="00B560DE">
        <w:trPr>
          <w:cantSplit/>
          <w:tblHeader/>
        </w:trPr>
        <w:tc>
          <w:tcPr>
            <w:tcW w:w="1530" w:type="dxa"/>
          </w:tcPr>
          <w:p w14:paraId="67D0CC37" w14:textId="365630AB" w:rsidR="00B560DE" w:rsidRDefault="00B560DE" w:rsidP="00B560DE">
            <w:r w:rsidRPr="001E7EDA">
              <w:t>15H+</w:t>
            </w:r>
          </w:p>
        </w:tc>
        <w:tc>
          <w:tcPr>
            <w:tcW w:w="8550" w:type="dxa"/>
          </w:tcPr>
          <w:p w14:paraId="503735C4" w14:textId="2395D2F6" w:rsidR="00B560DE" w:rsidRDefault="00B560DE" w:rsidP="00B560DE">
            <w:r w:rsidRPr="001E7EDA">
              <w:t>Design heat input is greater than 1500 MMBtu/hr</w:t>
            </w:r>
          </w:p>
        </w:tc>
      </w:tr>
    </w:tbl>
    <w:p w14:paraId="2FA3C5C4" w14:textId="77777777" w:rsidR="00F861CF" w:rsidRDefault="00F861CF" w:rsidP="00560E92">
      <w:pPr>
        <w:pStyle w:val="APDCodeIdentifiers"/>
        <w:spacing w:before="120"/>
      </w:pPr>
      <w:bookmarkStart w:id="81" w:name="_Hlk132977538"/>
      <w:bookmarkStart w:id="82" w:name="_Hlk132977592"/>
      <w:r w:rsidRPr="00EF0801">
        <w:t>For units with “Fuel Type” designation of “LQD,” “LQD+3,” or “LQD-3:”</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560E92" w14:paraId="5CB015D6" w14:textId="77777777" w:rsidTr="002C5E7D">
        <w:trPr>
          <w:cantSplit/>
          <w:tblHeader/>
        </w:trPr>
        <w:tc>
          <w:tcPr>
            <w:tcW w:w="1530" w:type="dxa"/>
          </w:tcPr>
          <w:p w14:paraId="27BA3567" w14:textId="3357167B" w:rsidR="00560E92" w:rsidRPr="00560E92" w:rsidRDefault="00560E92" w:rsidP="00560E92">
            <w:pPr>
              <w:rPr>
                <w:b/>
                <w:bCs/>
              </w:rPr>
            </w:pPr>
            <w:r w:rsidRPr="00560E92">
              <w:rPr>
                <w:b/>
                <w:bCs/>
              </w:rPr>
              <w:t>Code</w:t>
            </w:r>
          </w:p>
        </w:tc>
        <w:tc>
          <w:tcPr>
            <w:tcW w:w="8550" w:type="dxa"/>
          </w:tcPr>
          <w:p w14:paraId="2D9F8B4F" w14:textId="2F063B82" w:rsidR="00560E92" w:rsidRPr="00560E92" w:rsidRDefault="00560E92" w:rsidP="00560E92">
            <w:pPr>
              <w:rPr>
                <w:b/>
                <w:bCs/>
              </w:rPr>
            </w:pPr>
            <w:r w:rsidRPr="00560E92">
              <w:rPr>
                <w:b/>
                <w:bCs/>
              </w:rPr>
              <w:t>Description</w:t>
            </w:r>
          </w:p>
        </w:tc>
      </w:tr>
      <w:tr w:rsidR="00560E92" w14:paraId="064083C0" w14:textId="77777777" w:rsidTr="002C5E7D">
        <w:trPr>
          <w:cantSplit/>
          <w:tblHeader/>
        </w:trPr>
        <w:tc>
          <w:tcPr>
            <w:tcW w:w="1530" w:type="dxa"/>
          </w:tcPr>
          <w:p w14:paraId="6A429F29" w14:textId="1D25C75D" w:rsidR="00560E92" w:rsidRDefault="00560E92" w:rsidP="00560E92">
            <w:r w:rsidRPr="00D26AD5">
              <w:t>250L-</w:t>
            </w:r>
          </w:p>
        </w:tc>
        <w:tc>
          <w:tcPr>
            <w:tcW w:w="8550" w:type="dxa"/>
          </w:tcPr>
          <w:p w14:paraId="18E0E1BB" w14:textId="4D5E0C28" w:rsidR="00560E92" w:rsidRDefault="00560E92" w:rsidP="00560E92">
            <w:r w:rsidRPr="00D26AD5">
              <w:t>Design heat input is less than or equal to 250 MMBtu/hr</w:t>
            </w:r>
          </w:p>
        </w:tc>
      </w:tr>
      <w:tr w:rsidR="00560E92" w14:paraId="218C57D2" w14:textId="77777777" w:rsidTr="002C5E7D">
        <w:trPr>
          <w:cantSplit/>
          <w:tblHeader/>
        </w:trPr>
        <w:tc>
          <w:tcPr>
            <w:tcW w:w="1530" w:type="dxa"/>
          </w:tcPr>
          <w:p w14:paraId="740B14CB" w14:textId="2C053E6A" w:rsidR="00560E92" w:rsidRDefault="00560E92" w:rsidP="00560E92">
            <w:r w:rsidRPr="00D26AD5">
              <w:t>250+</w:t>
            </w:r>
          </w:p>
        </w:tc>
        <w:tc>
          <w:tcPr>
            <w:tcW w:w="8550" w:type="dxa"/>
          </w:tcPr>
          <w:p w14:paraId="6829AADA" w14:textId="603820DA" w:rsidR="00560E92" w:rsidRDefault="00560E92" w:rsidP="00560E92">
            <w:r w:rsidRPr="00D26AD5">
              <w:t>Design heat input is greater than 250 MMBtu/hr</w:t>
            </w:r>
          </w:p>
        </w:tc>
      </w:tr>
    </w:tbl>
    <w:p w14:paraId="409E9E0E" w14:textId="7C428F42" w:rsidR="00F861CF" w:rsidRPr="00EF0801" w:rsidRDefault="00F861CF" w:rsidP="00390EE3">
      <w:pPr>
        <w:pStyle w:val="APDCompleteStar"/>
      </w:pPr>
      <w:r w:rsidRPr="00EF0801">
        <w:t>Complete “Control Equipment” only if “Heat Input” is “25-15H,” “15H+,” or “250+.”</w:t>
      </w:r>
    </w:p>
    <w:p w14:paraId="72EFFC32" w14:textId="77777777" w:rsidR="006956CE" w:rsidRDefault="006956CE" w:rsidP="00D02E61">
      <w:pPr>
        <w:pStyle w:val="APDStrong"/>
        <w:sectPr w:rsidR="006956CE" w:rsidSect="0031268E">
          <w:pgSz w:w="12240" w:h="15840" w:code="1"/>
          <w:pgMar w:top="720" w:right="720" w:bottom="720" w:left="720" w:header="720" w:footer="720" w:gutter="0"/>
          <w:cols w:space="720"/>
          <w:titlePg/>
          <w:docGrid w:linePitch="360"/>
        </w:sectPr>
      </w:pPr>
    </w:p>
    <w:p w14:paraId="20225435" w14:textId="77777777" w:rsidR="00F861CF" w:rsidRPr="00EF0801" w:rsidRDefault="00F861CF" w:rsidP="00D02E61">
      <w:pPr>
        <w:pStyle w:val="APDStrong"/>
      </w:pPr>
      <w:r w:rsidRPr="00EF0801">
        <w:lastRenderedPageBreak/>
        <w:t>Control Equipment</w:t>
      </w:r>
      <w:r w:rsidRPr="003F6B96">
        <w:rPr>
          <w:bCs/>
        </w:rPr>
        <w:t>:</w:t>
      </w:r>
    </w:p>
    <w:p w14:paraId="600535EA" w14:textId="15B10572" w:rsidR="00F861CF" w:rsidRDefault="00F861CF" w:rsidP="00D12A9D">
      <w:pPr>
        <w:pStyle w:val="APDBodyText"/>
      </w:pPr>
      <w:r w:rsidRPr="00D12A9D">
        <w:t xml:space="preserve">Select one of the following options for </w:t>
      </w:r>
      <w:r w:rsidR="004F6614" w:rsidRPr="00D12A9D">
        <w:t>SO</w:t>
      </w:r>
      <w:r w:rsidR="006C65E6" w:rsidRPr="006C65E6">
        <w:rPr>
          <w:vertAlign w:val="subscript"/>
        </w:rPr>
        <w:t>2</w:t>
      </w:r>
      <w:r w:rsidRPr="00D12A9D">
        <w:t xml:space="preserve"> control equipment.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1E73B2" w14:paraId="231FE533" w14:textId="77777777" w:rsidTr="00AF67D1">
        <w:tc>
          <w:tcPr>
            <w:tcW w:w="1530" w:type="dxa"/>
          </w:tcPr>
          <w:p w14:paraId="2C93938E" w14:textId="01CEBCD8" w:rsidR="001E73B2" w:rsidRPr="001E73B2" w:rsidRDefault="001E73B2" w:rsidP="001E73B2">
            <w:pPr>
              <w:rPr>
                <w:b/>
                <w:bCs/>
              </w:rPr>
            </w:pPr>
            <w:r w:rsidRPr="001E73B2">
              <w:rPr>
                <w:b/>
                <w:bCs/>
              </w:rPr>
              <w:t>Code</w:t>
            </w:r>
          </w:p>
        </w:tc>
        <w:tc>
          <w:tcPr>
            <w:tcW w:w="8550" w:type="dxa"/>
          </w:tcPr>
          <w:p w14:paraId="3490692E" w14:textId="732F613D" w:rsidR="001E73B2" w:rsidRPr="001E73B2" w:rsidRDefault="001E73B2" w:rsidP="001E73B2">
            <w:pPr>
              <w:rPr>
                <w:b/>
                <w:bCs/>
              </w:rPr>
            </w:pPr>
            <w:r w:rsidRPr="001E73B2">
              <w:rPr>
                <w:b/>
                <w:bCs/>
              </w:rPr>
              <w:t>Description</w:t>
            </w:r>
          </w:p>
        </w:tc>
      </w:tr>
      <w:tr w:rsidR="001E73B2" w14:paraId="6158B9D0" w14:textId="77777777" w:rsidTr="00AF67D1">
        <w:tc>
          <w:tcPr>
            <w:tcW w:w="1530" w:type="dxa"/>
          </w:tcPr>
          <w:p w14:paraId="19A8A70D" w14:textId="7BB258E5" w:rsidR="001E73B2" w:rsidRDefault="001E73B2" w:rsidP="001E73B2">
            <w:r w:rsidRPr="00755705">
              <w:t>SO</w:t>
            </w:r>
            <w:r w:rsidRPr="00755705">
              <w:rPr>
                <w:vertAlign w:val="subscript"/>
              </w:rPr>
              <w:t>2</w:t>
            </w:r>
          </w:p>
        </w:tc>
        <w:tc>
          <w:tcPr>
            <w:tcW w:w="8550" w:type="dxa"/>
          </w:tcPr>
          <w:p w14:paraId="761D692C" w14:textId="04094427" w:rsidR="001E73B2" w:rsidRDefault="001E73B2" w:rsidP="001E73B2">
            <w:r w:rsidRPr="00755705">
              <w:t>Unit equipped with SO</w:t>
            </w:r>
            <w:r w:rsidRPr="00755705">
              <w:rPr>
                <w:vertAlign w:val="subscript"/>
              </w:rPr>
              <w:t>2</w:t>
            </w:r>
            <w:r w:rsidRPr="00755705">
              <w:t xml:space="preserve"> control equipment</w:t>
            </w:r>
          </w:p>
        </w:tc>
      </w:tr>
      <w:tr w:rsidR="001E73B2" w14:paraId="07692833" w14:textId="77777777" w:rsidTr="00AF67D1">
        <w:tc>
          <w:tcPr>
            <w:tcW w:w="1530" w:type="dxa"/>
          </w:tcPr>
          <w:p w14:paraId="23DD5215" w14:textId="7288427D" w:rsidR="001E73B2" w:rsidRDefault="001E73B2" w:rsidP="001E73B2">
            <w:r w:rsidRPr="00755705">
              <w:t>NONE</w:t>
            </w:r>
          </w:p>
        </w:tc>
        <w:tc>
          <w:tcPr>
            <w:tcW w:w="8550" w:type="dxa"/>
          </w:tcPr>
          <w:p w14:paraId="7CA2AA38" w14:textId="706BA9B2" w:rsidR="001E73B2" w:rsidRDefault="001E73B2" w:rsidP="001E73B2">
            <w:r w:rsidRPr="00755705">
              <w:t>Unit not equipped with SO</w:t>
            </w:r>
            <w:r w:rsidRPr="00755705">
              <w:rPr>
                <w:vertAlign w:val="subscript"/>
              </w:rPr>
              <w:t>2</w:t>
            </w:r>
            <w:r w:rsidRPr="00755705">
              <w:t xml:space="preserve"> control equipment</w:t>
            </w:r>
          </w:p>
        </w:tc>
      </w:tr>
    </w:tbl>
    <w:bookmarkEnd w:id="81"/>
    <w:p w14:paraId="2361DD50" w14:textId="4C61A389" w:rsidR="00F861CF" w:rsidRPr="00EF0801" w:rsidRDefault="00F861CF" w:rsidP="00390EE3">
      <w:pPr>
        <w:pStyle w:val="APDCompleteStar"/>
      </w:pPr>
      <w:r w:rsidRPr="00EF0801">
        <w:t>Complete “FCAA § 412(c)” only if “Control Equipment” is “</w:t>
      </w:r>
      <w:r w:rsidR="004F6614">
        <w:t>SO</w:t>
      </w:r>
      <w:r w:rsidR="00F961BB" w:rsidRPr="00F961BB">
        <w:rPr>
          <w:vertAlign w:val="subscript"/>
        </w:rPr>
        <w:t>2</w:t>
      </w:r>
      <w:r w:rsidRPr="00EF0801">
        <w:t>.”</w:t>
      </w:r>
    </w:p>
    <w:p w14:paraId="7C73FDA8" w14:textId="77777777" w:rsidR="00F861CF" w:rsidRPr="00EF0801" w:rsidRDefault="00F861CF" w:rsidP="00D02E61">
      <w:pPr>
        <w:pStyle w:val="APDStrong"/>
      </w:pPr>
      <w:r w:rsidRPr="00EF0801">
        <w:t>FCAA § 412(c)</w:t>
      </w:r>
      <w:r w:rsidRPr="003F6B96">
        <w:rPr>
          <w:bCs/>
        </w:rPr>
        <w:t>:</w:t>
      </w:r>
    </w:p>
    <w:p w14:paraId="08D70DB2" w14:textId="5EFADDB1" w:rsidR="00BC786E" w:rsidRPr="00D12A9D" w:rsidRDefault="00F861CF" w:rsidP="00D12A9D">
      <w:pPr>
        <w:pStyle w:val="APDBodyText"/>
      </w:pPr>
      <w:r w:rsidRPr="00D12A9D">
        <w:t>Enter “</w:t>
      </w:r>
      <w:r w:rsidR="00B42127">
        <w:t>YES</w:t>
      </w:r>
      <w:r w:rsidRPr="00D12A9D">
        <w:t>” if the unit is subject to the Federal Clean Air Act § 412(c) [FCAA § 412(c)] as amended in 1990. Otherwise, enter “</w:t>
      </w:r>
      <w:r w:rsidR="00B42127">
        <w:t>NO</w:t>
      </w:r>
      <w:r w:rsidRPr="00D12A9D">
        <w:t>.”</w:t>
      </w:r>
    </w:p>
    <w:p w14:paraId="3D351C4A" w14:textId="77777777" w:rsidR="00F861CF" w:rsidRPr="00EF0801" w:rsidRDefault="00F861CF" w:rsidP="00390EE3">
      <w:pPr>
        <w:pStyle w:val="APDCompleteStar"/>
      </w:pPr>
      <w:r w:rsidRPr="00EF0801">
        <w:t>Complete “Stack Height” only if “Fuel Type” is “LQD,” “LQD+3,” or “LQD-3.”</w:t>
      </w:r>
    </w:p>
    <w:p w14:paraId="398B0652" w14:textId="77777777" w:rsidR="00F861CF" w:rsidRPr="00EF0801" w:rsidRDefault="00F861CF" w:rsidP="00C551AE">
      <w:pPr>
        <w:pStyle w:val="APDStrong"/>
      </w:pPr>
      <w:r w:rsidRPr="00EF0801">
        <w:t>Stack Height</w:t>
      </w:r>
      <w:r w:rsidRPr="003F6B96">
        <w:rPr>
          <w:bCs/>
        </w:rPr>
        <w:t>:</w:t>
      </w:r>
    </w:p>
    <w:p w14:paraId="257E3D8D" w14:textId="0390F4F9" w:rsidR="00D108F5" w:rsidRDefault="00F861CF" w:rsidP="0010051D">
      <w:pPr>
        <w:pStyle w:val="APDBodyText"/>
      </w:pPr>
      <w:r w:rsidRPr="00EF0801">
        <w:t>Enter “</w:t>
      </w:r>
      <w:r w:rsidR="00B42127">
        <w:t>YES</w:t>
      </w:r>
      <w:r w:rsidRPr="00EF0801">
        <w:t>” if the effective stack height is less than the standard effective stack height for each stack to which the unit routes emissions. Otherwise, enter “</w:t>
      </w:r>
      <w:r w:rsidR="00B42127">
        <w:t>NO</w:t>
      </w:r>
      <w:r w:rsidRPr="00EF0801">
        <w:t>.”</w:t>
      </w:r>
    </w:p>
    <w:bookmarkEnd w:id="82"/>
    <w:p w14:paraId="770C01D1" w14:textId="77777777" w:rsidR="00F861CF" w:rsidRPr="00EF0801" w:rsidRDefault="00F861CF" w:rsidP="00F861CF">
      <w:pPr>
        <w:pBdr>
          <w:bottom w:val="double" w:sz="6" w:space="1" w:color="auto"/>
        </w:pBdr>
      </w:pPr>
    </w:p>
    <w:bookmarkStart w:id="83" w:name="Table_8a"/>
    <w:p w14:paraId="3B8E231F" w14:textId="70C7F37B" w:rsidR="00F861CF" w:rsidRPr="0016689D" w:rsidRDefault="009B0E55" w:rsidP="002C7C54">
      <w:pPr>
        <w:pStyle w:val="APDChapterTitles"/>
        <w:rPr>
          <w:rStyle w:val="APDTableChapterChar"/>
          <w:rFonts w:eastAsia="Calibri"/>
          <w:b/>
          <w:bCs w:val="0"/>
        </w:rPr>
      </w:pPr>
      <w:r w:rsidRPr="001B0CF4">
        <w:rPr>
          <w:rStyle w:val="Hyperlink"/>
          <w:rFonts w:eastAsia="Calibri"/>
          <w:b/>
          <w:bCs w:val="0"/>
        </w:rPr>
        <w:fldChar w:fldCharType="begin"/>
      </w:r>
      <w:r w:rsidR="00AB6ED7" w:rsidRPr="001B0CF4">
        <w:rPr>
          <w:rStyle w:val="Hyperlink"/>
          <w:rFonts w:eastAsia="Calibri"/>
          <w:b/>
          <w:bCs w:val="0"/>
        </w:rPr>
        <w:instrText>HYPERLINK  \l "TBL_8a" \o "Table 8a"</w:instrText>
      </w:r>
      <w:r w:rsidRPr="001B0CF4">
        <w:rPr>
          <w:rStyle w:val="Hyperlink"/>
          <w:rFonts w:eastAsia="Calibri"/>
          <w:b/>
          <w:bCs w:val="0"/>
        </w:rPr>
      </w:r>
      <w:r w:rsidRPr="001B0CF4">
        <w:rPr>
          <w:rStyle w:val="Hyperlink"/>
          <w:rFonts w:eastAsia="Calibri"/>
          <w:b/>
          <w:bCs w:val="0"/>
        </w:rPr>
        <w:fldChar w:fldCharType="separate"/>
      </w:r>
      <w:bookmarkStart w:id="84" w:name="_Toc180398506"/>
      <w:bookmarkStart w:id="85" w:name="_Toc180398560"/>
      <w:r w:rsidR="00F861CF" w:rsidRPr="001B0CF4">
        <w:rPr>
          <w:rStyle w:val="Hyperlink"/>
          <w:rFonts w:eastAsia="Calibri"/>
          <w:b/>
          <w:bCs w:val="0"/>
        </w:rPr>
        <w:t>Table 8a</w:t>
      </w:r>
      <w:r w:rsidRPr="001B0CF4">
        <w:rPr>
          <w:rStyle w:val="Hyperlink"/>
          <w:rFonts w:eastAsia="Calibri"/>
          <w:b/>
          <w:bCs w:val="0"/>
        </w:rPr>
        <w:fldChar w:fldCharType="end"/>
      </w:r>
      <w:bookmarkEnd w:id="83"/>
      <w:r w:rsidR="00F861CF" w:rsidRPr="001B0CF4">
        <w:rPr>
          <w:rStyle w:val="Hyperlink"/>
          <w:rFonts w:eastAsia="Calibri"/>
          <w:b/>
          <w:bCs w:val="0"/>
        </w:rPr>
        <w:t>:</w:t>
      </w:r>
      <w:r w:rsidR="00F861CF" w:rsidRPr="00EF0801">
        <w:rPr>
          <w:rFonts w:eastAsia="Calibri"/>
          <w:szCs w:val="20"/>
        </w:rPr>
        <w:tab/>
      </w:r>
      <w:r w:rsidR="00F861CF" w:rsidRPr="0016689D">
        <w:rPr>
          <w:rStyle w:val="APDTableChapterChar"/>
          <w:rFonts w:eastAsia="Calibri"/>
          <w:b/>
        </w:rPr>
        <w:t>Title 30 Texas Administrative Code Chapter 113 (30 TAC Chapter 113)</w:t>
      </w:r>
      <w:r w:rsidR="00CE6E40" w:rsidRPr="0016689D">
        <w:rPr>
          <w:rStyle w:val="APDTableChapterChar"/>
          <w:rFonts w:eastAsia="Calibri"/>
          <w:b/>
        </w:rPr>
        <w:t xml:space="preserve">, </w:t>
      </w:r>
      <w:r w:rsidR="00F861CF" w:rsidRPr="0016689D">
        <w:rPr>
          <w:rStyle w:val="APDTableChapterChar"/>
          <w:rFonts w:eastAsia="Calibri"/>
          <w:b/>
        </w:rPr>
        <w:t>Subchapter D: Hospital/Medical/Infectious Waste Incinerators</w:t>
      </w:r>
      <w:bookmarkEnd w:id="84"/>
      <w:bookmarkEnd w:id="85"/>
    </w:p>
    <w:p w14:paraId="56E62205" w14:textId="77777777" w:rsidR="00F861CF" w:rsidRPr="00EF0801" w:rsidRDefault="00F861CF" w:rsidP="00390EE3">
      <w:pPr>
        <w:pStyle w:val="APDCompleteStar"/>
      </w:pPr>
      <w:r w:rsidRPr="00EF0801">
        <w:t>Complete this table only for an existing hospital/medical/infectious waste incinerator (HMIWI) as defined in 30 TAC § 113.2070.</w:t>
      </w:r>
    </w:p>
    <w:p w14:paraId="55B3F7C7" w14:textId="7656C475" w:rsidR="00F861CF" w:rsidRPr="00EF0801" w:rsidRDefault="00F861CF" w:rsidP="00C551AE">
      <w:pPr>
        <w:pStyle w:val="APDStrong"/>
      </w:pPr>
      <w:r w:rsidRPr="00EF0801">
        <w:t xml:space="preserve">Unit ID </w:t>
      </w:r>
      <w:r w:rsidR="00B42127">
        <w:t>N</w:t>
      </w:r>
      <w:r w:rsidR="00FF547C">
        <w:t>o</w:t>
      </w:r>
      <w:r w:rsidRPr="00EF0801">
        <w:t>.:</w:t>
      </w:r>
    </w:p>
    <w:p w14:paraId="74355E96" w14:textId="6F6026EC" w:rsidR="00F861CF" w:rsidRPr="000B4D62" w:rsidRDefault="00F861CF" w:rsidP="000B4D62">
      <w:pPr>
        <w:pStyle w:val="APDBodyText"/>
      </w:pPr>
      <w:r w:rsidRPr="000B4D62">
        <w:t xml:space="preserve">Enter the identification number (ID </w:t>
      </w:r>
      <w:r w:rsidR="00B42127">
        <w:t>N</w:t>
      </w:r>
      <w:r w:rsidR="005667BA">
        <w:t>o</w:t>
      </w:r>
      <w:r w:rsidRPr="000B4D62">
        <w:t>.) for the boiler (maximum 10 characters) as li</w:t>
      </w:r>
      <w:r w:rsidR="00B9031E" w:rsidRPr="000B4D62">
        <w:t>sted on Form OP</w:t>
      </w:r>
      <w:r w:rsidR="00B9031E" w:rsidRPr="000B4D62">
        <w:noBreakHyphen/>
        <w:t>SUM (Individual</w:t>
      </w:r>
      <w:r w:rsidR="00B239B6" w:rsidRPr="000B4D62">
        <w:t> </w:t>
      </w:r>
      <w:r w:rsidRPr="000B4D62">
        <w:t>Unit Summary).</w:t>
      </w:r>
    </w:p>
    <w:p w14:paraId="3E7AA3C4" w14:textId="33B32CF3" w:rsidR="00F861CF" w:rsidRPr="00EF0801" w:rsidRDefault="00F861CF" w:rsidP="00C551AE">
      <w:pPr>
        <w:pStyle w:val="APDStrong"/>
      </w:pPr>
      <w:r w:rsidRPr="00EF0801">
        <w:t xml:space="preserve">SOP Index </w:t>
      </w:r>
      <w:r w:rsidR="00B42127">
        <w:t>N</w:t>
      </w:r>
      <w:r w:rsidR="00FF547C">
        <w:t>o</w:t>
      </w:r>
      <w:r w:rsidRPr="00EF0801">
        <w:t>.:</w:t>
      </w:r>
    </w:p>
    <w:p w14:paraId="4B8B6014" w14:textId="1C860B3C" w:rsidR="00775600" w:rsidRPr="00EF0801" w:rsidRDefault="00F861CF" w:rsidP="000B4D62">
      <w:pPr>
        <w:pStyle w:val="APDBodyText"/>
      </w:pPr>
      <w:r w:rsidRPr="000B4D62">
        <w:t xml:space="preserve">Site operating permit (SOP) applicants should indicate the SOP index number for the </w:t>
      </w:r>
      <w:r w:rsidR="00B9031E" w:rsidRPr="000B4D62">
        <w:t>unit or group of units (maximum</w:t>
      </w:r>
      <w:r w:rsidR="00B239B6" w:rsidRPr="000B4D62">
        <w:t> </w:t>
      </w:r>
      <w:r w:rsidR="00B9031E" w:rsidRPr="000B4D62">
        <w:t>15</w:t>
      </w:r>
      <w:r w:rsidR="00B239B6" w:rsidRPr="000B4D62">
        <w:t> </w:t>
      </w:r>
      <w:r w:rsidRPr="000B4D62">
        <w:t xml:space="preserve">characters consisting of numeric, alphanumeric characters, and/or dashes prefixed by a code for the applicable regulation [i.e., 60KB-XXXX]). For additional information, relating to SOP index numbers, </w:t>
      </w:r>
      <w:r w:rsidR="00775600" w:rsidRPr="000B4D62">
        <w:t>please see the Completing FOP Applications – Additional Guidance on the TCEQ website at</w:t>
      </w:r>
      <w:r w:rsidR="00775600" w:rsidRPr="00EF0801">
        <w:t xml:space="preserve"> </w:t>
      </w:r>
      <w:hyperlink r:id="rId32" w:tooltip="TCEQ - Completing FOP Applications - Additional Guidance" w:history="1">
        <w:r w:rsidR="00775600" w:rsidRPr="00F47022">
          <w:rPr>
            <w:rStyle w:val="Hyperlink"/>
          </w:rPr>
          <w:t>www.tceq.texas.gov/permitting/air/guidance/titlev/tv_fop_guidance.html</w:t>
        </w:r>
      </w:hyperlink>
      <w:r w:rsidR="00775600" w:rsidRPr="00EF0801">
        <w:t>.</w:t>
      </w:r>
    </w:p>
    <w:p w14:paraId="74D51825" w14:textId="0BA0FB73" w:rsidR="00F861CF" w:rsidRPr="00EF0801" w:rsidRDefault="00F861CF" w:rsidP="00444CFC">
      <w:pPr>
        <w:tabs>
          <w:tab w:val="left" w:pos="0"/>
        </w:tabs>
      </w:pPr>
      <w:r w:rsidRPr="00EF0801">
        <w:rPr>
          <w:b/>
        </w:rPr>
        <w:t>Construction Date</w:t>
      </w:r>
      <w:r w:rsidR="006E1729" w:rsidRPr="006E1729">
        <w:rPr>
          <w:b/>
          <w:bCs/>
        </w:rPr>
        <w:t>:</w:t>
      </w:r>
    </w:p>
    <w:p w14:paraId="2E0C4765" w14:textId="77777777" w:rsidR="00F861CF" w:rsidRDefault="00F861CF" w:rsidP="000B4D62">
      <w:pPr>
        <w:pStyle w:val="APDBodyText"/>
      </w:pPr>
      <w:r w:rsidRPr="000B4D62">
        <w:t>Select one of the following options that describe the date of commencement of the most recent construction.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D1677C" w14:paraId="2E634222" w14:textId="77777777" w:rsidTr="000E3E53">
        <w:trPr>
          <w:cantSplit/>
          <w:tblHeader/>
        </w:trPr>
        <w:tc>
          <w:tcPr>
            <w:tcW w:w="1530" w:type="dxa"/>
          </w:tcPr>
          <w:p w14:paraId="2878FBC8" w14:textId="5301E45E" w:rsidR="00D1677C" w:rsidRPr="00D1677C" w:rsidRDefault="00D1677C" w:rsidP="00D1677C">
            <w:pPr>
              <w:rPr>
                <w:b/>
                <w:bCs/>
              </w:rPr>
            </w:pPr>
            <w:r w:rsidRPr="00D1677C">
              <w:rPr>
                <w:b/>
                <w:bCs/>
              </w:rPr>
              <w:t>Code</w:t>
            </w:r>
          </w:p>
        </w:tc>
        <w:tc>
          <w:tcPr>
            <w:tcW w:w="8550" w:type="dxa"/>
          </w:tcPr>
          <w:p w14:paraId="445FE865" w14:textId="0AA2D5D3" w:rsidR="00D1677C" w:rsidRPr="00D1677C" w:rsidRDefault="00D1677C" w:rsidP="00D1677C">
            <w:pPr>
              <w:rPr>
                <w:b/>
                <w:bCs/>
              </w:rPr>
            </w:pPr>
            <w:r w:rsidRPr="00D1677C">
              <w:rPr>
                <w:b/>
                <w:bCs/>
              </w:rPr>
              <w:t>Description</w:t>
            </w:r>
          </w:p>
        </w:tc>
      </w:tr>
      <w:tr w:rsidR="00D1677C" w14:paraId="3E35CBC5" w14:textId="77777777" w:rsidTr="000E3E53">
        <w:trPr>
          <w:cantSplit/>
          <w:tblHeader/>
        </w:trPr>
        <w:tc>
          <w:tcPr>
            <w:tcW w:w="1530" w:type="dxa"/>
          </w:tcPr>
          <w:p w14:paraId="30ECEB38" w14:textId="23F1B3CE" w:rsidR="00D1677C" w:rsidRDefault="00D1677C" w:rsidP="00D1677C">
            <w:r w:rsidRPr="007D6616">
              <w:t>-96</w:t>
            </w:r>
          </w:p>
        </w:tc>
        <w:tc>
          <w:tcPr>
            <w:tcW w:w="8550" w:type="dxa"/>
          </w:tcPr>
          <w:p w14:paraId="0C088728" w14:textId="0A8BA980" w:rsidR="00D1677C" w:rsidRDefault="00D1677C" w:rsidP="00D1677C">
            <w:r w:rsidRPr="007D6616">
              <w:t>On or before June 20, 1996</w:t>
            </w:r>
          </w:p>
        </w:tc>
      </w:tr>
      <w:tr w:rsidR="00D1677C" w14:paraId="73433495" w14:textId="77777777" w:rsidTr="000E3E53">
        <w:trPr>
          <w:cantSplit/>
          <w:tblHeader/>
        </w:trPr>
        <w:tc>
          <w:tcPr>
            <w:tcW w:w="1530" w:type="dxa"/>
          </w:tcPr>
          <w:p w14:paraId="30D70DEC" w14:textId="2AF247CD" w:rsidR="00D1677C" w:rsidRDefault="00D1677C" w:rsidP="00D1677C">
            <w:r w:rsidRPr="007D6616">
              <w:t>+96</w:t>
            </w:r>
          </w:p>
        </w:tc>
        <w:tc>
          <w:tcPr>
            <w:tcW w:w="8550" w:type="dxa"/>
          </w:tcPr>
          <w:p w14:paraId="453DE9E8" w14:textId="2BB95512" w:rsidR="00D1677C" w:rsidRDefault="00D1677C" w:rsidP="00D1677C">
            <w:r w:rsidRPr="007D6616">
              <w:t>After June 20, 1996</w:t>
            </w:r>
          </w:p>
        </w:tc>
      </w:tr>
    </w:tbl>
    <w:p w14:paraId="269D2A1B" w14:textId="77777777" w:rsidR="00F861CF" w:rsidRPr="000B4D62" w:rsidRDefault="00F861CF" w:rsidP="00FD7888">
      <w:pPr>
        <w:pStyle w:val="APDContinueTriangle"/>
      </w:pPr>
      <w:r w:rsidRPr="000B4D62">
        <w:t>Continue only if “Construction Date” is “-96.”</w:t>
      </w:r>
    </w:p>
    <w:p w14:paraId="2BC7481C" w14:textId="77777777" w:rsidR="00096BCF" w:rsidRDefault="00096BCF" w:rsidP="00D02E61">
      <w:pPr>
        <w:pStyle w:val="APDStrong"/>
        <w:sectPr w:rsidR="00096BCF" w:rsidSect="0031268E">
          <w:pgSz w:w="12240" w:h="15840" w:code="1"/>
          <w:pgMar w:top="720" w:right="720" w:bottom="720" w:left="720" w:header="720" w:footer="720" w:gutter="0"/>
          <w:cols w:space="720"/>
          <w:titlePg/>
          <w:docGrid w:linePitch="360"/>
        </w:sectPr>
      </w:pPr>
    </w:p>
    <w:p w14:paraId="7665185C" w14:textId="77777777" w:rsidR="00F861CF" w:rsidRPr="00EF0801" w:rsidRDefault="00F861CF" w:rsidP="00D02E61">
      <w:pPr>
        <w:pStyle w:val="APDStrong"/>
      </w:pPr>
      <w:r w:rsidRPr="00EF0801">
        <w:lastRenderedPageBreak/>
        <w:t>Combustor Type</w:t>
      </w:r>
      <w:r w:rsidRPr="00BC786E">
        <w:rPr>
          <w:bCs/>
        </w:rPr>
        <w:t>:</w:t>
      </w:r>
    </w:p>
    <w:p w14:paraId="7959ACE8" w14:textId="77777777" w:rsidR="00096BCF" w:rsidRDefault="00F861CF" w:rsidP="00096BCF">
      <w:pPr>
        <w:pStyle w:val="APDBodyText"/>
      </w:pPr>
      <w:r w:rsidRPr="000B4D62">
        <w:t>Enter “</w:t>
      </w:r>
      <w:r w:rsidR="00B42127">
        <w:t>YES</w:t>
      </w:r>
      <w:r w:rsidRPr="000B4D62">
        <w:t>” if the HMIWI unit meets one of the combustor types specified in Table 1 of 30 TAC § 113.2070. Otherwise, enter “</w:t>
      </w:r>
      <w:r w:rsidR="00B42127">
        <w:t>NO</w:t>
      </w:r>
      <w:r w:rsidRPr="000B4D62">
        <w:t>.</w:t>
      </w:r>
    </w:p>
    <w:p w14:paraId="6C43DAA9" w14:textId="2CE8C852" w:rsidR="00F861CF" w:rsidRPr="00EF0801" w:rsidRDefault="00F861CF" w:rsidP="00096BCF">
      <w:pPr>
        <w:pStyle w:val="APDCompleteStar"/>
      </w:pPr>
      <w:r w:rsidRPr="00EF0801">
        <w:t>Complete “Type of Waste” and “Co-Fired Combustor” only if “Combustor Type” is “</w:t>
      </w:r>
      <w:r w:rsidR="00B42127">
        <w:t>YES</w:t>
      </w:r>
      <w:r w:rsidRPr="00EF0801">
        <w:t>.”</w:t>
      </w:r>
    </w:p>
    <w:p w14:paraId="02288839" w14:textId="77777777" w:rsidR="00F861CF" w:rsidRPr="00EF0801" w:rsidRDefault="00F861CF" w:rsidP="00D02E61">
      <w:pPr>
        <w:pStyle w:val="APDStrong"/>
      </w:pPr>
      <w:r w:rsidRPr="00EF0801">
        <w:t>Type of Waste</w:t>
      </w:r>
      <w:r w:rsidRPr="006E1729">
        <w:rPr>
          <w:bCs/>
        </w:rPr>
        <w:t>:</w:t>
      </w:r>
    </w:p>
    <w:p w14:paraId="67FEABE0" w14:textId="649BCC14" w:rsidR="00F861CF" w:rsidRPr="000B4D62" w:rsidRDefault="00F861CF" w:rsidP="000B4D62">
      <w:pPr>
        <w:pStyle w:val="APDBodyText"/>
      </w:pPr>
      <w:r w:rsidRPr="000B4D62">
        <w:t>Enter “</w:t>
      </w:r>
      <w:r w:rsidR="00B42127">
        <w:t>YES</w:t>
      </w:r>
      <w:r w:rsidRPr="000B4D62">
        <w:t>” if the boiler is burning only pathological waste, low-level radioactive waste, and/or chemotherapeutic waste. Otherwise, enter “</w:t>
      </w:r>
      <w:r w:rsidR="00B42127">
        <w:t>NO</w:t>
      </w:r>
      <w:r w:rsidRPr="000B4D62">
        <w:t>.”</w:t>
      </w:r>
    </w:p>
    <w:p w14:paraId="3014A0EC" w14:textId="2B7FABCE" w:rsidR="00F861CF" w:rsidRPr="00EF0801" w:rsidRDefault="00F861CF" w:rsidP="00D02E61">
      <w:pPr>
        <w:pStyle w:val="APDStrong"/>
      </w:pPr>
      <w:r w:rsidRPr="00EF0801">
        <w:t>CO-Fired Combustor</w:t>
      </w:r>
      <w:r w:rsidRPr="006E1729">
        <w:rPr>
          <w:bCs/>
        </w:rPr>
        <w:t>:</w:t>
      </w:r>
    </w:p>
    <w:p w14:paraId="226E4179" w14:textId="0561B72B" w:rsidR="00F861CF" w:rsidRPr="000B4D62" w:rsidRDefault="00F861CF" w:rsidP="000B4D62">
      <w:pPr>
        <w:pStyle w:val="APDBodyText"/>
      </w:pPr>
      <w:r w:rsidRPr="000B4D62">
        <w:t>Enter “</w:t>
      </w:r>
      <w:r w:rsidR="00B42127">
        <w:t>YES</w:t>
      </w:r>
      <w:r w:rsidRPr="000B4D62">
        <w:t>” if the boiler is a co-fired combustor as defined in 30 TAC §</w:t>
      </w:r>
      <w:r w:rsidR="006E1729" w:rsidRPr="000B4D62">
        <w:t xml:space="preserve"> </w:t>
      </w:r>
      <w:r w:rsidRPr="000B4D62">
        <w:t>113.2070. Otherwise, enter “</w:t>
      </w:r>
      <w:r w:rsidR="00B42127">
        <w:t>NO</w:t>
      </w:r>
      <w:r w:rsidRPr="000B4D62">
        <w:t>.”</w:t>
      </w:r>
    </w:p>
    <w:p w14:paraId="7AD27A39" w14:textId="313F5AC5" w:rsidR="00F861CF" w:rsidRPr="000B4D62" w:rsidRDefault="00F861CF" w:rsidP="00FD7888">
      <w:pPr>
        <w:pStyle w:val="APDContinueTriangle"/>
      </w:pPr>
      <w:r w:rsidRPr="000B4D62">
        <w:t>Continue only if “Combustor Type” is “</w:t>
      </w:r>
      <w:r w:rsidR="00B42127">
        <w:t>NO</w:t>
      </w:r>
      <w:r w:rsidRPr="000B4D62">
        <w:t>.”</w:t>
      </w:r>
    </w:p>
    <w:p w14:paraId="77A7D08B" w14:textId="77777777" w:rsidR="00F861CF" w:rsidRPr="00EF0801" w:rsidRDefault="00F861CF" w:rsidP="00D02E61">
      <w:pPr>
        <w:pStyle w:val="APDStrong"/>
      </w:pPr>
      <w:r w:rsidRPr="00EF0801">
        <w:t>HMIWI Size</w:t>
      </w:r>
      <w:r w:rsidRPr="006E1729">
        <w:rPr>
          <w:bCs/>
        </w:rPr>
        <w:t>:</w:t>
      </w:r>
    </w:p>
    <w:p w14:paraId="7BF85DCD" w14:textId="5838268F" w:rsidR="00F861CF" w:rsidRPr="000B4D62" w:rsidRDefault="00F861CF" w:rsidP="000B4D62">
      <w:pPr>
        <w:pStyle w:val="APDBodyText"/>
      </w:pPr>
      <w:r w:rsidRPr="000B4D62">
        <w:t>Enter “</w:t>
      </w:r>
      <w:r w:rsidR="00B42127">
        <w:t>YES</w:t>
      </w:r>
      <w:r w:rsidRPr="000B4D62">
        <w:t>” if the incinerator is a small remote HMIWI as defined in 30 TAC § 113.2070. Otherwise, enter “</w:t>
      </w:r>
      <w:r w:rsidR="00B42127">
        <w:t>NO</w:t>
      </w:r>
      <w:r w:rsidRPr="000B4D62">
        <w:t>.”</w:t>
      </w:r>
    </w:p>
    <w:p w14:paraId="023384AD" w14:textId="48983990" w:rsidR="00F861CF" w:rsidRPr="000B4D62" w:rsidRDefault="00F861CF" w:rsidP="00FD7888">
      <w:pPr>
        <w:pStyle w:val="APDContinueTriangle"/>
      </w:pPr>
      <w:r w:rsidRPr="000B4D62">
        <w:t>Continue only if “HMIWI SIZE” is “</w:t>
      </w:r>
      <w:r w:rsidR="00B42127">
        <w:t>YES</w:t>
      </w:r>
      <w:r w:rsidRPr="000B4D62">
        <w:t>.”</w:t>
      </w:r>
    </w:p>
    <w:p w14:paraId="0D75966D" w14:textId="77777777" w:rsidR="00F861CF" w:rsidRPr="00EF0801" w:rsidRDefault="00F861CF" w:rsidP="00D02E61">
      <w:pPr>
        <w:pStyle w:val="APDStrong"/>
      </w:pPr>
      <w:r w:rsidRPr="00EF0801">
        <w:t>Control Device</w:t>
      </w:r>
      <w:r w:rsidRPr="006E1729">
        <w:rPr>
          <w:bCs/>
        </w:rPr>
        <w:t>:</w:t>
      </w:r>
    </w:p>
    <w:p w14:paraId="73188234" w14:textId="1F74F63F" w:rsidR="00F861CF" w:rsidRPr="000B4D62" w:rsidRDefault="00F861CF" w:rsidP="000B4D62">
      <w:pPr>
        <w:pStyle w:val="APDBodyText"/>
      </w:pPr>
      <w:r w:rsidRPr="000B4D62">
        <w:t>Enter “</w:t>
      </w:r>
      <w:r w:rsidR="00B42127">
        <w:t>YES</w:t>
      </w:r>
      <w:r w:rsidRPr="000B4D62">
        <w:t>” if the boiler is equipped with a dry scrubber followed by a fabric filter, a wet scrubber, or a dry scrubber followed by both a fabric filter and a wet scrubber. Otherwise, enter “</w:t>
      </w:r>
      <w:r w:rsidR="00B42127">
        <w:t>NO</w:t>
      </w:r>
      <w:r w:rsidRPr="000B4D62">
        <w:t>.”</w:t>
      </w:r>
    </w:p>
    <w:p w14:paraId="0E47F4FD" w14:textId="149D0E7B" w:rsidR="00F861CF" w:rsidRPr="00EF0801" w:rsidRDefault="00F861CF" w:rsidP="00DA79B2">
      <w:pPr>
        <w:pStyle w:val="APDStrong"/>
      </w:pPr>
      <w:r w:rsidRPr="00EF0801">
        <w:t>PM CEMS</w:t>
      </w:r>
      <w:r w:rsidRPr="006E1729">
        <w:rPr>
          <w:bCs/>
        </w:rPr>
        <w:t>:</w:t>
      </w:r>
    </w:p>
    <w:p w14:paraId="798E3731" w14:textId="54B9DB62" w:rsidR="00D108F5" w:rsidRDefault="00F861CF" w:rsidP="002572BE">
      <w:pPr>
        <w:pStyle w:val="APDBodyText"/>
      </w:pPr>
      <w:r w:rsidRPr="00EF0801">
        <w:t>Enter “</w:t>
      </w:r>
      <w:r w:rsidR="00B42127">
        <w:t>YES</w:t>
      </w:r>
      <w:r w:rsidRPr="00EF0801">
        <w:t>” if the incinerator uses a continuous emissions monitoring system (CEMS) to demonstrate compliance with the PM emission limit. Otherwise, enter “</w:t>
      </w:r>
      <w:r w:rsidR="00B42127">
        <w:t>NO</w:t>
      </w:r>
      <w:r w:rsidRPr="00EF0801">
        <w:t>.”</w:t>
      </w:r>
    </w:p>
    <w:p w14:paraId="6F40B99F" w14:textId="77777777" w:rsidR="00F861CF" w:rsidRPr="00EF0801" w:rsidRDefault="00F861CF" w:rsidP="00DA79B2">
      <w:pPr>
        <w:pStyle w:val="APDStrong"/>
      </w:pPr>
      <w:r w:rsidRPr="00EF0801">
        <w:t>Opacity Monitoring</w:t>
      </w:r>
      <w:r w:rsidRPr="006E1729">
        <w:rPr>
          <w:bCs/>
        </w:rPr>
        <w:t>:</w:t>
      </w:r>
    </w:p>
    <w:p w14:paraId="211DFEB3" w14:textId="77777777" w:rsidR="00F861CF" w:rsidRDefault="00F861CF" w:rsidP="002572BE">
      <w:pPr>
        <w:pStyle w:val="APDBodyText"/>
      </w:pPr>
      <w:r w:rsidRPr="00EF0801">
        <w:t>Select one of the following options that describe the method used to demonstrate compliance with the opacity emission limit.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DC74ED" w14:paraId="43945A03" w14:textId="77777777" w:rsidTr="002C7B41">
        <w:trPr>
          <w:cantSplit/>
          <w:tblHeader/>
        </w:trPr>
        <w:tc>
          <w:tcPr>
            <w:tcW w:w="1530" w:type="dxa"/>
          </w:tcPr>
          <w:p w14:paraId="49988E03" w14:textId="0089CED8" w:rsidR="00DC74ED" w:rsidRPr="00DC74ED" w:rsidRDefault="00DC74ED" w:rsidP="00DC74ED">
            <w:pPr>
              <w:rPr>
                <w:b/>
                <w:bCs/>
              </w:rPr>
            </w:pPr>
            <w:r w:rsidRPr="00DC74ED">
              <w:rPr>
                <w:b/>
                <w:bCs/>
              </w:rPr>
              <w:t>Code</w:t>
            </w:r>
          </w:p>
        </w:tc>
        <w:tc>
          <w:tcPr>
            <w:tcW w:w="8550" w:type="dxa"/>
          </w:tcPr>
          <w:p w14:paraId="7C8CE0AD" w14:textId="41D0DC7B" w:rsidR="00DC74ED" w:rsidRPr="00DC74ED" w:rsidRDefault="00DC74ED" w:rsidP="00DC74ED">
            <w:pPr>
              <w:rPr>
                <w:b/>
                <w:bCs/>
              </w:rPr>
            </w:pPr>
            <w:r w:rsidRPr="00DC74ED">
              <w:rPr>
                <w:b/>
                <w:bCs/>
              </w:rPr>
              <w:t>Description</w:t>
            </w:r>
          </w:p>
        </w:tc>
      </w:tr>
      <w:tr w:rsidR="00DC74ED" w14:paraId="5C8E17EE" w14:textId="77777777" w:rsidTr="002C7B41">
        <w:trPr>
          <w:cantSplit/>
          <w:tblHeader/>
        </w:trPr>
        <w:tc>
          <w:tcPr>
            <w:tcW w:w="1530" w:type="dxa"/>
          </w:tcPr>
          <w:p w14:paraId="2D4E0706" w14:textId="04A73461" w:rsidR="00DC74ED" w:rsidRDefault="00DC74ED" w:rsidP="00DC74ED">
            <w:r w:rsidRPr="00964491">
              <w:t>COMS</w:t>
            </w:r>
          </w:p>
        </w:tc>
        <w:tc>
          <w:tcPr>
            <w:tcW w:w="8550" w:type="dxa"/>
          </w:tcPr>
          <w:p w14:paraId="2570342B" w14:textId="1D911614" w:rsidR="00DC74ED" w:rsidRDefault="00DC74ED" w:rsidP="00DC74ED">
            <w:r w:rsidRPr="00964491">
              <w:t>Continuous opacity monitoring system</w:t>
            </w:r>
          </w:p>
        </w:tc>
      </w:tr>
      <w:tr w:rsidR="00DC74ED" w14:paraId="54AFF93C" w14:textId="77777777" w:rsidTr="002C7B41">
        <w:trPr>
          <w:cantSplit/>
          <w:tblHeader/>
        </w:trPr>
        <w:tc>
          <w:tcPr>
            <w:tcW w:w="1530" w:type="dxa"/>
          </w:tcPr>
          <w:p w14:paraId="5238FC26" w14:textId="6208B084" w:rsidR="00DC74ED" w:rsidRDefault="00DC74ED" w:rsidP="00DC74ED">
            <w:r w:rsidRPr="00964491">
              <w:t>EQUIV</w:t>
            </w:r>
          </w:p>
        </w:tc>
        <w:tc>
          <w:tcPr>
            <w:tcW w:w="8550" w:type="dxa"/>
          </w:tcPr>
          <w:p w14:paraId="6F2E0CDA" w14:textId="02689B16" w:rsidR="00DC74ED" w:rsidRDefault="00DC74ED" w:rsidP="00DC74ED">
            <w:r w:rsidRPr="00964491">
              <w:t>Equivalent opacity monitor approved by the EPA Administrator</w:t>
            </w:r>
          </w:p>
        </w:tc>
      </w:tr>
      <w:tr w:rsidR="00DC74ED" w14:paraId="51ACAE33" w14:textId="77777777" w:rsidTr="002C7B41">
        <w:trPr>
          <w:cantSplit/>
          <w:tblHeader/>
        </w:trPr>
        <w:tc>
          <w:tcPr>
            <w:tcW w:w="1530" w:type="dxa"/>
          </w:tcPr>
          <w:p w14:paraId="7DF95E51" w14:textId="02125A63" w:rsidR="00DC74ED" w:rsidRDefault="00DC74ED" w:rsidP="00DC74ED">
            <w:r w:rsidRPr="00964491">
              <w:t>NONE</w:t>
            </w:r>
          </w:p>
        </w:tc>
        <w:tc>
          <w:tcPr>
            <w:tcW w:w="8550" w:type="dxa"/>
          </w:tcPr>
          <w:p w14:paraId="62A43C5D" w14:textId="15222EB5" w:rsidR="00DC74ED" w:rsidRDefault="00DC74ED" w:rsidP="00DC74ED">
            <w:r w:rsidRPr="00964491">
              <w:t>No opacity monitoring system</w:t>
            </w:r>
          </w:p>
        </w:tc>
      </w:tr>
    </w:tbl>
    <w:p w14:paraId="32299D3A" w14:textId="6C6DE99A" w:rsidR="00F861CF" w:rsidRPr="00EF0801" w:rsidRDefault="00F861CF" w:rsidP="002625D6">
      <w:pPr>
        <w:pStyle w:val="APDStrong"/>
        <w:spacing w:before="120"/>
      </w:pPr>
      <w:r w:rsidRPr="00EF0801">
        <w:t xml:space="preserve">Approved Equivalent ID </w:t>
      </w:r>
      <w:r w:rsidR="00B42127">
        <w:t>N</w:t>
      </w:r>
      <w:r w:rsidR="00426F66">
        <w:t>o</w:t>
      </w:r>
      <w:r w:rsidRPr="00EF0801">
        <w:t>.</w:t>
      </w:r>
      <w:r w:rsidRPr="006E1729">
        <w:rPr>
          <w:bCs/>
        </w:rPr>
        <w:t>:</w:t>
      </w:r>
    </w:p>
    <w:p w14:paraId="31E1D910" w14:textId="77777777" w:rsidR="00007C6A" w:rsidRDefault="00F861CF" w:rsidP="002572BE">
      <w:pPr>
        <w:pStyle w:val="APDBodyText"/>
        <w:sectPr w:rsidR="00007C6A" w:rsidSect="0031268E">
          <w:pgSz w:w="12240" w:h="15840" w:code="1"/>
          <w:pgMar w:top="720" w:right="720" w:bottom="720" w:left="720" w:header="720" w:footer="720" w:gutter="0"/>
          <w:cols w:space="720"/>
          <w:titlePg/>
          <w:docGrid w:linePitch="360"/>
        </w:sectPr>
      </w:pPr>
      <w:r w:rsidRPr="00EF0801">
        <w:t>If an equivalent opacity monitor has been approved, then enter the corresponding equivalent opacity monitor unique identifier for each unit or process (maximum 10 characters). If the unique identifier is unavailable, then enter the date of the equivalent opacity monitor approval letter. The unique identifier and/or the date of the approval letter is contained in the Compliance File under the appropriate regulated entity number. Otherwise, leave this column blank.</w:t>
      </w:r>
    </w:p>
    <w:p w14:paraId="6302E417" w14:textId="77777777" w:rsidR="00F861CF" w:rsidRPr="00EF0801" w:rsidRDefault="00F861CF" w:rsidP="00F861CF">
      <w:pPr>
        <w:pBdr>
          <w:bottom w:val="double" w:sz="6" w:space="1" w:color="auto"/>
        </w:pBdr>
      </w:pPr>
    </w:p>
    <w:p w14:paraId="21338EEC" w14:textId="41D4AC98" w:rsidR="00F861CF" w:rsidRPr="001104D2" w:rsidRDefault="00AB6ED7" w:rsidP="002C7C54">
      <w:pPr>
        <w:pStyle w:val="APDChapterTitles"/>
        <w:rPr>
          <w:rStyle w:val="APDTableChapterChar"/>
          <w:rFonts w:eastAsia="Calibri"/>
          <w:b/>
          <w:bCs w:val="0"/>
        </w:rPr>
      </w:pPr>
      <w:hyperlink w:anchor="TBL_8b" w:tooltip="Table 8b" w:history="1">
        <w:bookmarkStart w:id="86" w:name="_Toc180398507"/>
        <w:bookmarkStart w:id="87" w:name="_Toc180398561"/>
        <w:r w:rsidRPr="004B17EB">
          <w:rPr>
            <w:rStyle w:val="Hyperlink"/>
            <w:rFonts w:eastAsia="Calibri"/>
            <w:b/>
            <w:bCs w:val="0"/>
          </w:rPr>
          <w:t>Table 8b</w:t>
        </w:r>
      </w:hyperlink>
      <w:r w:rsidRPr="004B17EB">
        <w:rPr>
          <w:rStyle w:val="Hyperlink"/>
          <w:rFonts w:eastAsia="Calibri"/>
          <w:b/>
          <w:bCs w:val="0"/>
        </w:rPr>
        <w:t>:</w:t>
      </w:r>
      <w:r w:rsidR="00F861CF" w:rsidRPr="00EF0801">
        <w:rPr>
          <w:rFonts w:eastAsia="Calibri"/>
          <w:szCs w:val="20"/>
        </w:rPr>
        <w:tab/>
      </w:r>
      <w:r w:rsidR="00F861CF" w:rsidRPr="001104D2">
        <w:rPr>
          <w:rStyle w:val="APDTableChapterChar"/>
          <w:rFonts w:eastAsia="Calibri"/>
          <w:b/>
        </w:rPr>
        <w:t>Title 30 Texas Administrative Code Chapter 113 (30 TAC Chapter 113)</w:t>
      </w:r>
      <w:r w:rsidR="00CC2628" w:rsidRPr="001104D2">
        <w:rPr>
          <w:rStyle w:val="APDTableChapterChar"/>
          <w:rFonts w:eastAsia="Calibri"/>
          <w:b/>
        </w:rPr>
        <w:t xml:space="preserve">, </w:t>
      </w:r>
      <w:r w:rsidR="00F861CF" w:rsidRPr="001104D2">
        <w:rPr>
          <w:rStyle w:val="APDTableChapterChar"/>
          <w:rFonts w:eastAsia="Calibri"/>
          <w:b/>
        </w:rPr>
        <w:t>Subchapter D</w:t>
      </w:r>
      <w:r w:rsidR="00270BF5" w:rsidRPr="001104D2">
        <w:rPr>
          <w:rStyle w:val="APDTableChapterChar"/>
          <w:rFonts w:eastAsia="Calibri"/>
          <w:b/>
        </w:rPr>
        <w:t>:</w:t>
      </w:r>
      <w:r w:rsidR="00F861CF" w:rsidRPr="001104D2">
        <w:rPr>
          <w:rStyle w:val="APDTableChapterChar"/>
          <w:rFonts w:eastAsia="Calibri"/>
          <w:b/>
        </w:rPr>
        <w:t xml:space="preserve"> Hospital/Medical/Infectious Waste Incinerators</w:t>
      </w:r>
      <w:bookmarkEnd w:id="86"/>
      <w:bookmarkEnd w:id="87"/>
    </w:p>
    <w:p w14:paraId="51FEC302" w14:textId="70D59435" w:rsidR="00F861CF" w:rsidRPr="00EF0801" w:rsidRDefault="00F861CF" w:rsidP="00DA79B2">
      <w:pPr>
        <w:pStyle w:val="APDStrong"/>
      </w:pPr>
      <w:r w:rsidRPr="00EF0801">
        <w:t xml:space="preserve">Unit ID </w:t>
      </w:r>
      <w:r w:rsidR="00B42127">
        <w:t>N</w:t>
      </w:r>
      <w:r w:rsidR="00426F66">
        <w:t>o</w:t>
      </w:r>
      <w:r w:rsidRPr="00EF0801">
        <w:t>.:</w:t>
      </w:r>
    </w:p>
    <w:p w14:paraId="358C044F" w14:textId="6E9010CC" w:rsidR="00F861CF" w:rsidRPr="00EF0801" w:rsidRDefault="00F861CF" w:rsidP="002572BE">
      <w:pPr>
        <w:pStyle w:val="APDBodyText"/>
      </w:pPr>
      <w:r w:rsidRPr="00EF0801">
        <w:t xml:space="preserve">Enter the identification number (ID </w:t>
      </w:r>
      <w:r w:rsidR="00B42127">
        <w:t>N</w:t>
      </w:r>
      <w:r w:rsidR="005667BA">
        <w:t>o</w:t>
      </w:r>
      <w:r w:rsidRPr="00EF0801">
        <w:t>.) for the incinerator (maximum 10 characters) as listed on Form OP</w:t>
      </w:r>
      <w:r w:rsidR="00B477CF" w:rsidRPr="00EF0801">
        <w:noBreakHyphen/>
      </w:r>
      <w:r w:rsidRPr="00EF0801">
        <w:t>SUM (Individual Unit Summary).</w:t>
      </w:r>
    </w:p>
    <w:p w14:paraId="578E29B5" w14:textId="3C41E02F" w:rsidR="00F861CF" w:rsidRPr="00EF0801" w:rsidRDefault="00F861CF" w:rsidP="00DA79B2">
      <w:pPr>
        <w:pStyle w:val="APDStrong"/>
      </w:pPr>
      <w:r w:rsidRPr="00EF0801">
        <w:t xml:space="preserve">SOP Index </w:t>
      </w:r>
      <w:r w:rsidR="00B42127">
        <w:t>N</w:t>
      </w:r>
      <w:r w:rsidR="00426F66">
        <w:t>o</w:t>
      </w:r>
      <w:r w:rsidRPr="00EF0801">
        <w:t>.:</w:t>
      </w:r>
    </w:p>
    <w:p w14:paraId="03E2EAE3" w14:textId="7F077EFE" w:rsidR="00F861CF" w:rsidRPr="00EF0801" w:rsidRDefault="00F861CF" w:rsidP="002572BE">
      <w:pPr>
        <w:pStyle w:val="APDBodyText"/>
      </w:pPr>
      <w:r w:rsidRPr="00EF0801">
        <w:t xml:space="preserve">Site operating permit (SOP) applicants should indicate the SOP index number for the </w:t>
      </w:r>
      <w:r w:rsidR="00B9031E" w:rsidRPr="00EF0801">
        <w:t>unit or group of units (maximum</w:t>
      </w:r>
      <w:r w:rsidR="00B239B6">
        <w:t> </w:t>
      </w:r>
      <w:r w:rsidR="00B9031E" w:rsidRPr="00EF0801">
        <w:t>15</w:t>
      </w:r>
      <w:r w:rsidR="00B239B6">
        <w:t> </w:t>
      </w:r>
      <w:r w:rsidRPr="00EF0801">
        <w:t xml:space="preserve">characters consisting of numeric, alphanumeric characters, and/or dashes prefixed by a code for the applicable regulation [i.e., 60KB-XXXX]). </w:t>
      </w:r>
      <w:r w:rsidR="00CC2143" w:rsidRPr="00EF0801">
        <w:t xml:space="preserve">For additional information relating to SOP index numbers, please </w:t>
      </w:r>
      <w:r w:rsidR="00CC2143">
        <w:t xml:space="preserve">see the Completing FOP Applications – Additional Guidance on the </w:t>
      </w:r>
      <w:r w:rsidR="00CC2143" w:rsidRPr="00EF0801">
        <w:t xml:space="preserve">TCEQ website at </w:t>
      </w:r>
      <w:hyperlink r:id="rId33" w:tooltip="TCEQ - Completing FOP Applications - Additional Guidance" w:history="1">
        <w:r w:rsidR="00EE6447" w:rsidRPr="00F47022">
          <w:rPr>
            <w:rStyle w:val="Hyperlink"/>
          </w:rPr>
          <w:t>www.tceq.texas.gov/permitting/air/guidance/titlev/tv_fop_guidance.html</w:t>
        </w:r>
      </w:hyperlink>
      <w:r w:rsidR="00CC2143" w:rsidRPr="00EF0801">
        <w:t>.</w:t>
      </w:r>
    </w:p>
    <w:p w14:paraId="3359A9AF" w14:textId="77777777" w:rsidR="00F861CF" w:rsidRPr="00EF0801" w:rsidRDefault="00F861CF" w:rsidP="00DA79B2">
      <w:pPr>
        <w:pStyle w:val="APDStrong"/>
      </w:pPr>
      <w:r w:rsidRPr="00EF0801">
        <w:t>Commercial Unit</w:t>
      </w:r>
      <w:r w:rsidRPr="004B4CB0">
        <w:rPr>
          <w:bCs/>
        </w:rPr>
        <w:t>:</w:t>
      </w:r>
    </w:p>
    <w:p w14:paraId="1A5CA690" w14:textId="7E52B927" w:rsidR="00437B31" w:rsidRDefault="00F861CF" w:rsidP="002572BE">
      <w:pPr>
        <w:pStyle w:val="APDBodyText"/>
        <w:rPr>
          <w:b/>
        </w:rPr>
      </w:pPr>
      <w:r w:rsidRPr="00EF0801">
        <w:t>Enter “</w:t>
      </w:r>
      <w:r w:rsidR="00B42127">
        <w:t>YES</w:t>
      </w:r>
      <w:r w:rsidRPr="00EF0801">
        <w:t>” if the unit has a commercial medical waste incinerator, or if it burns more than 200 lbs/hr of hospital waste or medical/infectious waste. Otherwise, enter “</w:t>
      </w:r>
      <w:r w:rsidR="00B42127">
        <w:t>NO</w:t>
      </w:r>
      <w:r w:rsidRPr="00EF0801">
        <w:t>.”</w:t>
      </w:r>
      <w:bookmarkStart w:id="88" w:name="_Hlk528919333"/>
    </w:p>
    <w:p w14:paraId="5BADB5D2" w14:textId="2D330BE9" w:rsidR="00F861CF" w:rsidRPr="00EF0801" w:rsidRDefault="00F861CF" w:rsidP="00DA79B2">
      <w:pPr>
        <w:pStyle w:val="APDStrong"/>
      </w:pPr>
      <w:r w:rsidRPr="00EF0801">
        <w:t>CO Monitoring</w:t>
      </w:r>
      <w:bookmarkEnd w:id="88"/>
      <w:r w:rsidRPr="004B4CB0">
        <w:rPr>
          <w:bCs/>
        </w:rPr>
        <w:t>:</w:t>
      </w:r>
    </w:p>
    <w:p w14:paraId="3225294F" w14:textId="77777777" w:rsidR="00F861CF" w:rsidRDefault="00F861CF" w:rsidP="002572BE">
      <w:pPr>
        <w:pStyle w:val="APDBodyText"/>
      </w:pPr>
      <w:r w:rsidRPr="00EF0801">
        <w:t>Select one of the following options that describe the method used to demonstrate compliance with the CO emission limit.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1A504E" w14:paraId="3701B7D9" w14:textId="77777777" w:rsidTr="002C7B41">
        <w:tc>
          <w:tcPr>
            <w:tcW w:w="1530" w:type="dxa"/>
          </w:tcPr>
          <w:p w14:paraId="29F95A1F" w14:textId="0B5694BD" w:rsidR="001A504E" w:rsidRPr="001A504E" w:rsidRDefault="001A504E" w:rsidP="001A504E">
            <w:pPr>
              <w:rPr>
                <w:b/>
                <w:bCs/>
              </w:rPr>
            </w:pPr>
            <w:r w:rsidRPr="001A504E">
              <w:rPr>
                <w:b/>
                <w:bCs/>
              </w:rPr>
              <w:t>Code</w:t>
            </w:r>
          </w:p>
        </w:tc>
        <w:tc>
          <w:tcPr>
            <w:tcW w:w="8550" w:type="dxa"/>
          </w:tcPr>
          <w:p w14:paraId="5E031321" w14:textId="1394BEAD" w:rsidR="001A504E" w:rsidRPr="001A504E" w:rsidRDefault="001A504E" w:rsidP="001A504E">
            <w:pPr>
              <w:rPr>
                <w:b/>
                <w:bCs/>
              </w:rPr>
            </w:pPr>
            <w:r w:rsidRPr="001A504E">
              <w:rPr>
                <w:b/>
                <w:bCs/>
              </w:rPr>
              <w:t>Description</w:t>
            </w:r>
          </w:p>
        </w:tc>
      </w:tr>
      <w:tr w:rsidR="001A504E" w14:paraId="6EA05753" w14:textId="77777777" w:rsidTr="002C7B41">
        <w:tc>
          <w:tcPr>
            <w:tcW w:w="1530" w:type="dxa"/>
          </w:tcPr>
          <w:p w14:paraId="57F6D806" w14:textId="4C63A62C" w:rsidR="001A504E" w:rsidRDefault="001A504E" w:rsidP="001A504E">
            <w:r w:rsidRPr="0068279A">
              <w:t>CEMS</w:t>
            </w:r>
          </w:p>
        </w:tc>
        <w:tc>
          <w:tcPr>
            <w:tcW w:w="8550" w:type="dxa"/>
          </w:tcPr>
          <w:p w14:paraId="33CA3001" w14:textId="25EAD016" w:rsidR="001A504E" w:rsidRDefault="001A504E" w:rsidP="001A504E">
            <w:r w:rsidRPr="0068279A">
              <w:t>Continuous emission monitoring system (CEMS)</w:t>
            </w:r>
          </w:p>
        </w:tc>
      </w:tr>
      <w:tr w:rsidR="001A504E" w14:paraId="7AE1C909" w14:textId="77777777" w:rsidTr="002C7B41">
        <w:tc>
          <w:tcPr>
            <w:tcW w:w="1530" w:type="dxa"/>
          </w:tcPr>
          <w:p w14:paraId="1842F780" w14:textId="3C3D9743" w:rsidR="001A504E" w:rsidRDefault="001A504E" w:rsidP="001A504E">
            <w:r w:rsidRPr="0068279A">
              <w:t>EQUIV</w:t>
            </w:r>
          </w:p>
        </w:tc>
        <w:tc>
          <w:tcPr>
            <w:tcW w:w="8550" w:type="dxa"/>
          </w:tcPr>
          <w:p w14:paraId="5C1DB626" w14:textId="21E0B2D1" w:rsidR="001A504E" w:rsidRDefault="001A504E" w:rsidP="001A504E">
            <w:r w:rsidRPr="0068279A">
              <w:t>Equivalent CO monitor approved by the EPA Administrator</w:t>
            </w:r>
          </w:p>
        </w:tc>
      </w:tr>
      <w:tr w:rsidR="001A504E" w14:paraId="7E0798A6" w14:textId="77777777" w:rsidTr="002C7B41">
        <w:tc>
          <w:tcPr>
            <w:tcW w:w="1530" w:type="dxa"/>
          </w:tcPr>
          <w:p w14:paraId="42EA5A6D" w14:textId="4438CEB9" w:rsidR="001A504E" w:rsidRDefault="001A504E" w:rsidP="001A504E">
            <w:r w:rsidRPr="0068279A">
              <w:t>NONE</w:t>
            </w:r>
          </w:p>
        </w:tc>
        <w:tc>
          <w:tcPr>
            <w:tcW w:w="8550" w:type="dxa"/>
          </w:tcPr>
          <w:p w14:paraId="339BE0B0" w14:textId="525F5E08" w:rsidR="001A504E" w:rsidRDefault="001A504E" w:rsidP="001A504E">
            <w:r w:rsidRPr="0068279A">
              <w:t>No CO monitoring system</w:t>
            </w:r>
          </w:p>
        </w:tc>
      </w:tr>
    </w:tbl>
    <w:p w14:paraId="1B665080" w14:textId="0D2F0142" w:rsidR="00F861CF" w:rsidRPr="00EF0801" w:rsidRDefault="00F861CF" w:rsidP="00717523">
      <w:pPr>
        <w:pStyle w:val="APDStrong"/>
        <w:spacing w:before="120"/>
      </w:pPr>
      <w:r w:rsidRPr="00EF0801">
        <w:t xml:space="preserve">Approved Equivalent ID </w:t>
      </w:r>
      <w:r w:rsidR="00B42127">
        <w:t>N</w:t>
      </w:r>
      <w:r w:rsidR="005667BA">
        <w:t>o</w:t>
      </w:r>
      <w:r w:rsidRPr="00EF0801">
        <w:t>.</w:t>
      </w:r>
      <w:r w:rsidRPr="004B4CB0">
        <w:rPr>
          <w:bCs/>
        </w:rPr>
        <w:t>:</w:t>
      </w:r>
    </w:p>
    <w:p w14:paraId="3F2B0CA7" w14:textId="77777777" w:rsidR="00F861CF" w:rsidRPr="00EF0801" w:rsidRDefault="00F861CF" w:rsidP="002572BE">
      <w:pPr>
        <w:pStyle w:val="APDBodyText"/>
      </w:pPr>
      <w:r w:rsidRPr="00EF0801">
        <w:t>If an equivalent CO monitor has been approved, then enter the corresponding equivalent CO monitor unique identifier for each unit or process (maximum 10 characters). If the unique identifier is unavailable, then enter the date of the equivalent CO monitor approval letter. The unique identifier and/or the date of the approval letter is contained in the Compliance File under the appropriate regulated entity number. Otherwise, leave this column blank.</w:t>
      </w:r>
    </w:p>
    <w:p w14:paraId="71912773" w14:textId="77777777" w:rsidR="00F861CF" w:rsidRPr="00EF0801" w:rsidRDefault="00F861CF" w:rsidP="00DA79B2">
      <w:pPr>
        <w:pStyle w:val="APDStrong"/>
      </w:pPr>
      <w:r w:rsidRPr="00EF0801">
        <w:t>Dioxins/Furans CEMS</w:t>
      </w:r>
      <w:r w:rsidRPr="004B4CB0">
        <w:rPr>
          <w:bCs/>
        </w:rPr>
        <w:t>:</w:t>
      </w:r>
    </w:p>
    <w:p w14:paraId="68A35D3D" w14:textId="31134E55" w:rsidR="00F861CF" w:rsidRPr="00EF0801" w:rsidRDefault="00F861CF" w:rsidP="002572BE">
      <w:pPr>
        <w:pStyle w:val="APDBodyText"/>
      </w:pPr>
      <w:r w:rsidRPr="00EF0801">
        <w:t>Enter “</w:t>
      </w:r>
      <w:r w:rsidR="00B42127">
        <w:t>YES</w:t>
      </w:r>
      <w:r w:rsidRPr="00EF0801">
        <w:t>” if the incinerator uses a continuous emissions monitoring system (CEMS) to demonstrate compliance with the dioxins/furans emission limit. Otherwise, enter “</w:t>
      </w:r>
      <w:r w:rsidR="00B42127">
        <w:t>NO</w:t>
      </w:r>
      <w:r w:rsidRPr="00EF0801">
        <w:t>.”</w:t>
      </w:r>
    </w:p>
    <w:p w14:paraId="5DADD108" w14:textId="2A929D5E" w:rsidR="00F861CF" w:rsidRPr="00EF0801" w:rsidRDefault="00F861CF" w:rsidP="00DA79B2">
      <w:pPr>
        <w:pStyle w:val="APDStrong"/>
      </w:pPr>
      <w:r w:rsidRPr="00EF0801">
        <w:t>Toxic Equivalent Method</w:t>
      </w:r>
      <w:r w:rsidRPr="004B4CB0">
        <w:rPr>
          <w:bCs/>
        </w:rPr>
        <w:t>:</w:t>
      </w:r>
    </w:p>
    <w:p w14:paraId="70390608" w14:textId="35E9F4E5" w:rsidR="00F861CF" w:rsidRPr="00EF0801" w:rsidRDefault="00F861CF" w:rsidP="002572BE">
      <w:pPr>
        <w:pStyle w:val="APDBodyText"/>
      </w:pPr>
      <w:r w:rsidRPr="00EF0801">
        <w:t>Enter “</w:t>
      </w:r>
      <w:r w:rsidR="00B42127">
        <w:t>YES</w:t>
      </w:r>
      <w:r w:rsidRPr="00EF0801">
        <w:t>” if the toxic equivalent quantity method as described in 30 TAC § 113.2075(a)(1)(F) is used to determine compliance with the dioxins/</w:t>
      </w:r>
      <w:r w:rsidR="003A6B01" w:rsidRPr="00EF0801">
        <w:t>furans</w:t>
      </w:r>
      <w:r w:rsidRPr="00EF0801">
        <w:t xml:space="preserve"> emission limit. Otherwise, enter “</w:t>
      </w:r>
      <w:r w:rsidR="00B42127">
        <w:t>NO</w:t>
      </w:r>
      <w:r w:rsidRPr="00EF0801">
        <w:t>.”</w:t>
      </w:r>
    </w:p>
    <w:p w14:paraId="56A950D9" w14:textId="77777777" w:rsidR="00F861CF" w:rsidRPr="00EF0801" w:rsidRDefault="00F861CF" w:rsidP="00DA79B2">
      <w:pPr>
        <w:pStyle w:val="APDStrong"/>
      </w:pPr>
      <w:r w:rsidRPr="00EF0801">
        <w:t>HCL CEMS</w:t>
      </w:r>
      <w:r w:rsidRPr="00B67B6C">
        <w:rPr>
          <w:bCs/>
        </w:rPr>
        <w:t>:</w:t>
      </w:r>
    </w:p>
    <w:p w14:paraId="388F7D0F" w14:textId="127EB914" w:rsidR="00F861CF" w:rsidRPr="00EF0801" w:rsidRDefault="00F861CF" w:rsidP="002572BE">
      <w:pPr>
        <w:pStyle w:val="APDBodyText"/>
      </w:pPr>
      <w:r w:rsidRPr="00EF0801">
        <w:t>Enter “</w:t>
      </w:r>
      <w:r w:rsidR="00B42127">
        <w:t>YES</w:t>
      </w:r>
      <w:r w:rsidRPr="00EF0801">
        <w:t>” if the incinerator uses a continuous emissions monitoring system (CEMS) to demonstrate compliance with the HCL emission limit. Otherwise, enter “</w:t>
      </w:r>
      <w:r w:rsidR="00B42127">
        <w:t>NO</w:t>
      </w:r>
      <w:r w:rsidRPr="00EF0801">
        <w:t>.”</w:t>
      </w:r>
    </w:p>
    <w:p w14:paraId="73BD7553" w14:textId="77777777" w:rsidR="00F861CF" w:rsidRPr="00EF0801" w:rsidRDefault="00F861CF" w:rsidP="00DA79B2">
      <w:pPr>
        <w:pStyle w:val="APDStrong"/>
      </w:pPr>
      <w:r w:rsidRPr="00EF0801">
        <w:t>HCL Percentage Reduction Method</w:t>
      </w:r>
      <w:r w:rsidRPr="00B67B6C">
        <w:rPr>
          <w:bCs/>
        </w:rPr>
        <w:t>:</w:t>
      </w:r>
    </w:p>
    <w:p w14:paraId="68848A8D" w14:textId="77777777" w:rsidR="000C022F" w:rsidRDefault="00F861CF" w:rsidP="002572BE">
      <w:pPr>
        <w:pStyle w:val="APDBodyText"/>
        <w:sectPr w:rsidR="000C022F" w:rsidSect="0031268E">
          <w:pgSz w:w="12240" w:h="15840" w:code="1"/>
          <w:pgMar w:top="720" w:right="720" w:bottom="720" w:left="720" w:header="720" w:footer="720" w:gutter="0"/>
          <w:cols w:space="720"/>
          <w:titlePg/>
          <w:docGrid w:linePitch="360"/>
        </w:sectPr>
      </w:pPr>
      <w:r w:rsidRPr="00EF0801">
        <w:t>Enter “</w:t>
      </w:r>
      <w:r w:rsidR="00B42127">
        <w:t>YES</w:t>
      </w:r>
      <w:r w:rsidRPr="00EF0801">
        <w:t>” if the percentage reduction method as described in 30 TAC § 113.2075(a)(1)(G) is used to determine compliance with the HCL emission limit. Otherwise, enter “</w:t>
      </w:r>
      <w:r w:rsidR="00B42127">
        <w:t>NO</w:t>
      </w:r>
      <w:r w:rsidRPr="00EF0801">
        <w:t>.”</w:t>
      </w:r>
    </w:p>
    <w:p w14:paraId="4070EBF7" w14:textId="77777777" w:rsidR="00F861CF" w:rsidRPr="00EF0801" w:rsidRDefault="00F861CF" w:rsidP="00F861CF">
      <w:pPr>
        <w:pBdr>
          <w:bottom w:val="double" w:sz="6" w:space="1" w:color="auto"/>
        </w:pBdr>
      </w:pPr>
    </w:p>
    <w:bookmarkStart w:id="89" w:name="Table_8b"/>
    <w:bookmarkStart w:id="90" w:name="Table_8c"/>
    <w:p w14:paraId="1DF904E7" w14:textId="3D3D7B21" w:rsidR="00F861CF" w:rsidRPr="00C750E4" w:rsidRDefault="005F7C62" w:rsidP="002C7C54">
      <w:pPr>
        <w:pStyle w:val="APDChapterTitles"/>
        <w:rPr>
          <w:rStyle w:val="APDTableChapterChar"/>
          <w:rFonts w:eastAsia="Calibri"/>
          <w:b/>
          <w:bCs w:val="0"/>
        </w:rPr>
      </w:pPr>
      <w:r w:rsidRPr="00863FC4">
        <w:rPr>
          <w:rStyle w:val="Hyperlink"/>
          <w:rFonts w:eastAsia="Calibri"/>
          <w:b/>
          <w:bCs w:val="0"/>
        </w:rPr>
        <w:fldChar w:fldCharType="begin"/>
      </w:r>
      <w:r w:rsidR="00AB6ED7" w:rsidRPr="00863FC4">
        <w:rPr>
          <w:rStyle w:val="Hyperlink"/>
          <w:b/>
          <w:bCs w:val="0"/>
        </w:rPr>
        <w:instrText>HYPERLINK  \l "TBL_8c" \o "Table 8c"</w:instrText>
      </w:r>
      <w:r w:rsidRPr="00863FC4">
        <w:rPr>
          <w:rStyle w:val="Hyperlink"/>
          <w:rFonts w:eastAsia="Calibri"/>
          <w:b/>
          <w:bCs w:val="0"/>
        </w:rPr>
      </w:r>
      <w:r w:rsidRPr="00863FC4">
        <w:rPr>
          <w:rStyle w:val="Hyperlink"/>
          <w:rFonts w:eastAsia="Calibri"/>
          <w:b/>
          <w:bCs w:val="0"/>
        </w:rPr>
        <w:fldChar w:fldCharType="separate"/>
      </w:r>
      <w:bookmarkStart w:id="91" w:name="_Toc180398508"/>
      <w:bookmarkStart w:id="92" w:name="_Toc180398562"/>
      <w:r w:rsidR="00F861CF" w:rsidRPr="00863FC4">
        <w:rPr>
          <w:rStyle w:val="Hyperlink"/>
          <w:rFonts w:eastAsia="Calibri"/>
          <w:b/>
          <w:bCs w:val="0"/>
        </w:rPr>
        <w:t>Table 8c</w:t>
      </w:r>
      <w:r w:rsidRPr="00863FC4">
        <w:rPr>
          <w:rStyle w:val="Hyperlink"/>
          <w:rFonts w:eastAsia="Calibri"/>
          <w:b/>
          <w:bCs w:val="0"/>
        </w:rPr>
        <w:fldChar w:fldCharType="end"/>
      </w:r>
      <w:bookmarkEnd w:id="89"/>
      <w:bookmarkEnd w:id="90"/>
      <w:r w:rsidR="00F861CF" w:rsidRPr="00863FC4">
        <w:rPr>
          <w:rStyle w:val="Hyperlink"/>
          <w:rFonts w:eastAsia="Calibri"/>
          <w:b/>
          <w:bCs w:val="0"/>
        </w:rPr>
        <w:t>:</w:t>
      </w:r>
      <w:r w:rsidR="00F861CF" w:rsidRPr="00EF0801">
        <w:rPr>
          <w:rFonts w:eastAsia="Calibri"/>
          <w:szCs w:val="20"/>
        </w:rPr>
        <w:tab/>
      </w:r>
      <w:r w:rsidR="00F861CF" w:rsidRPr="00C750E4">
        <w:rPr>
          <w:rStyle w:val="APDTableChapterChar"/>
          <w:rFonts w:eastAsia="Calibri"/>
          <w:b/>
        </w:rPr>
        <w:t>Title 30 Texas Administrative Code Chapter 113 (30 TAC Chapter 113)</w:t>
      </w:r>
      <w:r w:rsidR="0098649D" w:rsidRPr="00C750E4">
        <w:rPr>
          <w:rStyle w:val="APDTableChapterChar"/>
          <w:rFonts w:eastAsia="Calibri"/>
          <w:b/>
        </w:rPr>
        <w:t xml:space="preserve">, </w:t>
      </w:r>
      <w:r w:rsidR="00F861CF" w:rsidRPr="00C750E4">
        <w:rPr>
          <w:rStyle w:val="APDTableChapterChar"/>
          <w:rFonts w:eastAsia="Calibri"/>
          <w:b/>
        </w:rPr>
        <w:t>Subchapter D</w:t>
      </w:r>
      <w:r w:rsidR="00270BF5" w:rsidRPr="00C750E4">
        <w:rPr>
          <w:rStyle w:val="APDTableChapterChar"/>
          <w:rFonts w:eastAsia="Calibri"/>
          <w:b/>
        </w:rPr>
        <w:t>:</w:t>
      </w:r>
      <w:r w:rsidR="00F861CF" w:rsidRPr="00C750E4">
        <w:rPr>
          <w:rStyle w:val="APDTableChapterChar"/>
          <w:rFonts w:eastAsia="Calibri"/>
          <w:b/>
        </w:rPr>
        <w:t xml:space="preserve"> Hospital/Medical/Infectious Waste Incinerators</w:t>
      </w:r>
      <w:bookmarkEnd w:id="91"/>
      <w:bookmarkEnd w:id="92"/>
    </w:p>
    <w:p w14:paraId="753DDE1E" w14:textId="081C10BA" w:rsidR="00F861CF" w:rsidRPr="00EF0801" w:rsidRDefault="00F861CF" w:rsidP="00DA79B2">
      <w:pPr>
        <w:pStyle w:val="APDStrong"/>
      </w:pPr>
      <w:r w:rsidRPr="00EF0801">
        <w:t xml:space="preserve">Unit ID </w:t>
      </w:r>
      <w:r w:rsidR="00B42127">
        <w:t>N</w:t>
      </w:r>
      <w:r w:rsidR="00426F66">
        <w:t>o</w:t>
      </w:r>
      <w:r w:rsidRPr="00EF0801">
        <w:t>.:</w:t>
      </w:r>
    </w:p>
    <w:p w14:paraId="617F1AAF" w14:textId="1975F6E9" w:rsidR="00F861CF" w:rsidRPr="00EF0801" w:rsidRDefault="00F861CF" w:rsidP="002572BE">
      <w:pPr>
        <w:pStyle w:val="APDBodyText"/>
      </w:pPr>
      <w:r w:rsidRPr="00EF0801">
        <w:t xml:space="preserve">Enter the identification number (ID </w:t>
      </w:r>
      <w:r w:rsidR="00B42127">
        <w:t>N</w:t>
      </w:r>
      <w:r w:rsidR="005667BA">
        <w:t>o</w:t>
      </w:r>
      <w:r w:rsidRPr="00EF0801">
        <w:t>.) for the incinerator (maximum 10 characters) as listed on Form OP</w:t>
      </w:r>
      <w:r w:rsidR="00983CA5" w:rsidRPr="00EF0801">
        <w:noBreakHyphen/>
      </w:r>
      <w:r w:rsidRPr="00EF0801">
        <w:t>SUM (Individual Unit Summary).</w:t>
      </w:r>
    </w:p>
    <w:p w14:paraId="642F9A17" w14:textId="0593283B" w:rsidR="00F861CF" w:rsidRPr="00EF0801" w:rsidRDefault="00F861CF" w:rsidP="00DA79B2">
      <w:pPr>
        <w:pStyle w:val="APDStrong"/>
      </w:pPr>
      <w:r w:rsidRPr="00EF0801">
        <w:t xml:space="preserve">SOP Index </w:t>
      </w:r>
      <w:r w:rsidR="00B42127">
        <w:t>N</w:t>
      </w:r>
      <w:r w:rsidR="00426F66">
        <w:t>o</w:t>
      </w:r>
      <w:r w:rsidRPr="00EF0801">
        <w:t>.:</w:t>
      </w:r>
    </w:p>
    <w:p w14:paraId="31CE4334" w14:textId="219FCB52" w:rsidR="00775600" w:rsidRPr="00EF0801" w:rsidRDefault="00F861CF" w:rsidP="002572BE">
      <w:pPr>
        <w:pStyle w:val="APDBodyText"/>
      </w:pPr>
      <w:r w:rsidRPr="00EF0801">
        <w:t xml:space="preserve">Site operating permit (SOP) applicants should indicate the SOP index number for the </w:t>
      </w:r>
      <w:r w:rsidR="00B9031E" w:rsidRPr="00EF0801">
        <w:t>unit or group of units (maximum</w:t>
      </w:r>
      <w:r w:rsidR="00B239B6">
        <w:t> </w:t>
      </w:r>
      <w:r w:rsidR="00B9031E" w:rsidRPr="00EF0801">
        <w:t>15</w:t>
      </w:r>
      <w:r w:rsidR="00B239B6">
        <w:t> </w:t>
      </w:r>
      <w:r w:rsidRPr="00EF0801">
        <w:t xml:space="preserve">characters consisting of numeric, alphanumeric characters, and/or dashes prefixed by a code for the applicable regulation [i.e., 60KB-XXXX]). For additional information relating to SOP index numbers, </w:t>
      </w:r>
      <w:r w:rsidR="00775600" w:rsidRPr="00EF0801">
        <w:t xml:space="preserve">please </w:t>
      </w:r>
      <w:r w:rsidR="00775600">
        <w:t xml:space="preserve">see the Completing FOP Applications – Additional Guidance on the </w:t>
      </w:r>
      <w:r w:rsidR="00775600" w:rsidRPr="00EF0801">
        <w:t xml:space="preserve">TCEQ website at </w:t>
      </w:r>
      <w:hyperlink r:id="rId34" w:tooltip="TCEQ - Completing FOP Applications - Additional Guidance" w:history="1">
        <w:r w:rsidR="00775600" w:rsidRPr="00F47022">
          <w:rPr>
            <w:rStyle w:val="Hyperlink"/>
          </w:rPr>
          <w:t>www.tceq.texas.gov/permitting/air/guidance/titlev/tv_fop_guidance.html</w:t>
        </w:r>
      </w:hyperlink>
      <w:r w:rsidR="00775600" w:rsidRPr="00EF0801">
        <w:t>.</w:t>
      </w:r>
    </w:p>
    <w:p w14:paraId="14A3B8ED" w14:textId="1D84897E" w:rsidR="00F861CF" w:rsidRPr="00EF0801" w:rsidRDefault="00F861CF" w:rsidP="00DA79B2">
      <w:pPr>
        <w:pStyle w:val="APDStrong"/>
      </w:pPr>
      <w:r w:rsidRPr="00EF0801">
        <w:t>P</w:t>
      </w:r>
      <w:r w:rsidR="00812BE9">
        <w:t>b</w:t>
      </w:r>
      <w:r w:rsidRPr="00EF0801">
        <w:t xml:space="preserve"> CEMS:</w:t>
      </w:r>
    </w:p>
    <w:p w14:paraId="67FA1EA2" w14:textId="6ED0E814" w:rsidR="00F861CF" w:rsidRPr="00EF0801" w:rsidRDefault="00F861CF" w:rsidP="002572BE">
      <w:pPr>
        <w:pStyle w:val="APDBodyText"/>
      </w:pPr>
      <w:r w:rsidRPr="00EF0801">
        <w:t>Enter “</w:t>
      </w:r>
      <w:r w:rsidR="00B42127">
        <w:t>YES</w:t>
      </w:r>
      <w:r w:rsidRPr="00EF0801">
        <w:t>” if the incinerator uses a continuous emissions monitoring system (CEMS) to demonstrate compliance with the Pb emission limit. Otherwise, enter “</w:t>
      </w:r>
      <w:r w:rsidR="00B42127">
        <w:t>NO</w:t>
      </w:r>
      <w:r w:rsidRPr="00EF0801">
        <w:t>.”</w:t>
      </w:r>
    </w:p>
    <w:p w14:paraId="01761215" w14:textId="759CE858" w:rsidR="00F861CF" w:rsidRPr="00EF0801" w:rsidRDefault="00F861CF" w:rsidP="00DA79B2">
      <w:pPr>
        <w:pStyle w:val="APDStrong"/>
      </w:pPr>
      <w:bookmarkStart w:id="93" w:name="_Hlk102045675"/>
      <w:r w:rsidRPr="00EF0801">
        <w:t>P</w:t>
      </w:r>
      <w:r w:rsidR="00812BE9">
        <w:t>b</w:t>
      </w:r>
      <w:r w:rsidRPr="00EF0801">
        <w:t xml:space="preserve"> Percentage Reduction Method</w:t>
      </w:r>
      <w:r w:rsidRPr="004B4CB0">
        <w:rPr>
          <w:bCs/>
        </w:rPr>
        <w:t>:</w:t>
      </w:r>
    </w:p>
    <w:p w14:paraId="29A07251" w14:textId="23FFC4F6" w:rsidR="00F861CF" w:rsidRPr="00EF0801" w:rsidRDefault="00F861CF" w:rsidP="002572BE">
      <w:pPr>
        <w:pStyle w:val="APDBodyText"/>
      </w:pPr>
      <w:r w:rsidRPr="00EF0801">
        <w:t>Enter “</w:t>
      </w:r>
      <w:r w:rsidR="00B42127">
        <w:t>YES</w:t>
      </w:r>
      <w:r w:rsidRPr="00EF0801">
        <w:t>” if the percentage reduction method as described in 30 TAC § 113.2075(a)(1)(G) is used to determine compliance with the Pb emission limit. Otherwise, enter “</w:t>
      </w:r>
      <w:r w:rsidR="00B42127">
        <w:t>NO</w:t>
      </w:r>
      <w:r w:rsidRPr="00EF0801">
        <w:t>.”</w:t>
      </w:r>
    </w:p>
    <w:bookmarkEnd w:id="93"/>
    <w:p w14:paraId="0B4E5A3B" w14:textId="20424712" w:rsidR="00F861CF" w:rsidRPr="00EF0801" w:rsidRDefault="00F861CF" w:rsidP="00DA79B2">
      <w:pPr>
        <w:pStyle w:val="APDStrong"/>
      </w:pPr>
      <w:r w:rsidRPr="00EF0801">
        <w:t>C</w:t>
      </w:r>
      <w:r w:rsidR="00812BE9">
        <w:t>d</w:t>
      </w:r>
      <w:r w:rsidRPr="00EF0801">
        <w:t xml:space="preserve"> CEMS</w:t>
      </w:r>
      <w:r w:rsidRPr="004B4CB0">
        <w:rPr>
          <w:bCs/>
        </w:rPr>
        <w:t>:</w:t>
      </w:r>
    </w:p>
    <w:p w14:paraId="16DD95A2" w14:textId="18710D2C" w:rsidR="00437B31" w:rsidRDefault="00F861CF" w:rsidP="002572BE">
      <w:pPr>
        <w:pStyle w:val="APDBodyText"/>
        <w:rPr>
          <w:b/>
        </w:rPr>
      </w:pPr>
      <w:r w:rsidRPr="00EF0801">
        <w:t>Enter “</w:t>
      </w:r>
      <w:r w:rsidR="00B42127">
        <w:t>YES</w:t>
      </w:r>
      <w:r w:rsidRPr="00EF0801">
        <w:t>” if the incinerator uses a continuous emissions monitoring system (CEMS) to demonstrate compliance with the C</w:t>
      </w:r>
      <w:r w:rsidR="007C1739">
        <w:t>d</w:t>
      </w:r>
      <w:r w:rsidRPr="00EF0801">
        <w:t xml:space="preserve"> emission limit. Otherwise, enter “</w:t>
      </w:r>
      <w:r w:rsidR="00B42127">
        <w:t>NO</w:t>
      </w:r>
      <w:r w:rsidRPr="00EF0801">
        <w:t>.”</w:t>
      </w:r>
    </w:p>
    <w:p w14:paraId="063A1871" w14:textId="03D43420" w:rsidR="00F861CF" w:rsidRPr="00EF0801" w:rsidRDefault="00F861CF" w:rsidP="00DA79B2">
      <w:pPr>
        <w:pStyle w:val="APDStrong"/>
      </w:pPr>
      <w:bookmarkStart w:id="94" w:name="_Hlk102045723"/>
      <w:r w:rsidRPr="00EF0801">
        <w:t>C</w:t>
      </w:r>
      <w:r w:rsidR="00812BE9">
        <w:t>d</w:t>
      </w:r>
      <w:r w:rsidRPr="00EF0801">
        <w:t xml:space="preserve"> Percentage Reduction Method</w:t>
      </w:r>
      <w:r w:rsidRPr="004B4CB0">
        <w:rPr>
          <w:bCs/>
        </w:rPr>
        <w:t>:</w:t>
      </w:r>
    </w:p>
    <w:p w14:paraId="7DC85AE6" w14:textId="27AA9F89" w:rsidR="00F861CF" w:rsidRPr="00EF0801" w:rsidRDefault="00F861CF" w:rsidP="002572BE">
      <w:pPr>
        <w:pStyle w:val="APDBodyText"/>
      </w:pPr>
      <w:r w:rsidRPr="00EF0801">
        <w:t>Enter “</w:t>
      </w:r>
      <w:r w:rsidR="00B42127">
        <w:t>YES</w:t>
      </w:r>
      <w:r w:rsidRPr="00EF0801">
        <w:t>” if the percentage reduction method as described in 30 TAC § 113.2075(a)(1)(G) is used to determine compliance with the C</w:t>
      </w:r>
      <w:r w:rsidR="00D75D6A">
        <w:t>d</w:t>
      </w:r>
      <w:r w:rsidRPr="00EF0801">
        <w:t xml:space="preserve"> emission limit. Otherwise, enter “</w:t>
      </w:r>
      <w:r w:rsidR="00B42127">
        <w:t>NO</w:t>
      </w:r>
      <w:r w:rsidRPr="00EF0801">
        <w:t>.”</w:t>
      </w:r>
    </w:p>
    <w:p w14:paraId="0A541E12" w14:textId="0174AC0D" w:rsidR="00F861CF" w:rsidRPr="00EF0801" w:rsidRDefault="00F861CF" w:rsidP="00DA79B2">
      <w:pPr>
        <w:pStyle w:val="APDStrong"/>
      </w:pPr>
      <w:r w:rsidRPr="00EF0801">
        <w:t>H</w:t>
      </w:r>
      <w:r w:rsidR="00812BE9">
        <w:t>g</w:t>
      </w:r>
      <w:r w:rsidRPr="00EF0801">
        <w:t xml:space="preserve"> CEMS</w:t>
      </w:r>
      <w:r w:rsidRPr="004B4CB0">
        <w:rPr>
          <w:bCs/>
        </w:rPr>
        <w:t>:</w:t>
      </w:r>
    </w:p>
    <w:p w14:paraId="58125D66" w14:textId="22F3E0AC" w:rsidR="00F861CF" w:rsidRPr="00EF0801" w:rsidRDefault="00F861CF" w:rsidP="002572BE">
      <w:pPr>
        <w:pStyle w:val="APDBodyText"/>
      </w:pPr>
      <w:r w:rsidRPr="00EF0801">
        <w:t>Enter “</w:t>
      </w:r>
      <w:r w:rsidR="00B42127">
        <w:t>YES</w:t>
      </w:r>
      <w:r w:rsidRPr="00EF0801">
        <w:t>” if the incinerator uses a continuous emissions monitoring system (CEMS) to demonstrate compliance with the Hg emission limit. Otherwise, enter “</w:t>
      </w:r>
      <w:r w:rsidR="00B42127">
        <w:t>NO</w:t>
      </w:r>
      <w:r w:rsidRPr="00EF0801">
        <w:t>.”</w:t>
      </w:r>
    </w:p>
    <w:p w14:paraId="5395E91F" w14:textId="39343E18" w:rsidR="00F861CF" w:rsidRPr="00EF0801" w:rsidRDefault="00F861CF" w:rsidP="00DA79B2">
      <w:pPr>
        <w:pStyle w:val="APDStrong"/>
      </w:pPr>
      <w:r w:rsidRPr="00EF0801">
        <w:t>H</w:t>
      </w:r>
      <w:r w:rsidR="00812BE9">
        <w:t>g</w:t>
      </w:r>
      <w:r w:rsidRPr="00EF0801">
        <w:t xml:space="preserve"> Percentage Reduction Method</w:t>
      </w:r>
      <w:r w:rsidRPr="004B4CB0">
        <w:rPr>
          <w:bCs/>
        </w:rPr>
        <w:t>:</w:t>
      </w:r>
    </w:p>
    <w:p w14:paraId="57C4EF4E" w14:textId="77777777" w:rsidR="00225450" w:rsidRDefault="00F861CF" w:rsidP="002572BE">
      <w:pPr>
        <w:pStyle w:val="APDBodyText"/>
        <w:sectPr w:rsidR="00225450" w:rsidSect="0031268E">
          <w:pgSz w:w="12240" w:h="15840" w:code="1"/>
          <w:pgMar w:top="720" w:right="720" w:bottom="720" w:left="720" w:header="720" w:footer="720" w:gutter="0"/>
          <w:cols w:space="720"/>
          <w:titlePg/>
          <w:docGrid w:linePitch="360"/>
        </w:sectPr>
      </w:pPr>
      <w:r w:rsidRPr="00EF0801">
        <w:t>Enter “</w:t>
      </w:r>
      <w:r w:rsidR="00B42127">
        <w:t>YES</w:t>
      </w:r>
      <w:r w:rsidRPr="00EF0801">
        <w:t>” if the percentage reduction method as described in 30 TAC § 113.2075(a)(1)(G) is used to determine compliance with the Hg emission limit. Otherwise, enter “</w:t>
      </w:r>
      <w:r w:rsidR="00B42127">
        <w:t>NO</w:t>
      </w:r>
      <w:r w:rsidRPr="00EF0801">
        <w:t>.”</w:t>
      </w:r>
    </w:p>
    <w:bookmarkEnd w:id="94"/>
    <w:p w14:paraId="5E5B8B3F" w14:textId="77777777" w:rsidR="00F861CF" w:rsidRPr="00EF0801" w:rsidRDefault="00F861CF" w:rsidP="00F861CF">
      <w:pPr>
        <w:pBdr>
          <w:bottom w:val="double" w:sz="6" w:space="1" w:color="auto"/>
        </w:pBdr>
      </w:pPr>
    </w:p>
    <w:bookmarkStart w:id="95" w:name="Table_9a"/>
    <w:p w14:paraId="5C41D878" w14:textId="1E93778D" w:rsidR="00F861CF" w:rsidRPr="00270709" w:rsidRDefault="009B0E55" w:rsidP="002C7C54">
      <w:pPr>
        <w:pStyle w:val="APDChapterTitles"/>
        <w:rPr>
          <w:rStyle w:val="APDTableChapterChar"/>
          <w:rFonts w:eastAsia="Calibri"/>
          <w:b/>
          <w:bCs w:val="0"/>
        </w:rPr>
      </w:pPr>
      <w:r w:rsidRPr="009B1761">
        <w:rPr>
          <w:rStyle w:val="Hyperlink"/>
          <w:rFonts w:eastAsia="Calibri"/>
          <w:b/>
          <w:bCs w:val="0"/>
        </w:rPr>
        <w:fldChar w:fldCharType="begin"/>
      </w:r>
      <w:r w:rsidR="00AB6ED7" w:rsidRPr="009B1761">
        <w:rPr>
          <w:rStyle w:val="Hyperlink"/>
          <w:rFonts w:eastAsia="Calibri"/>
          <w:b/>
          <w:bCs w:val="0"/>
        </w:rPr>
        <w:instrText>HYPERLINK  \l "TBL_9a" \o "Table 9a"</w:instrText>
      </w:r>
      <w:r w:rsidRPr="009B1761">
        <w:rPr>
          <w:rStyle w:val="Hyperlink"/>
          <w:rFonts w:eastAsia="Calibri"/>
          <w:b/>
          <w:bCs w:val="0"/>
        </w:rPr>
      </w:r>
      <w:r w:rsidRPr="009B1761">
        <w:rPr>
          <w:rStyle w:val="Hyperlink"/>
          <w:rFonts w:eastAsia="Calibri"/>
          <w:b/>
          <w:bCs w:val="0"/>
        </w:rPr>
        <w:fldChar w:fldCharType="separate"/>
      </w:r>
      <w:bookmarkStart w:id="96" w:name="_Toc180398509"/>
      <w:bookmarkStart w:id="97" w:name="_Toc180398563"/>
      <w:r w:rsidR="00F861CF" w:rsidRPr="009B1761">
        <w:rPr>
          <w:rStyle w:val="Hyperlink"/>
          <w:rFonts w:eastAsia="Calibri"/>
          <w:b/>
          <w:bCs w:val="0"/>
        </w:rPr>
        <w:t>Table 9a</w:t>
      </w:r>
      <w:r w:rsidRPr="009B1761">
        <w:rPr>
          <w:rStyle w:val="Hyperlink"/>
          <w:rFonts w:eastAsia="Calibri"/>
          <w:b/>
          <w:bCs w:val="0"/>
        </w:rPr>
        <w:fldChar w:fldCharType="end"/>
      </w:r>
      <w:bookmarkEnd w:id="95"/>
      <w:r w:rsidR="00F861CF" w:rsidRPr="009B1761">
        <w:rPr>
          <w:rStyle w:val="Hyperlink"/>
          <w:rFonts w:eastAsia="Calibri"/>
          <w:b/>
          <w:bCs w:val="0"/>
        </w:rPr>
        <w:t>:</w:t>
      </w:r>
      <w:r w:rsidR="00F861CF" w:rsidRPr="00EF0801">
        <w:rPr>
          <w:rFonts w:eastAsia="Calibri"/>
          <w:szCs w:val="20"/>
        </w:rPr>
        <w:tab/>
      </w:r>
      <w:r w:rsidR="00F861CF" w:rsidRPr="00270709">
        <w:rPr>
          <w:rStyle w:val="APDTableChapterChar"/>
          <w:rFonts w:eastAsia="Calibri"/>
          <w:b/>
        </w:rPr>
        <w:t>Title 30 Texas Administrative Code Chapter 117 (30 TAC Chapter 117)</w:t>
      </w:r>
      <w:r w:rsidR="0098649D" w:rsidRPr="00270709">
        <w:rPr>
          <w:rStyle w:val="APDTableChapterChar"/>
          <w:rFonts w:eastAsia="Calibri"/>
          <w:b/>
        </w:rPr>
        <w:t xml:space="preserve">, </w:t>
      </w:r>
      <w:r w:rsidR="00F861CF" w:rsidRPr="00270709">
        <w:rPr>
          <w:rStyle w:val="APDTableChapterChar"/>
          <w:rFonts w:eastAsia="Calibri"/>
          <w:b/>
        </w:rPr>
        <w:t>Subchapter E</w:t>
      </w:r>
      <w:r w:rsidR="00270BF5" w:rsidRPr="00270709">
        <w:rPr>
          <w:rStyle w:val="APDTableChapterChar"/>
          <w:rFonts w:eastAsia="Calibri"/>
          <w:b/>
        </w:rPr>
        <w:t>:</w:t>
      </w:r>
      <w:r w:rsidR="00F861CF" w:rsidRPr="00270709">
        <w:rPr>
          <w:rStyle w:val="APDTableChapterChar"/>
          <w:rFonts w:eastAsia="Calibri"/>
          <w:b/>
        </w:rPr>
        <w:t xml:space="preserve"> Division 1: Utility Electric Generation in East and Central Texas</w:t>
      </w:r>
      <w:bookmarkEnd w:id="96"/>
      <w:bookmarkEnd w:id="97"/>
    </w:p>
    <w:p w14:paraId="651A5BE4" w14:textId="72CF4FE4" w:rsidR="00F861CF" w:rsidRPr="00EF0801" w:rsidRDefault="00F861CF" w:rsidP="00390EE3">
      <w:pPr>
        <w:pStyle w:val="APDCompleteStar"/>
      </w:pPr>
      <w:r w:rsidRPr="00EF0801">
        <w:t>Complete tables 9a through 9c only for utility electric power boilers and steam generating units generating electric energy for compensation used in an electric power generating system owned or operated by an electric cooperative, independent power producer, municipality, river authority, or public utility, or any of its successors.</w:t>
      </w:r>
    </w:p>
    <w:p w14:paraId="3F443409" w14:textId="779F43C4" w:rsidR="00D108F5" w:rsidRDefault="00F861CF" w:rsidP="00390EE3">
      <w:pPr>
        <w:pStyle w:val="APDCompleteStar"/>
      </w:pPr>
      <w:r w:rsidRPr="00EF0801">
        <w:t>Complete tables 9a through 9c only for facilities located in Atascosa, Bastrop, Bexar, Brazos, Calhoun, Cherokee, Fannin, Fayette, Freestone, Goliad, Gregg, Grimes, Harrison, Henderson, Hood, Hunt, Lamar, Limestone, Marion, McLennan, Milam, Morris, Nueces, Parker, Palo Pinto, Red River, Robertson, Rusk, Titus, Travis, Victoria, or Wharton County.</w:t>
      </w:r>
    </w:p>
    <w:p w14:paraId="368D20ED" w14:textId="08037BE1" w:rsidR="00F861CF" w:rsidRPr="00EF0801" w:rsidRDefault="00F861CF" w:rsidP="00A56A5C">
      <w:pPr>
        <w:pStyle w:val="APDBodyTextItalics"/>
      </w:pPr>
      <w:r w:rsidRPr="00EF0801">
        <w:t>Sites owned or operated by an electric cooperative, municipality, river authority, or public utility located in Parker County have applicability under both 30 TAC Chapter 117, Subchapter C</w:t>
      </w:r>
      <w:r w:rsidR="00270BF5">
        <w:t>:</w:t>
      </w:r>
      <w:r w:rsidRPr="00EF0801">
        <w:t xml:space="preserve"> Division 4: Dallas/Fort Worth Eight-Hour Ozone Nonattainment Area Utility Electric Generation Sources and under 30 TAC Chapter 117, Subchapter E, Division 1: Utility Electric Generation in East and Central Texas and should complete both Tables 9a - 9c and Tables 6a - 6b to determine requirements.</w:t>
      </w:r>
    </w:p>
    <w:p w14:paraId="7470609D" w14:textId="77777777" w:rsidR="004B4CB0" w:rsidRDefault="00F861CF" w:rsidP="00A56A5C">
      <w:pPr>
        <w:pStyle w:val="APDBodyTextItalics"/>
      </w:pPr>
      <w:r w:rsidRPr="00EF0801">
        <w:t>Independent power producers in Parker County are subject only to the requirements of 30 TAC Chapter 117, Subchapter E</w:t>
      </w:r>
      <w:r w:rsidR="00270BF5">
        <w:t>:</w:t>
      </w:r>
      <w:r w:rsidRPr="00EF0801">
        <w:t xml:space="preserve"> Division 1:  Utility Electric Generation in East and Central Texas and should complete only </w:t>
      </w:r>
    </w:p>
    <w:p w14:paraId="5F34EDE7" w14:textId="1CFB6C24" w:rsidR="00F861CF" w:rsidRPr="00EF0801" w:rsidRDefault="00F861CF" w:rsidP="00A56A5C">
      <w:pPr>
        <w:pStyle w:val="APDBodyTextItalics"/>
      </w:pPr>
      <w:r w:rsidRPr="00EF0801">
        <w:t>Tables 9a - 9c.</w:t>
      </w:r>
    </w:p>
    <w:p w14:paraId="0C978D8A" w14:textId="03998EEA" w:rsidR="00F861CF" w:rsidRPr="00EF0801" w:rsidRDefault="00F861CF" w:rsidP="00DA79B2">
      <w:pPr>
        <w:pStyle w:val="APDStrong"/>
      </w:pPr>
      <w:r w:rsidRPr="00EF0801">
        <w:t xml:space="preserve">Unit ID </w:t>
      </w:r>
      <w:r w:rsidR="00B42127">
        <w:t>N</w:t>
      </w:r>
      <w:r w:rsidR="00426F66">
        <w:t>o</w:t>
      </w:r>
      <w:r w:rsidRPr="00EF0801">
        <w:t>.:</w:t>
      </w:r>
    </w:p>
    <w:p w14:paraId="2D1D99B6" w14:textId="2C69D349" w:rsidR="00F861CF" w:rsidRPr="00EF0801" w:rsidRDefault="00F861CF" w:rsidP="00B25D1C">
      <w:pPr>
        <w:pStyle w:val="APDBodyText"/>
        <w:rPr>
          <w:b/>
        </w:rPr>
      </w:pPr>
      <w:r w:rsidRPr="00EF0801">
        <w:t xml:space="preserve">Enter the identification number (ID </w:t>
      </w:r>
      <w:r w:rsidR="00B42127">
        <w:t>N</w:t>
      </w:r>
      <w:r w:rsidR="005667BA">
        <w:t>o</w:t>
      </w:r>
      <w:r w:rsidRPr="00EF0801">
        <w:t xml:space="preserve">.) for the unit (maximum 10 characters) as listed on </w:t>
      </w:r>
      <w:r w:rsidR="00B9031E" w:rsidRPr="00EF0801">
        <w:t>Form OP</w:t>
      </w:r>
      <w:r w:rsidR="00B9031E" w:rsidRPr="00EF0801">
        <w:noBreakHyphen/>
        <w:t>SUM (Individual</w:t>
      </w:r>
      <w:r w:rsidR="00B239B6">
        <w:t> </w:t>
      </w:r>
      <w:r w:rsidRPr="00EF0801">
        <w:t>Unit Summary).</w:t>
      </w:r>
    </w:p>
    <w:p w14:paraId="639EA5E5" w14:textId="335D36B9" w:rsidR="00F861CF" w:rsidRPr="00EF0801" w:rsidRDefault="00F861CF" w:rsidP="00DA79B2">
      <w:pPr>
        <w:pStyle w:val="APDStrong"/>
      </w:pPr>
      <w:r w:rsidRPr="00EF0801">
        <w:t xml:space="preserve">SOP Index </w:t>
      </w:r>
      <w:r w:rsidR="00B42127">
        <w:t>N</w:t>
      </w:r>
      <w:r w:rsidR="00426F66">
        <w:t>o</w:t>
      </w:r>
      <w:r w:rsidRPr="00EF0801">
        <w:t>.:</w:t>
      </w:r>
    </w:p>
    <w:p w14:paraId="584F26AB" w14:textId="76E03F41" w:rsidR="00F861CF" w:rsidRPr="00EF0801" w:rsidRDefault="00F861CF" w:rsidP="00B25D1C">
      <w:pPr>
        <w:pStyle w:val="APDBodyText"/>
      </w:pPr>
      <w:r w:rsidRPr="00EF0801">
        <w:t xml:space="preserve">Site operating permit (SOP) applicants should indicate the SOP index number for the </w:t>
      </w:r>
      <w:r w:rsidR="00B9031E" w:rsidRPr="00EF0801">
        <w:t>unit or group of units (maximum</w:t>
      </w:r>
      <w:r w:rsidR="00B239B6">
        <w:t> </w:t>
      </w:r>
      <w:r w:rsidR="00B9031E" w:rsidRPr="00EF0801">
        <w:t>15</w:t>
      </w:r>
      <w:r w:rsidR="00B239B6">
        <w:t> </w:t>
      </w:r>
      <w:r w:rsidRPr="00EF0801">
        <w:t xml:space="preserve">characters consisting of numeric, alphanumeric characters, and/or dashes prefixed by a code for the applicable regulation [i.e., 60KB-XXXX]). </w:t>
      </w:r>
      <w:r w:rsidR="00CC2143" w:rsidRPr="00EF0801">
        <w:t xml:space="preserve">For additional information relating to SOP index numbers, please </w:t>
      </w:r>
      <w:r w:rsidR="00CC2143">
        <w:t xml:space="preserve">see the Completing FOP Applications – Additional Guidance on the </w:t>
      </w:r>
      <w:r w:rsidR="00CC2143" w:rsidRPr="00EF0801">
        <w:t xml:space="preserve">TCEQ website at </w:t>
      </w:r>
      <w:hyperlink r:id="rId35" w:tooltip="TCEQ - Completing FOP Applications - Additional Guidance" w:history="1">
        <w:r w:rsidR="00EE6447" w:rsidRPr="00F47022">
          <w:rPr>
            <w:rStyle w:val="Hyperlink"/>
          </w:rPr>
          <w:t>www.tceq.texas.gov/permitting/air/guidance/titlev/tv_fop_guidance.html</w:t>
        </w:r>
      </w:hyperlink>
      <w:r w:rsidR="00CC2143" w:rsidRPr="00EF0801">
        <w:t>.</w:t>
      </w:r>
    </w:p>
    <w:p w14:paraId="6F8B5E36" w14:textId="77777777" w:rsidR="00F861CF" w:rsidRPr="00EF0801" w:rsidRDefault="00F861CF" w:rsidP="00DA79B2">
      <w:pPr>
        <w:pStyle w:val="APDStrong"/>
      </w:pPr>
      <w:r w:rsidRPr="00EF0801">
        <w:t>Date Placed in Service:</w:t>
      </w:r>
    </w:p>
    <w:p w14:paraId="50AA33A1" w14:textId="77777777" w:rsidR="00F861CF" w:rsidRDefault="00F861CF" w:rsidP="00B25D1C">
      <w:pPr>
        <w:pStyle w:val="APDBodyText"/>
      </w:pPr>
      <w:r w:rsidRPr="00EF0801">
        <w:t>Select one of the following options for the date the unit was placed in service.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5B7331" w14:paraId="60D5628C" w14:textId="77777777" w:rsidTr="00990E8B">
        <w:trPr>
          <w:cantSplit/>
          <w:tblHeader/>
        </w:trPr>
        <w:tc>
          <w:tcPr>
            <w:tcW w:w="1530" w:type="dxa"/>
          </w:tcPr>
          <w:p w14:paraId="50ABB8CE" w14:textId="797C6C0B" w:rsidR="005B7331" w:rsidRPr="005B7331" w:rsidRDefault="005B7331" w:rsidP="005B7331">
            <w:pPr>
              <w:rPr>
                <w:b/>
                <w:bCs/>
              </w:rPr>
            </w:pPr>
            <w:r w:rsidRPr="005B7331">
              <w:rPr>
                <w:b/>
                <w:bCs/>
              </w:rPr>
              <w:t>Code</w:t>
            </w:r>
          </w:p>
        </w:tc>
        <w:tc>
          <w:tcPr>
            <w:tcW w:w="8550" w:type="dxa"/>
          </w:tcPr>
          <w:p w14:paraId="66DDAA26" w14:textId="3549D0BE" w:rsidR="005B7331" w:rsidRPr="005B7331" w:rsidRDefault="005B7331" w:rsidP="005B7331">
            <w:pPr>
              <w:rPr>
                <w:b/>
                <w:bCs/>
              </w:rPr>
            </w:pPr>
            <w:r w:rsidRPr="005B7331">
              <w:rPr>
                <w:b/>
                <w:bCs/>
              </w:rPr>
              <w:t>Description</w:t>
            </w:r>
          </w:p>
        </w:tc>
      </w:tr>
      <w:tr w:rsidR="005B7331" w14:paraId="322B1065" w14:textId="77777777" w:rsidTr="00990E8B">
        <w:trPr>
          <w:cantSplit/>
          <w:tblHeader/>
        </w:trPr>
        <w:tc>
          <w:tcPr>
            <w:tcW w:w="1530" w:type="dxa"/>
          </w:tcPr>
          <w:p w14:paraId="75328087" w14:textId="6BD9CE7B" w:rsidR="005B7331" w:rsidRDefault="005B7331" w:rsidP="005B7331">
            <w:r w:rsidRPr="000E66A2">
              <w:t>95-</w:t>
            </w:r>
          </w:p>
        </w:tc>
        <w:tc>
          <w:tcPr>
            <w:tcW w:w="8550" w:type="dxa"/>
          </w:tcPr>
          <w:p w14:paraId="2D79BBEC" w14:textId="1DD32D23" w:rsidR="005B7331" w:rsidRDefault="005B7331" w:rsidP="005B7331">
            <w:r w:rsidRPr="000E66A2">
              <w:t>Before December 31, 1995</w:t>
            </w:r>
          </w:p>
        </w:tc>
      </w:tr>
      <w:tr w:rsidR="005B7331" w14:paraId="66141873" w14:textId="77777777" w:rsidTr="00990E8B">
        <w:trPr>
          <w:cantSplit/>
          <w:tblHeader/>
        </w:trPr>
        <w:tc>
          <w:tcPr>
            <w:tcW w:w="1530" w:type="dxa"/>
          </w:tcPr>
          <w:p w14:paraId="3920CD5B" w14:textId="49775348" w:rsidR="005B7331" w:rsidRDefault="005B7331" w:rsidP="005B7331">
            <w:r w:rsidRPr="000E66A2">
              <w:t>95+</w:t>
            </w:r>
          </w:p>
        </w:tc>
        <w:tc>
          <w:tcPr>
            <w:tcW w:w="8550" w:type="dxa"/>
          </w:tcPr>
          <w:p w14:paraId="3A72EDA8" w14:textId="01C2DA82" w:rsidR="005B7331" w:rsidRDefault="005B7331" w:rsidP="005B7331">
            <w:r w:rsidRPr="000E66A2">
              <w:t>On or after December 31, 1995</w:t>
            </w:r>
          </w:p>
        </w:tc>
      </w:tr>
    </w:tbl>
    <w:p w14:paraId="43139CC3" w14:textId="79386C6A" w:rsidR="00437B31" w:rsidRPr="00D108F5" w:rsidRDefault="00F861CF" w:rsidP="00FD7888">
      <w:pPr>
        <w:pStyle w:val="APDContinueTriangle"/>
      </w:pPr>
      <w:r w:rsidRPr="00EF0801">
        <w:t>Continue only if “Date Placed in Service” is “95-.”</w:t>
      </w:r>
    </w:p>
    <w:p w14:paraId="6187834C" w14:textId="77777777" w:rsidR="00E30F02" w:rsidRDefault="00E30F02" w:rsidP="00DA79B2">
      <w:pPr>
        <w:pStyle w:val="APDStrong"/>
        <w:sectPr w:rsidR="00E30F02" w:rsidSect="0031268E">
          <w:pgSz w:w="12240" w:h="15840" w:code="1"/>
          <w:pgMar w:top="720" w:right="720" w:bottom="720" w:left="720" w:header="720" w:footer="720" w:gutter="0"/>
          <w:cols w:space="720"/>
          <w:titlePg/>
          <w:docGrid w:linePitch="360"/>
        </w:sectPr>
      </w:pPr>
    </w:p>
    <w:p w14:paraId="77699461" w14:textId="77777777" w:rsidR="00F861CF" w:rsidRPr="00EF0801" w:rsidRDefault="00F861CF" w:rsidP="00DA79B2">
      <w:pPr>
        <w:pStyle w:val="APDStrong"/>
      </w:pPr>
      <w:r w:rsidRPr="00EF0801">
        <w:lastRenderedPageBreak/>
        <w:t>Unit Exempt</w:t>
      </w:r>
      <w:r w:rsidRPr="004B4CB0">
        <w:rPr>
          <w:bCs/>
        </w:rPr>
        <w:t>:</w:t>
      </w:r>
    </w:p>
    <w:p w14:paraId="286E498C" w14:textId="77777777" w:rsidR="00F861CF" w:rsidRDefault="00F861CF" w:rsidP="00B25D1C">
      <w:pPr>
        <w:pStyle w:val="APDBodyText"/>
      </w:pPr>
      <w:r w:rsidRPr="00EF0801">
        <w:t>Select one of the following options that describes the unit.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287739" w14:paraId="280B58AC" w14:textId="77777777" w:rsidTr="007B350B">
        <w:trPr>
          <w:cantSplit/>
          <w:tblHeader/>
        </w:trPr>
        <w:tc>
          <w:tcPr>
            <w:tcW w:w="1530" w:type="dxa"/>
          </w:tcPr>
          <w:p w14:paraId="30088C0F" w14:textId="66A1E29D" w:rsidR="00287739" w:rsidRDefault="00287739" w:rsidP="00287739">
            <w:r w:rsidRPr="00EA2488">
              <w:t>Code</w:t>
            </w:r>
          </w:p>
        </w:tc>
        <w:tc>
          <w:tcPr>
            <w:tcW w:w="8550" w:type="dxa"/>
          </w:tcPr>
          <w:p w14:paraId="52F1F9DC" w14:textId="6B7F7D3B" w:rsidR="00287739" w:rsidRDefault="00287739" w:rsidP="00287739">
            <w:r w:rsidRPr="00EA2488">
              <w:t>Description</w:t>
            </w:r>
          </w:p>
        </w:tc>
      </w:tr>
      <w:tr w:rsidR="00287739" w14:paraId="78A5D5DE" w14:textId="77777777" w:rsidTr="007B350B">
        <w:trPr>
          <w:cantSplit/>
          <w:tblHeader/>
        </w:trPr>
        <w:tc>
          <w:tcPr>
            <w:tcW w:w="1530" w:type="dxa"/>
          </w:tcPr>
          <w:p w14:paraId="5655799A" w14:textId="14F44103" w:rsidR="00287739" w:rsidRDefault="00287739" w:rsidP="00287739">
            <w:r w:rsidRPr="00EA2488">
              <w:t>INTUSE</w:t>
            </w:r>
          </w:p>
        </w:tc>
        <w:tc>
          <w:tcPr>
            <w:tcW w:w="8550" w:type="dxa"/>
          </w:tcPr>
          <w:p w14:paraId="2826EED9" w14:textId="796EDE3D" w:rsidR="00287739" w:rsidRDefault="00287739" w:rsidP="00287739">
            <w:r w:rsidRPr="00EA2488">
              <w:t>The unit generates electric energy primarily for internal use but averaged over the three most recent calendar years, has sold less than one third of its potential electrical output capacity to a utility power distribution system</w:t>
            </w:r>
          </w:p>
        </w:tc>
      </w:tr>
      <w:tr w:rsidR="00287739" w14:paraId="4E1F85F2" w14:textId="77777777" w:rsidTr="007B350B">
        <w:trPr>
          <w:cantSplit/>
          <w:tblHeader/>
        </w:trPr>
        <w:tc>
          <w:tcPr>
            <w:tcW w:w="1530" w:type="dxa"/>
          </w:tcPr>
          <w:p w14:paraId="0D0A9A17" w14:textId="2D50B54F" w:rsidR="00287739" w:rsidRDefault="00287739" w:rsidP="00287739">
            <w:r w:rsidRPr="00EA2488">
              <w:t>HEATIN</w:t>
            </w:r>
          </w:p>
        </w:tc>
        <w:tc>
          <w:tcPr>
            <w:tcW w:w="8550" w:type="dxa"/>
          </w:tcPr>
          <w:p w14:paraId="6AC62252" w14:textId="0C4867F3" w:rsidR="00287739" w:rsidRDefault="00287739" w:rsidP="00287739">
            <w:r w:rsidRPr="00EA2488">
              <w:t>The unit has an annual heat input of 2.2 (10</w:t>
            </w:r>
            <w:r w:rsidRPr="00EA2488">
              <w:rPr>
                <w:vertAlign w:val="superscript"/>
              </w:rPr>
              <w:t>11</w:t>
            </w:r>
            <w:r w:rsidRPr="00EA2488">
              <w:t>) Btu/yr or less, averaged over the three most recent calendar years</w:t>
            </w:r>
          </w:p>
        </w:tc>
      </w:tr>
      <w:tr w:rsidR="00287739" w14:paraId="59471208" w14:textId="77777777" w:rsidTr="007B350B">
        <w:trPr>
          <w:cantSplit/>
          <w:tblHeader/>
        </w:trPr>
        <w:tc>
          <w:tcPr>
            <w:tcW w:w="1530" w:type="dxa"/>
          </w:tcPr>
          <w:p w14:paraId="2A626CF5" w14:textId="50C89D5C" w:rsidR="00287739" w:rsidRDefault="00287739" w:rsidP="00287739">
            <w:r w:rsidRPr="00EA2488">
              <w:t>NONE</w:t>
            </w:r>
          </w:p>
        </w:tc>
        <w:tc>
          <w:tcPr>
            <w:tcW w:w="8550" w:type="dxa"/>
          </w:tcPr>
          <w:p w14:paraId="1CFAB6E4" w14:textId="3B49A239" w:rsidR="00287739" w:rsidRDefault="00287739" w:rsidP="00287739">
            <w:r w:rsidRPr="00EA2488">
              <w:t>The unit does not qualify for any exemptions under the rule</w:t>
            </w:r>
          </w:p>
        </w:tc>
      </w:tr>
    </w:tbl>
    <w:p w14:paraId="7201E2D9" w14:textId="6271AA4C" w:rsidR="00B9031E" w:rsidRPr="00232666" w:rsidRDefault="00F861CF" w:rsidP="00FD7888">
      <w:pPr>
        <w:pStyle w:val="APDContinueTriangle"/>
      </w:pPr>
      <w:r w:rsidRPr="00232666">
        <w:t>Continue only if “Unit Exempt” is “NONE.”</w:t>
      </w:r>
    </w:p>
    <w:p w14:paraId="4D68A328" w14:textId="77777777" w:rsidR="00F861CF" w:rsidRPr="00EF0801" w:rsidRDefault="00F861CF" w:rsidP="00DA79B2">
      <w:pPr>
        <w:pStyle w:val="APDStrong"/>
      </w:pPr>
      <w:r w:rsidRPr="00EF0801">
        <w:t>Location:</w:t>
      </w:r>
    </w:p>
    <w:p w14:paraId="424806FA" w14:textId="46FCD269" w:rsidR="00F861CF" w:rsidRPr="00232666" w:rsidRDefault="00F861CF" w:rsidP="00232666">
      <w:pPr>
        <w:pStyle w:val="APDBodyText"/>
      </w:pPr>
      <w:r w:rsidRPr="00232666">
        <w:t>Enter “</w:t>
      </w:r>
      <w:r w:rsidR="00B42127">
        <w:t>YES</w:t>
      </w:r>
      <w:r w:rsidRPr="00232666">
        <w:t>” if the unit is a gas-fired steam generator located in Palo Pinto C</w:t>
      </w:r>
      <w:r w:rsidR="008104EF" w:rsidRPr="00232666">
        <w:t>ounty as specified in 30 TAC § </w:t>
      </w:r>
      <w:r w:rsidRPr="00232666">
        <w:t>117.3005(a). Otherwise, enter “</w:t>
      </w:r>
      <w:r w:rsidR="00B42127">
        <w:t>NO</w:t>
      </w:r>
      <w:r w:rsidRPr="00232666">
        <w:t>.”</w:t>
      </w:r>
    </w:p>
    <w:p w14:paraId="60408FAB" w14:textId="44BC1287" w:rsidR="00F861CF" w:rsidRPr="00232666" w:rsidRDefault="00F861CF" w:rsidP="00390EE3">
      <w:pPr>
        <w:pStyle w:val="APDCompleteStar"/>
      </w:pPr>
      <w:r w:rsidRPr="00232666">
        <w:t>Complete Table 9b if “Location” is “</w:t>
      </w:r>
      <w:r w:rsidR="00B42127">
        <w:t>NO</w:t>
      </w:r>
      <w:r w:rsidRPr="00232666">
        <w:t>.” Do not complete the rest of Table 9a.</w:t>
      </w:r>
    </w:p>
    <w:p w14:paraId="27D46DB6" w14:textId="77777777" w:rsidR="00F861CF" w:rsidRPr="00EF0801" w:rsidRDefault="00F861CF" w:rsidP="00DA79B2">
      <w:pPr>
        <w:pStyle w:val="APDStrong"/>
      </w:pPr>
      <w:r w:rsidRPr="00EF0801">
        <w:t>Capacity</w:t>
      </w:r>
      <w:r w:rsidRPr="004B4CB0">
        <w:rPr>
          <w:bCs/>
        </w:rPr>
        <w:t>:</w:t>
      </w:r>
    </w:p>
    <w:p w14:paraId="1B81A9C0" w14:textId="77777777" w:rsidR="00F861CF" w:rsidRDefault="00F861CF" w:rsidP="00232666">
      <w:pPr>
        <w:pStyle w:val="APDBodyText"/>
      </w:pPr>
      <w:r w:rsidRPr="00232666">
        <w:t>Select one of the following options that describe the capacity of the gas-fired steam generating unit.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DD550C" w14:paraId="46E51A23" w14:textId="77777777" w:rsidTr="007B0417">
        <w:tc>
          <w:tcPr>
            <w:tcW w:w="1530" w:type="dxa"/>
          </w:tcPr>
          <w:p w14:paraId="2C7731F4" w14:textId="0E97AD96" w:rsidR="00DD550C" w:rsidRPr="00DD550C" w:rsidRDefault="00DD550C" w:rsidP="00DD550C">
            <w:pPr>
              <w:rPr>
                <w:b/>
                <w:bCs/>
              </w:rPr>
            </w:pPr>
            <w:r w:rsidRPr="00DD550C">
              <w:rPr>
                <w:b/>
                <w:bCs/>
              </w:rPr>
              <w:t>Code</w:t>
            </w:r>
          </w:p>
        </w:tc>
        <w:tc>
          <w:tcPr>
            <w:tcW w:w="8550" w:type="dxa"/>
          </w:tcPr>
          <w:p w14:paraId="73C425A5" w14:textId="6BEAFD4D" w:rsidR="00DD550C" w:rsidRPr="00DD550C" w:rsidRDefault="00DD550C" w:rsidP="00DD550C">
            <w:pPr>
              <w:rPr>
                <w:b/>
                <w:bCs/>
              </w:rPr>
            </w:pPr>
            <w:r w:rsidRPr="00DD550C">
              <w:rPr>
                <w:b/>
                <w:bCs/>
              </w:rPr>
              <w:t>Description</w:t>
            </w:r>
          </w:p>
        </w:tc>
      </w:tr>
      <w:tr w:rsidR="00DD550C" w14:paraId="212FDD4C" w14:textId="77777777" w:rsidTr="007B0417">
        <w:tc>
          <w:tcPr>
            <w:tcW w:w="1530" w:type="dxa"/>
          </w:tcPr>
          <w:p w14:paraId="5E287978" w14:textId="31045A73" w:rsidR="00DD550C" w:rsidRDefault="00DD550C" w:rsidP="00DD550C">
            <w:r w:rsidRPr="0050091D">
              <w:t>6-</w:t>
            </w:r>
          </w:p>
        </w:tc>
        <w:tc>
          <w:tcPr>
            <w:tcW w:w="8550" w:type="dxa"/>
          </w:tcPr>
          <w:p w14:paraId="51C8D8BE" w14:textId="0F0EC1C6" w:rsidR="00DD550C" w:rsidRDefault="00DD550C" w:rsidP="00DD550C">
            <w:r w:rsidRPr="0050091D">
              <w:t>The unit has the capacity to generate less than 600,000 lb/hr of steam continuously</w:t>
            </w:r>
          </w:p>
        </w:tc>
      </w:tr>
      <w:tr w:rsidR="00DD550C" w14:paraId="0E14EBCD" w14:textId="77777777" w:rsidTr="007B0417">
        <w:tc>
          <w:tcPr>
            <w:tcW w:w="1530" w:type="dxa"/>
          </w:tcPr>
          <w:p w14:paraId="44497225" w14:textId="442C9428" w:rsidR="00DD550C" w:rsidRDefault="00DD550C" w:rsidP="00DD550C">
            <w:r w:rsidRPr="0050091D">
              <w:t>6-11</w:t>
            </w:r>
          </w:p>
        </w:tc>
        <w:tc>
          <w:tcPr>
            <w:tcW w:w="8550" w:type="dxa"/>
          </w:tcPr>
          <w:p w14:paraId="50ACBE7F" w14:textId="7D3CAA74" w:rsidR="00DD550C" w:rsidRDefault="00DD550C" w:rsidP="00DD550C">
            <w:r w:rsidRPr="0050091D">
              <w:t>The unit has the capacity to generate more than 600,000 lb/hr but less than 1,100,000 lb/hr of steam continuously</w:t>
            </w:r>
          </w:p>
        </w:tc>
      </w:tr>
      <w:tr w:rsidR="00DD550C" w14:paraId="05130DD4" w14:textId="77777777" w:rsidTr="007B0417">
        <w:tc>
          <w:tcPr>
            <w:tcW w:w="1530" w:type="dxa"/>
          </w:tcPr>
          <w:p w14:paraId="53A6CCE5" w14:textId="1B6421DF" w:rsidR="00DD550C" w:rsidRDefault="00DD550C" w:rsidP="00DD550C">
            <w:r w:rsidRPr="0050091D">
              <w:t>11+</w:t>
            </w:r>
          </w:p>
        </w:tc>
        <w:tc>
          <w:tcPr>
            <w:tcW w:w="8550" w:type="dxa"/>
          </w:tcPr>
          <w:p w14:paraId="410F5A96" w14:textId="6B743A0E" w:rsidR="00DD550C" w:rsidRDefault="00DD550C" w:rsidP="00DD550C">
            <w:r w:rsidRPr="0050091D">
              <w:t>The unit has the capacity to generate more than 1,100,000 lb/hr of steam continuously</w:t>
            </w:r>
          </w:p>
        </w:tc>
      </w:tr>
    </w:tbl>
    <w:p w14:paraId="1AB70DD1" w14:textId="77777777" w:rsidR="00F861CF" w:rsidRPr="00232666" w:rsidRDefault="00F861CF" w:rsidP="00FD7888">
      <w:pPr>
        <w:pStyle w:val="APDContinueTriangle"/>
      </w:pPr>
      <w:r w:rsidRPr="00232666">
        <w:t>Do not continue if “Capacity” is “6-.”</w:t>
      </w:r>
    </w:p>
    <w:p w14:paraId="7B99C8D0" w14:textId="77777777" w:rsidR="00F861CF" w:rsidRPr="00232666" w:rsidRDefault="00F861CF" w:rsidP="00390EE3">
      <w:pPr>
        <w:pStyle w:val="APDCompleteStar"/>
      </w:pPr>
      <w:r w:rsidRPr="00232666">
        <w:t>Complete”30% of the Max” only if “Capacity” is “6-11.”</w:t>
      </w:r>
    </w:p>
    <w:p w14:paraId="55B9D51D" w14:textId="77777777" w:rsidR="00F861CF" w:rsidRPr="00EF0801" w:rsidRDefault="00F861CF" w:rsidP="00DA79B2">
      <w:pPr>
        <w:pStyle w:val="APDStrong"/>
      </w:pPr>
      <w:r w:rsidRPr="00EF0801">
        <w:t>30% of the Maximum</w:t>
      </w:r>
      <w:r w:rsidRPr="004B4CB0">
        <w:rPr>
          <w:bCs/>
        </w:rPr>
        <w:t>:</w:t>
      </w:r>
    </w:p>
    <w:p w14:paraId="5531959F" w14:textId="1FA60430" w:rsidR="00F861CF" w:rsidRPr="00232666" w:rsidRDefault="00F861CF" w:rsidP="00232666">
      <w:pPr>
        <w:pStyle w:val="APDBodyText"/>
      </w:pPr>
      <w:r w:rsidRPr="00232666">
        <w:t>Enter “</w:t>
      </w:r>
      <w:r w:rsidR="00B42127">
        <w:t>YES</w:t>
      </w:r>
      <w:r w:rsidRPr="00232666">
        <w:t>” if the total steam generated from the unit is less than or equal to 30% of the maximum continuous steam capacity times the number of hours in a year. Otherwise, enter “</w:t>
      </w:r>
      <w:r w:rsidR="00B42127">
        <w:t>NO</w:t>
      </w:r>
      <w:r w:rsidRPr="00232666">
        <w:t>.”</w:t>
      </w:r>
    </w:p>
    <w:p w14:paraId="6A45D7AA" w14:textId="224509B1" w:rsidR="00F861CF" w:rsidRPr="00232666" w:rsidRDefault="00F861CF" w:rsidP="00390EE3">
      <w:pPr>
        <w:pStyle w:val="APDCompleteStar"/>
      </w:pPr>
      <w:r w:rsidRPr="00232666">
        <w:t>Do not complete “Firing Method” if “30% of Max.” is “</w:t>
      </w:r>
      <w:r w:rsidR="00B42127">
        <w:t>YES</w:t>
      </w:r>
      <w:r w:rsidRPr="00232666">
        <w:t>.”</w:t>
      </w:r>
    </w:p>
    <w:p w14:paraId="146F8BF9" w14:textId="77777777" w:rsidR="00F861CF" w:rsidRPr="00EF0801" w:rsidRDefault="00F861CF" w:rsidP="00DA79B2">
      <w:pPr>
        <w:pStyle w:val="APDStrong"/>
      </w:pPr>
      <w:r w:rsidRPr="00EF0801">
        <w:t>Firing Method</w:t>
      </w:r>
      <w:r w:rsidRPr="00ED3B18">
        <w:rPr>
          <w:bCs/>
        </w:rPr>
        <w:t>:</w:t>
      </w:r>
    </w:p>
    <w:p w14:paraId="16598290" w14:textId="77777777" w:rsidR="00F861CF" w:rsidRDefault="00F861CF" w:rsidP="00232666">
      <w:pPr>
        <w:pStyle w:val="APDBodyText"/>
      </w:pPr>
      <w:r w:rsidRPr="00232666">
        <w:t>Select the option that describes the firing method for the unit.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5071AE" w14:paraId="10820148" w14:textId="77777777" w:rsidTr="00A3704F">
        <w:tc>
          <w:tcPr>
            <w:tcW w:w="1530" w:type="dxa"/>
          </w:tcPr>
          <w:p w14:paraId="26B23321" w14:textId="44067ADB" w:rsidR="005071AE" w:rsidRPr="005071AE" w:rsidRDefault="005071AE" w:rsidP="005071AE">
            <w:pPr>
              <w:rPr>
                <w:b/>
                <w:bCs/>
              </w:rPr>
            </w:pPr>
            <w:r w:rsidRPr="005071AE">
              <w:rPr>
                <w:b/>
                <w:bCs/>
              </w:rPr>
              <w:t>Code</w:t>
            </w:r>
          </w:p>
        </w:tc>
        <w:tc>
          <w:tcPr>
            <w:tcW w:w="8550" w:type="dxa"/>
          </w:tcPr>
          <w:p w14:paraId="1D603FF3" w14:textId="47A3F4B5" w:rsidR="005071AE" w:rsidRPr="005071AE" w:rsidRDefault="005071AE" w:rsidP="005071AE">
            <w:pPr>
              <w:rPr>
                <w:b/>
                <w:bCs/>
              </w:rPr>
            </w:pPr>
            <w:r w:rsidRPr="005071AE">
              <w:rPr>
                <w:b/>
                <w:bCs/>
              </w:rPr>
              <w:t>Description</w:t>
            </w:r>
          </w:p>
        </w:tc>
      </w:tr>
      <w:tr w:rsidR="005071AE" w14:paraId="7B7738C9" w14:textId="77777777" w:rsidTr="00A3704F">
        <w:tc>
          <w:tcPr>
            <w:tcW w:w="1530" w:type="dxa"/>
          </w:tcPr>
          <w:p w14:paraId="6677DCE1" w14:textId="77EF92BA" w:rsidR="005071AE" w:rsidRDefault="005071AE" w:rsidP="005071AE">
            <w:r w:rsidRPr="008943FE">
              <w:t>OFG</w:t>
            </w:r>
          </w:p>
        </w:tc>
        <w:tc>
          <w:tcPr>
            <w:tcW w:w="8550" w:type="dxa"/>
          </w:tcPr>
          <w:p w14:paraId="1F6186A5" w14:textId="3CDCD4A5" w:rsidR="005071AE" w:rsidRDefault="005071AE" w:rsidP="005071AE">
            <w:r w:rsidRPr="008943FE">
              <w:t>The unit is an opposed-fire steam generating unit</w:t>
            </w:r>
          </w:p>
        </w:tc>
      </w:tr>
      <w:tr w:rsidR="005071AE" w14:paraId="76FDEBEA" w14:textId="77777777" w:rsidTr="00A3704F">
        <w:tc>
          <w:tcPr>
            <w:tcW w:w="1530" w:type="dxa"/>
          </w:tcPr>
          <w:p w14:paraId="27CA76D9" w14:textId="7ED68725" w:rsidR="005071AE" w:rsidRDefault="005071AE" w:rsidP="005071AE">
            <w:r w:rsidRPr="008943FE">
              <w:t>FFG</w:t>
            </w:r>
          </w:p>
        </w:tc>
        <w:tc>
          <w:tcPr>
            <w:tcW w:w="8550" w:type="dxa"/>
          </w:tcPr>
          <w:p w14:paraId="1D3E382E" w14:textId="070B820B" w:rsidR="005071AE" w:rsidRDefault="005071AE" w:rsidP="005071AE">
            <w:r w:rsidRPr="008943FE">
              <w:t>The unit is a front-fired steam generating unit</w:t>
            </w:r>
          </w:p>
        </w:tc>
      </w:tr>
      <w:tr w:rsidR="005071AE" w14:paraId="085D70DB" w14:textId="77777777" w:rsidTr="00A3704F">
        <w:tc>
          <w:tcPr>
            <w:tcW w:w="1530" w:type="dxa"/>
          </w:tcPr>
          <w:p w14:paraId="06505A7C" w14:textId="5F888D2D" w:rsidR="005071AE" w:rsidRDefault="005071AE" w:rsidP="005071AE">
            <w:r w:rsidRPr="008943FE">
              <w:t>TFG</w:t>
            </w:r>
          </w:p>
        </w:tc>
        <w:tc>
          <w:tcPr>
            <w:tcW w:w="8550" w:type="dxa"/>
          </w:tcPr>
          <w:p w14:paraId="53ABFEDE" w14:textId="149CE57F" w:rsidR="005071AE" w:rsidRDefault="005071AE" w:rsidP="005071AE">
            <w:r w:rsidRPr="008943FE">
              <w:t>The unit is a tangential-fired steam generating unit</w:t>
            </w:r>
          </w:p>
        </w:tc>
      </w:tr>
    </w:tbl>
    <w:p w14:paraId="651725A7" w14:textId="77777777" w:rsidR="00904C68" w:rsidRDefault="00904C68" w:rsidP="00F861CF">
      <w:pPr>
        <w:pBdr>
          <w:bottom w:val="double" w:sz="6" w:space="1" w:color="auto"/>
        </w:pBdr>
        <w:sectPr w:rsidR="00904C68" w:rsidSect="0031268E">
          <w:pgSz w:w="12240" w:h="15840" w:code="1"/>
          <w:pgMar w:top="720" w:right="720" w:bottom="720" w:left="720" w:header="720" w:footer="720" w:gutter="0"/>
          <w:cols w:space="720"/>
          <w:titlePg/>
          <w:docGrid w:linePitch="360"/>
        </w:sectPr>
      </w:pPr>
    </w:p>
    <w:p w14:paraId="1146DA09" w14:textId="77777777" w:rsidR="00F861CF" w:rsidRPr="00EF0801" w:rsidRDefault="00F861CF" w:rsidP="00F861CF">
      <w:pPr>
        <w:pBdr>
          <w:bottom w:val="double" w:sz="6" w:space="1" w:color="auto"/>
        </w:pBdr>
      </w:pPr>
    </w:p>
    <w:bookmarkStart w:id="98" w:name="Table_9b"/>
    <w:p w14:paraId="0A6579A6" w14:textId="5286EBC1" w:rsidR="00F861CF" w:rsidRPr="00270709" w:rsidRDefault="005F7C62" w:rsidP="002C7C54">
      <w:pPr>
        <w:pStyle w:val="APDChapterTitles"/>
        <w:rPr>
          <w:rStyle w:val="APDTableChapterChar"/>
          <w:rFonts w:eastAsia="Calibri"/>
          <w:b/>
          <w:bCs w:val="0"/>
        </w:rPr>
      </w:pPr>
      <w:r w:rsidRPr="00BB2879">
        <w:rPr>
          <w:rStyle w:val="Hyperlink"/>
          <w:rFonts w:eastAsia="Calibri"/>
          <w:b/>
          <w:bCs w:val="0"/>
        </w:rPr>
        <w:fldChar w:fldCharType="begin"/>
      </w:r>
      <w:r w:rsidR="00AB6ED7" w:rsidRPr="00BB2879">
        <w:rPr>
          <w:rStyle w:val="Hyperlink"/>
          <w:b/>
          <w:bCs w:val="0"/>
        </w:rPr>
        <w:instrText>HYPERLINK  \l "TBL_9b" \o "Table 9b"</w:instrText>
      </w:r>
      <w:r w:rsidRPr="00BB2879">
        <w:rPr>
          <w:rStyle w:val="Hyperlink"/>
          <w:rFonts w:eastAsia="Calibri"/>
          <w:b/>
          <w:bCs w:val="0"/>
        </w:rPr>
      </w:r>
      <w:r w:rsidRPr="00BB2879">
        <w:rPr>
          <w:rStyle w:val="Hyperlink"/>
          <w:rFonts w:eastAsia="Calibri"/>
          <w:b/>
          <w:bCs w:val="0"/>
        </w:rPr>
        <w:fldChar w:fldCharType="separate"/>
      </w:r>
      <w:bookmarkStart w:id="99" w:name="_Toc180398510"/>
      <w:bookmarkStart w:id="100" w:name="_Toc180398564"/>
      <w:r w:rsidR="00F861CF" w:rsidRPr="00BB2879">
        <w:rPr>
          <w:rStyle w:val="Hyperlink"/>
          <w:rFonts w:eastAsia="Calibri"/>
          <w:b/>
          <w:bCs w:val="0"/>
        </w:rPr>
        <w:t>Table 9b</w:t>
      </w:r>
      <w:r w:rsidRPr="00BB2879">
        <w:rPr>
          <w:rStyle w:val="Hyperlink"/>
          <w:rFonts w:eastAsia="Calibri"/>
          <w:b/>
          <w:bCs w:val="0"/>
        </w:rPr>
        <w:fldChar w:fldCharType="end"/>
      </w:r>
      <w:bookmarkEnd w:id="98"/>
      <w:r w:rsidR="00F861CF" w:rsidRPr="00BB2879">
        <w:rPr>
          <w:rStyle w:val="Hyperlink"/>
          <w:rFonts w:eastAsia="Calibri"/>
          <w:b/>
          <w:bCs w:val="0"/>
        </w:rPr>
        <w:t>:</w:t>
      </w:r>
      <w:r w:rsidR="00F861CF" w:rsidRPr="00EF0801">
        <w:rPr>
          <w:rFonts w:eastAsia="Calibri"/>
          <w:szCs w:val="20"/>
        </w:rPr>
        <w:tab/>
      </w:r>
      <w:r w:rsidR="00F861CF" w:rsidRPr="00270709">
        <w:rPr>
          <w:rStyle w:val="APDTableChapterChar"/>
          <w:rFonts w:eastAsia="Calibri"/>
          <w:b/>
        </w:rPr>
        <w:t>Title 30 Texas Administrative Code Chapter 117 (30 TAC Chapter 117)</w:t>
      </w:r>
      <w:r w:rsidR="0098649D" w:rsidRPr="00270709">
        <w:rPr>
          <w:rStyle w:val="APDTableChapterChar"/>
          <w:rFonts w:eastAsia="Calibri"/>
          <w:b/>
        </w:rPr>
        <w:t xml:space="preserve">, </w:t>
      </w:r>
      <w:r w:rsidR="00F861CF" w:rsidRPr="00270709">
        <w:rPr>
          <w:rStyle w:val="APDTableChapterChar"/>
          <w:rFonts w:eastAsia="Calibri"/>
          <w:b/>
        </w:rPr>
        <w:t>Subchapter E</w:t>
      </w:r>
      <w:r w:rsidR="00270BF5" w:rsidRPr="00270709">
        <w:rPr>
          <w:rStyle w:val="APDTableChapterChar"/>
          <w:rFonts w:eastAsia="Calibri"/>
          <w:b/>
        </w:rPr>
        <w:t>:</w:t>
      </w:r>
      <w:r w:rsidR="00F861CF" w:rsidRPr="00270709">
        <w:rPr>
          <w:rStyle w:val="APDTableChapterChar"/>
          <w:rFonts w:eastAsia="Calibri"/>
          <w:b/>
        </w:rPr>
        <w:t xml:space="preserve"> Division 1: Utility Electric Generation in East and Central Texas</w:t>
      </w:r>
      <w:bookmarkEnd w:id="99"/>
      <w:bookmarkEnd w:id="100"/>
    </w:p>
    <w:p w14:paraId="71F88E06" w14:textId="6D2730FA" w:rsidR="00F861CF" w:rsidRPr="00EF0801" w:rsidRDefault="00F861CF" w:rsidP="00DA79B2">
      <w:pPr>
        <w:pStyle w:val="APDStrong"/>
      </w:pPr>
      <w:r w:rsidRPr="00EF0801">
        <w:t xml:space="preserve">Unit ID </w:t>
      </w:r>
      <w:r w:rsidR="00B42127">
        <w:t>N</w:t>
      </w:r>
      <w:r w:rsidR="00426F66">
        <w:t>o</w:t>
      </w:r>
      <w:r w:rsidRPr="00EF0801">
        <w:t>.</w:t>
      </w:r>
      <w:r w:rsidRPr="004B4CB0">
        <w:rPr>
          <w:bCs/>
        </w:rPr>
        <w:t>:</w:t>
      </w:r>
    </w:p>
    <w:p w14:paraId="676D6946" w14:textId="678A48BD" w:rsidR="00F861CF" w:rsidRPr="00232666" w:rsidRDefault="00F861CF" w:rsidP="00232666">
      <w:pPr>
        <w:pStyle w:val="APDBodyText"/>
      </w:pPr>
      <w:r w:rsidRPr="00232666">
        <w:t xml:space="preserve">Enter the identification number (ID </w:t>
      </w:r>
      <w:r w:rsidR="00B42127">
        <w:t>N</w:t>
      </w:r>
      <w:r w:rsidR="005667BA">
        <w:t>o</w:t>
      </w:r>
      <w:r w:rsidRPr="00232666">
        <w:t>.) for the unit (maximum 10 characters) as listed</w:t>
      </w:r>
      <w:r w:rsidR="00AE143D" w:rsidRPr="00232666">
        <w:t xml:space="preserve"> on Form OP-SUM (Individual</w:t>
      </w:r>
      <w:r w:rsidR="00B239B6" w:rsidRPr="00232666">
        <w:t> </w:t>
      </w:r>
      <w:r w:rsidRPr="00232666">
        <w:t>Unit Summary).</w:t>
      </w:r>
    </w:p>
    <w:p w14:paraId="6B6C8E40" w14:textId="47B90149" w:rsidR="00F861CF" w:rsidRPr="00EF0801" w:rsidRDefault="00F861CF" w:rsidP="00DA79B2">
      <w:pPr>
        <w:pStyle w:val="APDStrong"/>
      </w:pPr>
      <w:r w:rsidRPr="00EF0801">
        <w:t xml:space="preserve">SOP Index </w:t>
      </w:r>
      <w:r w:rsidR="00B42127">
        <w:t>N</w:t>
      </w:r>
      <w:r w:rsidR="00307EAD">
        <w:t>o</w:t>
      </w:r>
      <w:r w:rsidRPr="00EF0801">
        <w:t>.</w:t>
      </w:r>
      <w:r w:rsidRPr="004B4CB0">
        <w:rPr>
          <w:bCs/>
        </w:rPr>
        <w:t>:</w:t>
      </w:r>
    </w:p>
    <w:p w14:paraId="644A3C88" w14:textId="47EF5F56" w:rsidR="00CC2143" w:rsidRDefault="00F861CF" w:rsidP="00232666">
      <w:pPr>
        <w:pStyle w:val="APDBodyText"/>
      </w:pPr>
      <w:r w:rsidRPr="00232666">
        <w:t xml:space="preserve">Site operating permit (SOP) applicants should indicate the SOP index number for the </w:t>
      </w:r>
      <w:r w:rsidR="00AE143D" w:rsidRPr="00232666">
        <w:t>unit or group of units (maximum</w:t>
      </w:r>
      <w:r w:rsidR="00B239B6" w:rsidRPr="00232666">
        <w:t> </w:t>
      </w:r>
      <w:r w:rsidR="00AE143D" w:rsidRPr="00232666">
        <w:t>15</w:t>
      </w:r>
      <w:r w:rsidR="00B239B6" w:rsidRPr="00232666">
        <w:t> </w:t>
      </w:r>
      <w:r w:rsidRPr="00232666">
        <w:t xml:space="preserve">characters consisting of numeric, alphanumeric characters, and/or dashes prefixed by a code for the applicable regulation [i.e., 60KB-XXXX]). </w:t>
      </w:r>
      <w:r w:rsidR="00CC2143" w:rsidRPr="00232666">
        <w:t xml:space="preserve">For additional information relating to SOP index numbers, please see the Completing FOP Applications – Additional Guidance on the TCEQ website at </w:t>
      </w:r>
      <w:hyperlink r:id="rId36" w:tooltip="TCEQ - Completing FOP Applications - Additional Guidance" w:history="1">
        <w:r w:rsidR="00EE6447" w:rsidRPr="00F47022">
          <w:rPr>
            <w:rStyle w:val="Hyperlink"/>
          </w:rPr>
          <w:t>www.tceq.texas.gov/permitting/air/guidance/titlev/tv_fop_guidance.html</w:t>
        </w:r>
      </w:hyperlink>
      <w:r w:rsidR="00CC2143" w:rsidRPr="00EF0801">
        <w:t>.</w:t>
      </w:r>
    </w:p>
    <w:p w14:paraId="383F55F6" w14:textId="664B5554" w:rsidR="00F861CF" w:rsidRPr="00232666" w:rsidRDefault="00F861CF" w:rsidP="00FD7888">
      <w:pPr>
        <w:pStyle w:val="APDContinueTriangle"/>
      </w:pPr>
      <w:r w:rsidRPr="00232666">
        <w:t>Do not continue if “Location” is “</w:t>
      </w:r>
      <w:r w:rsidR="00B42127">
        <w:t>YES</w:t>
      </w:r>
      <w:r w:rsidRPr="00232666">
        <w:t>.”</w:t>
      </w:r>
    </w:p>
    <w:p w14:paraId="70D1815A" w14:textId="2BFBD110" w:rsidR="00F861CF" w:rsidRPr="00EF0801" w:rsidRDefault="00F861CF" w:rsidP="00DA79B2">
      <w:pPr>
        <w:pStyle w:val="APDStrong"/>
      </w:pPr>
      <w:r w:rsidRPr="00EF0801">
        <w:t>NO</w:t>
      </w:r>
      <w:r w:rsidRPr="00EF0801">
        <w:rPr>
          <w:vertAlign w:val="subscript"/>
        </w:rPr>
        <w:t>x</w:t>
      </w:r>
      <w:r w:rsidRPr="00EF0801">
        <w:t xml:space="preserve"> Emission Limitation</w:t>
      </w:r>
      <w:r w:rsidRPr="004B4CB0">
        <w:rPr>
          <w:bCs/>
        </w:rPr>
        <w:t>:</w:t>
      </w:r>
    </w:p>
    <w:p w14:paraId="305C425F" w14:textId="77777777" w:rsidR="00F861CF" w:rsidRDefault="00F861CF" w:rsidP="00247B4B">
      <w:pPr>
        <w:pStyle w:val="APDBodyText"/>
      </w:pPr>
      <w:r w:rsidRPr="00247B4B">
        <w:t>Title 30 TAC Chapter 117 provides two methods to be in compliance with the applicable NOx limitation standards listed in 30 TAC § 117.3010(1). 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7C6146" w14:paraId="2674F2AD" w14:textId="77777777" w:rsidTr="00087A11">
        <w:tc>
          <w:tcPr>
            <w:tcW w:w="1530" w:type="dxa"/>
          </w:tcPr>
          <w:p w14:paraId="31DE8BFC" w14:textId="62C631EA" w:rsidR="007C6146" w:rsidRPr="007C6146" w:rsidRDefault="007C6146" w:rsidP="007C6146">
            <w:pPr>
              <w:rPr>
                <w:b/>
                <w:bCs/>
              </w:rPr>
            </w:pPr>
            <w:r w:rsidRPr="007C6146">
              <w:rPr>
                <w:b/>
                <w:bCs/>
              </w:rPr>
              <w:t>Code</w:t>
            </w:r>
          </w:p>
        </w:tc>
        <w:tc>
          <w:tcPr>
            <w:tcW w:w="8550" w:type="dxa"/>
          </w:tcPr>
          <w:p w14:paraId="41AD0A67" w14:textId="6875DC1C" w:rsidR="007C6146" w:rsidRPr="007C6146" w:rsidRDefault="007C6146" w:rsidP="007C6146">
            <w:pPr>
              <w:rPr>
                <w:b/>
                <w:bCs/>
              </w:rPr>
            </w:pPr>
            <w:r w:rsidRPr="007C6146">
              <w:rPr>
                <w:b/>
                <w:bCs/>
              </w:rPr>
              <w:t>Description</w:t>
            </w:r>
          </w:p>
        </w:tc>
      </w:tr>
      <w:tr w:rsidR="007C6146" w14:paraId="342A67F7" w14:textId="77777777" w:rsidTr="00087A11">
        <w:tc>
          <w:tcPr>
            <w:tcW w:w="1530" w:type="dxa"/>
          </w:tcPr>
          <w:p w14:paraId="6F8EA7D8" w14:textId="0C8A12EA" w:rsidR="007C6146" w:rsidRDefault="007C6146" w:rsidP="007C6146">
            <w:r w:rsidRPr="0039711E">
              <w:t>3010</w:t>
            </w:r>
          </w:p>
        </w:tc>
        <w:tc>
          <w:tcPr>
            <w:tcW w:w="8550" w:type="dxa"/>
          </w:tcPr>
          <w:p w14:paraId="4EC9F0DF" w14:textId="432AA01C" w:rsidR="007C6146" w:rsidRDefault="007C6146" w:rsidP="007C6146">
            <w:r w:rsidRPr="0039711E">
              <w:t>Title 30 TAC § 117.3010(1) [relating to Emission Specifications</w:t>
            </w:r>
            <w:r w:rsidR="006C65E6">
              <w:t>]</w:t>
            </w:r>
          </w:p>
        </w:tc>
      </w:tr>
      <w:tr w:rsidR="007C6146" w14:paraId="56B3F0FB" w14:textId="77777777" w:rsidTr="00087A11">
        <w:tc>
          <w:tcPr>
            <w:tcW w:w="1530" w:type="dxa"/>
          </w:tcPr>
          <w:p w14:paraId="59E3371C" w14:textId="483DFCFA" w:rsidR="007C6146" w:rsidRDefault="007C6146" w:rsidP="007C6146">
            <w:r w:rsidRPr="0039711E">
              <w:t>SC</w:t>
            </w:r>
          </w:p>
        </w:tc>
        <w:tc>
          <w:tcPr>
            <w:tcW w:w="8550" w:type="dxa"/>
          </w:tcPr>
          <w:p w14:paraId="7CC618D7" w14:textId="0D1EE475" w:rsidR="007C6146" w:rsidRDefault="007C6146" w:rsidP="007C6146">
            <w:r w:rsidRPr="0039711E">
              <w:t>Unit is</w:t>
            </w:r>
            <w:r w:rsidRPr="0039711E">
              <w:rPr>
                <w:rFonts w:eastAsia="Calibri"/>
                <w:szCs w:val="20"/>
              </w:rPr>
              <w:t xml:space="preserve"> complying with the System Cap under 30 TAC § 117.3020</w:t>
            </w:r>
          </w:p>
        </w:tc>
      </w:tr>
    </w:tbl>
    <w:p w14:paraId="65A963CF" w14:textId="27AA9732" w:rsidR="00F861CF" w:rsidRPr="00EF0801" w:rsidRDefault="007C6146" w:rsidP="00390EE3">
      <w:pPr>
        <w:pStyle w:val="APDCompleteStar"/>
      </w:pPr>
      <w:r>
        <w:t>C</w:t>
      </w:r>
      <w:r w:rsidR="00F861CF" w:rsidRPr="00EF0801">
        <w:t>omplete “Fuel” only if “NO</w:t>
      </w:r>
      <w:r w:rsidR="00F861CF" w:rsidRPr="00EF0801">
        <w:rPr>
          <w:vertAlign w:val="subscript"/>
        </w:rPr>
        <w:t>x</w:t>
      </w:r>
      <w:r w:rsidR="00F861CF" w:rsidRPr="00EF0801">
        <w:t xml:space="preserve"> Emission Limitation” is “3010.”</w:t>
      </w:r>
    </w:p>
    <w:p w14:paraId="2E66DDAF" w14:textId="77777777" w:rsidR="00F861CF" w:rsidRPr="00EF0801" w:rsidRDefault="00F861CF" w:rsidP="00DA79B2">
      <w:pPr>
        <w:pStyle w:val="APDStrong"/>
      </w:pPr>
      <w:r w:rsidRPr="00EF0801">
        <w:t>Fuel:</w:t>
      </w:r>
    </w:p>
    <w:p w14:paraId="3B53421D" w14:textId="77777777" w:rsidR="00F861CF" w:rsidRDefault="00F861CF" w:rsidP="00247B4B">
      <w:pPr>
        <w:pStyle w:val="APDBodyText"/>
      </w:pPr>
      <w:r w:rsidRPr="00247B4B">
        <w:t>Select one of the following options that describes the fuel fired in the unit.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D517F9" w14:paraId="2EE50217" w14:textId="77777777" w:rsidTr="00904C68">
        <w:trPr>
          <w:cantSplit/>
          <w:tblHeader/>
        </w:trPr>
        <w:tc>
          <w:tcPr>
            <w:tcW w:w="1530" w:type="dxa"/>
          </w:tcPr>
          <w:p w14:paraId="0D5D5571" w14:textId="32270FCB" w:rsidR="00D517F9" w:rsidRPr="00D517F9" w:rsidRDefault="00D517F9" w:rsidP="00D517F9">
            <w:pPr>
              <w:rPr>
                <w:b/>
                <w:bCs/>
              </w:rPr>
            </w:pPr>
            <w:r w:rsidRPr="00D517F9">
              <w:rPr>
                <w:b/>
                <w:bCs/>
              </w:rPr>
              <w:t>Code</w:t>
            </w:r>
          </w:p>
        </w:tc>
        <w:tc>
          <w:tcPr>
            <w:tcW w:w="8550" w:type="dxa"/>
          </w:tcPr>
          <w:p w14:paraId="50A39702" w14:textId="1F95AE2C" w:rsidR="00D517F9" w:rsidRPr="00D517F9" w:rsidRDefault="00D517F9" w:rsidP="00D517F9">
            <w:pPr>
              <w:rPr>
                <w:b/>
                <w:bCs/>
              </w:rPr>
            </w:pPr>
            <w:r w:rsidRPr="00D517F9">
              <w:rPr>
                <w:b/>
                <w:bCs/>
              </w:rPr>
              <w:t>Description</w:t>
            </w:r>
          </w:p>
        </w:tc>
      </w:tr>
      <w:tr w:rsidR="00D517F9" w14:paraId="5778BCDA" w14:textId="77777777" w:rsidTr="00904C68">
        <w:trPr>
          <w:cantSplit/>
          <w:tblHeader/>
        </w:trPr>
        <w:tc>
          <w:tcPr>
            <w:tcW w:w="1530" w:type="dxa"/>
          </w:tcPr>
          <w:p w14:paraId="228E0872" w14:textId="4C479624" w:rsidR="00D517F9" w:rsidRDefault="00D517F9" w:rsidP="00D517F9">
            <w:r w:rsidRPr="00593C0B">
              <w:t>COAL</w:t>
            </w:r>
          </w:p>
        </w:tc>
        <w:tc>
          <w:tcPr>
            <w:tcW w:w="8550" w:type="dxa"/>
          </w:tcPr>
          <w:p w14:paraId="3DE6B9F5" w14:textId="7157B9D8" w:rsidR="00D517F9" w:rsidRDefault="00D517F9" w:rsidP="00D517F9">
            <w:r w:rsidRPr="00593C0B">
              <w:t>The unit is a coal fired electric power boiler</w:t>
            </w:r>
          </w:p>
        </w:tc>
      </w:tr>
      <w:tr w:rsidR="00D517F9" w14:paraId="0B5C407E" w14:textId="77777777" w:rsidTr="00904C68">
        <w:trPr>
          <w:cantSplit/>
          <w:tblHeader/>
        </w:trPr>
        <w:tc>
          <w:tcPr>
            <w:tcW w:w="1530" w:type="dxa"/>
          </w:tcPr>
          <w:p w14:paraId="4DF1D0A9" w14:textId="4D817A58" w:rsidR="00D517F9" w:rsidRDefault="00D517F9" w:rsidP="00D517F9">
            <w:r w:rsidRPr="00593C0B">
              <w:t>GAS</w:t>
            </w:r>
          </w:p>
        </w:tc>
        <w:tc>
          <w:tcPr>
            <w:tcW w:w="8550" w:type="dxa"/>
          </w:tcPr>
          <w:p w14:paraId="50DEB896" w14:textId="7B3F6AF1" w:rsidR="00D517F9" w:rsidRDefault="00D517F9" w:rsidP="00D517F9">
            <w:r w:rsidRPr="00593C0B">
              <w:t>The unit is a gas fired electric power boiler</w:t>
            </w:r>
          </w:p>
        </w:tc>
      </w:tr>
    </w:tbl>
    <w:p w14:paraId="354A1CB8" w14:textId="77777777" w:rsidR="00F861CF" w:rsidRPr="00EF0801" w:rsidRDefault="00F861CF" w:rsidP="00D517F9">
      <w:pPr>
        <w:pStyle w:val="APDStrong"/>
        <w:spacing w:before="120"/>
      </w:pPr>
      <w:r w:rsidRPr="00EF0801">
        <w:t>NO</w:t>
      </w:r>
      <w:r w:rsidRPr="00EF0801">
        <w:rPr>
          <w:vertAlign w:val="subscript"/>
        </w:rPr>
        <w:t>x</w:t>
      </w:r>
      <w:r w:rsidRPr="00EF0801">
        <w:t xml:space="preserve"> Monitoring</w:t>
      </w:r>
      <w:r w:rsidRPr="004B4CB0">
        <w:rPr>
          <w:bCs/>
        </w:rPr>
        <w:t>:</w:t>
      </w:r>
    </w:p>
    <w:p w14:paraId="773C9EF9" w14:textId="77777777" w:rsidR="00F861CF" w:rsidRDefault="00F861CF" w:rsidP="00247B4B">
      <w:pPr>
        <w:pStyle w:val="APDBodyText"/>
      </w:pPr>
      <w:r w:rsidRPr="00247B4B">
        <w:t>Select one of the following options that describes the NOx monitoring used.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FD0A8A" w14:paraId="157FA0D5" w14:textId="77777777" w:rsidTr="00904C68">
        <w:trPr>
          <w:cantSplit/>
          <w:tblHeader/>
        </w:trPr>
        <w:tc>
          <w:tcPr>
            <w:tcW w:w="1530" w:type="dxa"/>
          </w:tcPr>
          <w:p w14:paraId="2733702A" w14:textId="07539EDC" w:rsidR="00FD0A8A" w:rsidRPr="00FD0A8A" w:rsidRDefault="00FD0A8A" w:rsidP="00FD0A8A">
            <w:pPr>
              <w:rPr>
                <w:b/>
                <w:bCs/>
              </w:rPr>
            </w:pPr>
            <w:r w:rsidRPr="00FD0A8A">
              <w:rPr>
                <w:b/>
                <w:bCs/>
              </w:rPr>
              <w:t>Code</w:t>
            </w:r>
          </w:p>
        </w:tc>
        <w:tc>
          <w:tcPr>
            <w:tcW w:w="8550" w:type="dxa"/>
          </w:tcPr>
          <w:p w14:paraId="7B62B9D2" w14:textId="2E021A17" w:rsidR="00FD0A8A" w:rsidRPr="00FD0A8A" w:rsidRDefault="00FD0A8A" w:rsidP="00FD0A8A">
            <w:pPr>
              <w:rPr>
                <w:b/>
                <w:bCs/>
              </w:rPr>
            </w:pPr>
            <w:r w:rsidRPr="00FD0A8A">
              <w:rPr>
                <w:b/>
                <w:bCs/>
              </w:rPr>
              <w:t>Description</w:t>
            </w:r>
          </w:p>
        </w:tc>
      </w:tr>
      <w:tr w:rsidR="00FD0A8A" w14:paraId="173BF094" w14:textId="77777777" w:rsidTr="00904C68">
        <w:trPr>
          <w:cantSplit/>
          <w:tblHeader/>
        </w:trPr>
        <w:tc>
          <w:tcPr>
            <w:tcW w:w="1530" w:type="dxa"/>
          </w:tcPr>
          <w:p w14:paraId="5C49C273" w14:textId="21AFB8BA" w:rsidR="00FD0A8A" w:rsidRDefault="00FD0A8A" w:rsidP="00FD0A8A">
            <w:r w:rsidRPr="00F85BDA">
              <w:t>CEMS</w:t>
            </w:r>
          </w:p>
        </w:tc>
        <w:tc>
          <w:tcPr>
            <w:tcW w:w="8550" w:type="dxa"/>
          </w:tcPr>
          <w:p w14:paraId="14B5A307" w14:textId="6D4E7F46" w:rsidR="00FD0A8A" w:rsidRDefault="00FD0A8A" w:rsidP="00FD0A8A">
            <w:r w:rsidRPr="00F85BDA">
              <w:t>A continuous emissions monitoring system is used to monitor NO</w:t>
            </w:r>
            <w:r w:rsidRPr="00F85BDA">
              <w:rPr>
                <w:vertAlign w:val="subscript"/>
              </w:rPr>
              <w:t>x</w:t>
            </w:r>
            <w:r w:rsidRPr="00F85BDA">
              <w:t xml:space="preserve"> emissions</w:t>
            </w:r>
          </w:p>
        </w:tc>
      </w:tr>
      <w:tr w:rsidR="00FD0A8A" w14:paraId="5CD10555" w14:textId="77777777" w:rsidTr="00904C68">
        <w:trPr>
          <w:cantSplit/>
          <w:tblHeader/>
        </w:trPr>
        <w:tc>
          <w:tcPr>
            <w:tcW w:w="1530" w:type="dxa"/>
          </w:tcPr>
          <w:p w14:paraId="7189179C" w14:textId="77759A1C" w:rsidR="00FD0A8A" w:rsidRDefault="00FD0A8A" w:rsidP="00FD0A8A">
            <w:r w:rsidRPr="00F85BDA">
              <w:t>PEMS</w:t>
            </w:r>
          </w:p>
        </w:tc>
        <w:tc>
          <w:tcPr>
            <w:tcW w:w="8550" w:type="dxa"/>
          </w:tcPr>
          <w:p w14:paraId="335B9E34" w14:textId="75A623C6" w:rsidR="00FD0A8A" w:rsidRDefault="00FD0A8A" w:rsidP="00FD0A8A">
            <w:r w:rsidRPr="00F85BDA">
              <w:t>A parametric emissions monitoring system is used to monitor NO</w:t>
            </w:r>
            <w:r w:rsidRPr="00F85BDA">
              <w:rPr>
                <w:vertAlign w:val="subscript"/>
              </w:rPr>
              <w:t>x</w:t>
            </w:r>
            <w:r w:rsidRPr="00F85BDA">
              <w:t xml:space="preserve"> emissions</w:t>
            </w:r>
          </w:p>
        </w:tc>
      </w:tr>
    </w:tbl>
    <w:p w14:paraId="38F1BD38" w14:textId="77777777" w:rsidR="00F861CF" w:rsidRPr="00EF0801" w:rsidRDefault="00F861CF" w:rsidP="00FD0A8A">
      <w:pPr>
        <w:pStyle w:val="APDStrong"/>
        <w:spacing w:before="120"/>
      </w:pPr>
      <w:r w:rsidRPr="00EF0801">
        <w:t>Maximum Emission Rate</w:t>
      </w:r>
      <w:r w:rsidRPr="004B4CB0">
        <w:rPr>
          <w:bCs/>
        </w:rPr>
        <w:t>:</w:t>
      </w:r>
    </w:p>
    <w:p w14:paraId="2CF4D174" w14:textId="7BFF1387" w:rsidR="00F861CF" w:rsidRPr="00247B4B" w:rsidRDefault="00F861CF" w:rsidP="00247B4B">
      <w:pPr>
        <w:pStyle w:val="APDBodyText"/>
      </w:pPr>
      <w:r w:rsidRPr="00247B4B">
        <w:t>Enter “</w:t>
      </w:r>
      <w:r w:rsidR="00B42127">
        <w:t>YES</w:t>
      </w:r>
      <w:r w:rsidRPr="00247B4B">
        <w:t>” if the owner or operator is using the maximum emission rate measured by the testing conducted in § 117.3035(d) to provide substitute emissions compliance when the NOx monitor is off-line. Otherwise, enter “</w:t>
      </w:r>
      <w:r w:rsidR="00B42127">
        <w:t>NO</w:t>
      </w:r>
      <w:r w:rsidRPr="00247B4B">
        <w:t>.”</w:t>
      </w:r>
    </w:p>
    <w:p w14:paraId="47142D40" w14:textId="77777777" w:rsidR="00F861CF" w:rsidRPr="00EF0801" w:rsidRDefault="00F861CF" w:rsidP="00DA79B2">
      <w:pPr>
        <w:pStyle w:val="APDStrong"/>
      </w:pPr>
      <w:r w:rsidRPr="00EF0801">
        <w:t>Ammonia Use</w:t>
      </w:r>
      <w:r w:rsidRPr="004B4CB0">
        <w:rPr>
          <w:bCs/>
        </w:rPr>
        <w:t>:</w:t>
      </w:r>
    </w:p>
    <w:p w14:paraId="6C18CF7B" w14:textId="3B7A3C31" w:rsidR="00F861CF" w:rsidRPr="00247B4B" w:rsidRDefault="00F861CF" w:rsidP="00247B4B">
      <w:pPr>
        <w:pStyle w:val="APDBodyText"/>
      </w:pPr>
      <w:r w:rsidRPr="00247B4B">
        <w:t>Enter “</w:t>
      </w:r>
      <w:r w:rsidR="00B42127">
        <w:t>YES</w:t>
      </w:r>
      <w:r w:rsidRPr="00247B4B">
        <w:t>” if urea or ammonia injection is used to control NOx emissions. Otherwise, enter “</w:t>
      </w:r>
      <w:r w:rsidR="00B42127">
        <w:t>NO</w:t>
      </w:r>
      <w:r w:rsidRPr="00247B4B">
        <w:t>.”</w:t>
      </w:r>
    </w:p>
    <w:p w14:paraId="0EDC9CB8" w14:textId="38BCF861" w:rsidR="00F861CF" w:rsidRPr="00EF0801" w:rsidRDefault="00F861CF" w:rsidP="00FD7888">
      <w:pPr>
        <w:pStyle w:val="APDContinueTriangle"/>
      </w:pPr>
      <w:r w:rsidRPr="00EF0801">
        <w:t>Continue only if “Ammonia Use” is “</w:t>
      </w:r>
      <w:r w:rsidR="00B42127">
        <w:t>YES</w:t>
      </w:r>
      <w:r w:rsidRPr="00EF0801">
        <w:t>.”</w:t>
      </w:r>
    </w:p>
    <w:p w14:paraId="2EE9691A" w14:textId="77777777" w:rsidR="00C5340E" w:rsidRDefault="00C5340E" w:rsidP="00DA79B2">
      <w:pPr>
        <w:pStyle w:val="APDStrong"/>
        <w:sectPr w:rsidR="00C5340E" w:rsidSect="0031268E">
          <w:pgSz w:w="12240" w:h="15840" w:code="1"/>
          <w:pgMar w:top="720" w:right="720" w:bottom="720" w:left="720" w:header="720" w:footer="720" w:gutter="0"/>
          <w:cols w:space="720"/>
          <w:titlePg/>
          <w:docGrid w:linePitch="360"/>
        </w:sectPr>
      </w:pPr>
    </w:p>
    <w:p w14:paraId="4074FC36" w14:textId="77777777" w:rsidR="00F861CF" w:rsidRPr="00EF0801" w:rsidRDefault="00F861CF" w:rsidP="00DA79B2">
      <w:pPr>
        <w:pStyle w:val="APDStrong"/>
      </w:pPr>
      <w:r w:rsidRPr="00EF0801">
        <w:lastRenderedPageBreak/>
        <w:t>NH</w:t>
      </w:r>
      <w:r w:rsidRPr="00EF0801">
        <w:rPr>
          <w:vertAlign w:val="subscript"/>
        </w:rPr>
        <w:t>3</w:t>
      </w:r>
      <w:r w:rsidRPr="00EF0801">
        <w:t xml:space="preserve"> Emission Limitation</w:t>
      </w:r>
      <w:r w:rsidRPr="004B4CB0">
        <w:rPr>
          <w:bCs/>
        </w:rPr>
        <w:t>:</w:t>
      </w:r>
    </w:p>
    <w:p w14:paraId="62FC7463" w14:textId="77777777" w:rsidR="00F861CF" w:rsidRDefault="00F861CF" w:rsidP="00247B4B">
      <w:pPr>
        <w:pStyle w:val="APDBodyText"/>
      </w:pPr>
      <w:r w:rsidRPr="00247B4B">
        <w:t>Title 30 TAC Chapter 117 provides two methods to be in compliance with the applicable NH3 limitation standards listed in 30 TAC Chapter 117, Subchapter E. 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E602DA" w14:paraId="0281D224" w14:textId="77777777" w:rsidTr="00E602DA">
        <w:trPr>
          <w:cantSplit/>
          <w:tblHeader/>
        </w:trPr>
        <w:tc>
          <w:tcPr>
            <w:tcW w:w="1530" w:type="dxa"/>
          </w:tcPr>
          <w:p w14:paraId="558C8A4F" w14:textId="665C1077" w:rsidR="00E602DA" w:rsidRPr="00E602DA" w:rsidRDefault="00E602DA" w:rsidP="00E602DA">
            <w:pPr>
              <w:rPr>
                <w:b/>
                <w:bCs/>
              </w:rPr>
            </w:pPr>
            <w:r w:rsidRPr="00E602DA">
              <w:rPr>
                <w:b/>
                <w:bCs/>
              </w:rPr>
              <w:t>Code</w:t>
            </w:r>
          </w:p>
        </w:tc>
        <w:tc>
          <w:tcPr>
            <w:tcW w:w="8550" w:type="dxa"/>
          </w:tcPr>
          <w:p w14:paraId="0BA2E041" w14:textId="74F09F36" w:rsidR="00E602DA" w:rsidRPr="00E602DA" w:rsidRDefault="00E602DA" w:rsidP="00E602DA">
            <w:pPr>
              <w:rPr>
                <w:b/>
                <w:bCs/>
              </w:rPr>
            </w:pPr>
            <w:r w:rsidRPr="00E602DA">
              <w:rPr>
                <w:b/>
                <w:bCs/>
              </w:rPr>
              <w:t>Description</w:t>
            </w:r>
          </w:p>
        </w:tc>
      </w:tr>
      <w:tr w:rsidR="00E602DA" w14:paraId="6631C2E4" w14:textId="77777777" w:rsidTr="00E602DA">
        <w:trPr>
          <w:cantSplit/>
          <w:tblHeader/>
        </w:trPr>
        <w:tc>
          <w:tcPr>
            <w:tcW w:w="1530" w:type="dxa"/>
          </w:tcPr>
          <w:p w14:paraId="49676F37" w14:textId="4E18CFBB" w:rsidR="00E602DA" w:rsidRDefault="00E602DA" w:rsidP="00E602DA">
            <w:r w:rsidRPr="00127AFE">
              <w:t>3010</w:t>
            </w:r>
          </w:p>
        </w:tc>
        <w:tc>
          <w:tcPr>
            <w:tcW w:w="8550" w:type="dxa"/>
          </w:tcPr>
          <w:p w14:paraId="20227D68" w14:textId="28E60F2E" w:rsidR="00E602DA" w:rsidRDefault="00E602DA" w:rsidP="00E602DA">
            <w:r w:rsidRPr="00127AFE">
              <w:t>Title 30 TAC § 117.3010(2) [relating to Emission Specifications]</w:t>
            </w:r>
          </w:p>
        </w:tc>
      </w:tr>
      <w:tr w:rsidR="00E602DA" w14:paraId="08FCD3E8" w14:textId="77777777" w:rsidTr="00E602DA">
        <w:trPr>
          <w:cantSplit/>
          <w:tblHeader/>
        </w:trPr>
        <w:tc>
          <w:tcPr>
            <w:tcW w:w="1530" w:type="dxa"/>
          </w:tcPr>
          <w:p w14:paraId="1E0E82F1" w14:textId="1CE10DD0" w:rsidR="00E602DA" w:rsidRDefault="00E602DA" w:rsidP="00E602DA">
            <w:r w:rsidRPr="00127AFE">
              <w:t>ACSS</w:t>
            </w:r>
          </w:p>
        </w:tc>
        <w:tc>
          <w:tcPr>
            <w:tcW w:w="8550" w:type="dxa"/>
          </w:tcPr>
          <w:p w14:paraId="2DC2106C" w14:textId="00DB9D96" w:rsidR="00E602DA" w:rsidRDefault="00E602DA" w:rsidP="00E602DA">
            <w:r w:rsidRPr="00127AFE">
              <w:t>Unit is complying with an Alternative Case Specific Specification under 30 TAC § 117.3025</w:t>
            </w:r>
          </w:p>
        </w:tc>
      </w:tr>
    </w:tbl>
    <w:p w14:paraId="460B0292" w14:textId="69BB327C" w:rsidR="00F861CF" w:rsidRPr="00EF0801" w:rsidRDefault="00F861CF" w:rsidP="00CC6312">
      <w:pPr>
        <w:pStyle w:val="APDStrong"/>
        <w:spacing w:before="120"/>
      </w:pPr>
      <w:r w:rsidRPr="00EF0801">
        <w:t>Ammonia Monitoring</w:t>
      </w:r>
      <w:r w:rsidRPr="004B4CB0">
        <w:rPr>
          <w:bCs/>
        </w:rPr>
        <w:t>:</w:t>
      </w:r>
    </w:p>
    <w:p w14:paraId="2F6E66A5" w14:textId="77777777" w:rsidR="00F861CF" w:rsidRDefault="00F861CF" w:rsidP="00247B4B">
      <w:pPr>
        <w:pStyle w:val="APDBodyText"/>
      </w:pPr>
      <w:r w:rsidRPr="00247B4B">
        <w:t>Select one of the following options that describes the ammonia monitoring used.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CC6312" w14:paraId="7CCAD124" w14:textId="77777777" w:rsidTr="00DA3A32">
        <w:tc>
          <w:tcPr>
            <w:tcW w:w="1530" w:type="dxa"/>
          </w:tcPr>
          <w:p w14:paraId="28028228" w14:textId="4E69F590" w:rsidR="00CC6312" w:rsidRPr="00CC6312" w:rsidRDefault="00CC6312" w:rsidP="00CC6312">
            <w:pPr>
              <w:rPr>
                <w:b/>
                <w:bCs/>
              </w:rPr>
            </w:pPr>
            <w:r w:rsidRPr="00CC6312">
              <w:rPr>
                <w:b/>
                <w:bCs/>
              </w:rPr>
              <w:t>Code</w:t>
            </w:r>
          </w:p>
        </w:tc>
        <w:tc>
          <w:tcPr>
            <w:tcW w:w="8550" w:type="dxa"/>
          </w:tcPr>
          <w:p w14:paraId="034803EA" w14:textId="51FE7944" w:rsidR="00CC6312" w:rsidRPr="00CC6312" w:rsidRDefault="00CC6312" w:rsidP="00CC6312">
            <w:pPr>
              <w:rPr>
                <w:b/>
                <w:bCs/>
              </w:rPr>
            </w:pPr>
            <w:r w:rsidRPr="00CC6312">
              <w:rPr>
                <w:b/>
                <w:bCs/>
              </w:rPr>
              <w:t>Description</w:t>
            </w:r>
          </w:p>
        </w:tc>
      </w:tr>
      <w:tr w:rsidR="00CC6312" w14:paraId="35228135" w14:textId="77777777" w:rsidTr="00DA3A32">
        <w:tc>
          <w:tcPr>
            <w:tcW w:w="1530" w:type="dxa"/>
          </w:tcPr>
          <w:p w14:paraId="0BC64792" w14:textId="2A7F0B62" w:rsidR="00CC6312" w:rsidRDefault="00CC6312" w:rsidP="00CC6312">
            <w:r w:rsidRPr="00F618EF">
              <w:t>CEMS</w:t>
            </w:r>
          </w:p>
        </w:tc>
        <w:tc>
          <w:tcPr>
            <w:tcW w:w="8550" w:type="dxa"/>
          </w:tcPr>
          <w:p w14:paraId="50B46F66" w14:textId="66E474BB" w:rsidR="00CC6312" w:rsidRDefault="00CC6312" w:rsidP="00CC6312">
            <w:r w:rsidRPr="00F618EF">
              <w:t>A continuous emissions monitoring system is used to monitor ammonia emissions</w:t>
            </w:r>
          </w:p>
        </w:tc>
      </w:tr>
      <w:tr w:rsidR="00CC6312" w14:paraId="539DCC86" w14:textId="77777777" w:rsidTr="00DA3A32">
        <w:tc>
          <w:tcPr>
            <w:tcW w:w="1530" w:type="dxa"/>
          </w:tcPr>
          <w:p w14:paraId="3F445941" w14:textId="655F2ABC" w:rsidR="00CC6312" w:rsidRDefault="00CC6312" w:rsidP="00CC6312">
            <w:r w:rsidRPr="00F618EF">
              <w:t>PEMS</w:t>
            </w:r>
          </w:p>
        </w:tc>
        <w:tc>
          <w:tcPr>
            <w:tcW w:w="8550" w:type="dxa"/>
          </w:tcPr>
          <w:p w14:paraId="3C20DBD2" w14:textId="0EF7515B" w:rsidR="00CC6312" w:rsidRDefault="00CC6312" w:rsidP="00CC6312">
            <w:r w:rsidRPr="00F618EF">
              <w:t>A parametric emissions monitoring system is used to monitor ammonia emissions</w:t>
            </w:r>
          </w:p>
        </w:tc>
      </w:tr>
      <w:tr w:rsidR="00CC6312" w14:paraId="25B6BFB1" w14:textId="77777777" w:rsidTr="00DA3A32">
        <w:tc>
          <w:tcPr>
            <w:tcW w:w="1530" w:type="dxa"/>
          </w:tcPr>
          <w:p w14:paraId="07C3B057" w14:textId="40F8C87B" w:rsidR="00CC6312" w:rsidRDefault="00CC6312" w:rsidP="00CC6312">
            <w:r w:rsidRPr="00F618EF">
              <w:t>OTHER</w:t>
            </w:r>
          </w:p>
        </w:tc>
        <w:tc>
          <w:tcPr>
            <w:tcW w:w="8550" w:type="dxa"/>
          </w:tcPr>
          <w:p w14:paraId="7950A429" w14:textId="232FE7E8" w:rsidR="00CC6312" w:rsidRDefault="00CC6312" w:rsidP="00CC6312">
            <w:r w:rsidRPr="00F618EF">
              <w:t>A monitoring system other than a CEMS or PEMS is used to monitor ammonia emissions</w:t>
            </w:r>
          </w:p>
        </w:tc>
      </w:tr>
    </w:tbl>
    <w:p w14:paraId="03709A37" w14:textId="77777777" w:rsidR="00F861CF" w:rsidRPr="00EF0801" w:rsidRDefault="00F861CF" w:rsidP="00F861CF">
      <w:pPr>
        <w:pBdr>
          <w:bottom w:val="double" w:sz="6" w:space="1" w:color="auto"/>
        </w:pBdr>
      </w:pPr>
    </w:p>
    <w:bookmarkStart w:id="101" w:name="Table_10a"/>
    <w:p w14:paraId="44B2E08B" w14:textId="583D23C8" w:rsidR="00F861CF" w:rsidRPr="00AD148F" w:rsidRDefault="007F01F9" w:rsidP="002C7C54">
      <w:pPr>
        <w:pStyle w:val="APDChapterTitles"/>
        <w:rPr>
          <w:rStyle w:val="APDTableChapterChar"/>
          <w:rFonts w:eastAsia="Calibri"/>
        </w:rPr>
      </w:pPr>
      <w:r w:rsidRPr="00BB2879">
        <w:rPr>
          <w:rStyle w:val="Hyperlink"/>
          <w:rFonts w:eastAsia="Calibri"/>
          <w:b/>
          <w:bCs w:val="0"/>
        </w:rPr>
        <w:fldChar w:fldCharType="begin"/>
      </w:r>
      <w:r w:rsidR="00AB6ED7" w:rsidRPr="00BB2879">
        <w:rPr>
          <w:rStyle w:val="Hyperlink"/>
          <w:rFonts w:eastAsia="Calibri"/>
          <w:b/>
          <w:bCs w:val="0"/>
        </w:rPr>
        <w:instrText>HYPERLINK  \l "TBL_10a" \o "Table 10a"</w:instrText>
      </w:r>
      <w:r w:rsidRPr="00BB2879">
        <w:rPr>
          <w:rStyle w:val="Hyperlink"/>
          <w:rFonts w:eastAsia="Calibri"/>
          <w:b/>
          <w:bCs w:val="0"/>
        </w:rPr>
      </w:r>
      <w:r w:rsidRPr="00BB2879">
        <w:rPr>
          <w:rStyle w:val="Hyperlink"/>
          <w:rFonts w:eastAsia="Calibri"/>
          <w:b/>
          <w:bCs w:val="0"/>
        </w:rPr>
        <w:fldChar w:fldCharType="separate"/>
      </w:r>
      <w:bookmarkStart w:id="102" w:name="_Toc180398511"/>
      <w:bookmarkStart w:id="103" w:name="_Toc180398565"/>
      <w:r w:rsidR="00F861CF" w:rsidRPr="00BB2879">
        <w:rPr>
          <w:rStyle w:val="Hyperlink"/>
          <w:rFonts w:eastAsia="Calibri"/>
          <w:b/>
          <w:bCs w:val="0"/>
        </w:rPr>
        <w:t>Table 10a</w:t>
      </w:r>
      <w:r w:rsidRPr="00BB2879">
        <w:rPr>
          <w:rStyle w:val="Hyperlink"/>
          <w:rFonts w:eastAsia="Calibri"/>
          <w:b/>
          <w:bCs w:val="0"/>
        </w:rPr>
        <w:fldChar w:fldCharType="end"/>
      </w:r>
      <w:bookmarkEnd w:id="101"/>
      <w:r w:rsidR="00F861CF" w:rsidRPr="00BB2879">
        <w:rPr>
          <w:rStyle w:val="Hyperlink"/>
          <w:rFonts w:eastAsia="Calibri"/>
          <w:b/>
          <w:bCs w:val="0"/>
        </w:rPr>
        <w:t>:</w:t>
      </w:r>
      <w:r w:rsidR="00F861CF" w:rsidRPr="00EF0801">
        <w:rPr>
          <w:rFonts w:eastAsia="Calibri"/>
          <w:szCs w:val="20"/>
        </w:rPr>
        <w:tab/>
      </w:r>
      <w:r w:rsidR="00F861CF" w:rsidRPr="00270709">
        <w:rPr>
          <w:rStyle w:val="APDTableChapterChar"/>
          <w:rFonts w:eastAsia="Calibri"/>
          <w:b/>
        </w:rPr>
        <w:t>Title 40 Code of Federal Regulations Part 63 (40 CFR Part 63)</w:t>
      </w:r>
      <w:r w:rsidR="0098649D" w:rsidRPr="00270709">
        <w:rPr>
          <w:rStyle w:val="APDTableChapterChar"/>
          <w:rFonts w:eastAsia="Calibri"/>
          <w:b/>
        </w:rPr>
        <w:t xml:space="preserve">, </w:t>
      </w:r>
      <w:r w:rsidR="00F861CF" w:rsidRPr="00270709">
        <w:rPr>
          <w:rStyle w:val="APDTableChapterChar"/>
          <w:rFonts w:eastAsia="Calibri"/>
          <w:b/>
        </w:rPr>
        <w:t>Subpart EEE: Hazardous Waste Combustors</w:t>
      </w:r>
      <w:bookmarkEnd w:id="102"/>
      <w:bookmarkEnd w:id="103"/>
    </w:p>
    <w:p w14:paraId="1D5D1395" w14:textId="6F93234D" w:rsidR="00F861CF" w:rsidRPr="00EF0801" w:rsidRDefault="00F861CF" w:rsidP="00390EE3">
      <w:pPr>
        <w:pStyle w:val="APDCompleteStar"/>
      </w:pPr>
      <w:r w:rsidRPr="00EF0801">
        <w:t>Complete this table for solid or liquid fueled boilers that burn hazardous waste, and are located at an area source or a major source, and do not meet the criteria in Table 1 of § 63.1200(b)</w:t>
      </w:r>
    </w:p>
    <w:p w14:paraId="16C501DD" w14:textId="69B64F72" w:rsidR="00F861CF" w:rsidRPr="00EF0801" w:rsidRDefault="00F861CF" w:rsidP="00DA79B2">
      <w:pPr>
        <w:pStyle w:val="APDStrong"/>
      </w:pPr>
      <w:r w:rsidRPr="00EF0801">
        <w:t xml:space="preserve">Unit ID </w:t>
      </w:r>
      <w:r w:rsidR="00B42127">
        <w:t>N</w:t>
      </w:r>
      <w:r w:rsidR="00D66049">
        <w:t>o</w:t>
      </w:r>
      <w:r w:rsidRPr="00EF0801">
        <w:t>.</w:t>
      </w:r>
      <w:r w:rsidRPr="00E56C74">
        <w:rPr>
          <w:bCs/>
        </w:rPr>
        <w:t>:</w:t>
      </w:r>
    </w:p>
    <w:p w14:paraId="1EE540BF" w14:textId="335FA141" w:rsidR="00F861CF" w:rsidRPr="009F6BC8" w:rsidRDefault="00F861CF" w:rsidP="009F6BC8">
      <w:pPr>
        <w:pStyle w:val="APDBodyText"/>
      </w:pPr>
      <w:r w:rsidRPr="009F6BC8">
        <w:t xml:space="preserve">Enter the identification number (ID </w:t>
      </w:r>
      <w:r w:rsidR="00B42127">
        <w:t>N</w:t>
      </w:r>
      <w:r w:rsidR="005667BA">
        <w:t>o</w:t>
      </w:r>
      <w:r w:rsidRPr="009F6BC8">
        <w:t>.) for the unit (maximum 10 characters) as li</w:t>
      </w:r>
      <w:r w:rsidR="00AE143D" w:rsidRPr="009F6BC8">
        <w:t>sted on Form OP-SUM (Individual</w:t>
      </w:r>
      <w:r w:rsidR="00B239B6" w:rsidRPr="009F6BC8">
        <w:t> </w:t>
      </w:r>
      <w:r w:rsidRPr="009F6BC8">
        <w:t>Unit Summary).</w:t>
      </w:r>
    </w:p>
    <w:p w14:paraId="5BF1A179" w14:textId="71011C9C" w:rsidR="00F861CF" w:rsidRPr="00EF0801" w:rsidRDefault="00F861CF" w:rsidP="00DA79B2">
      <w:pPr>
        <w:pStyle w:val="APDStrong"/>
      </w:pPr>
      <w:r w:rsidRPr="00EF0801">
        <w:t xml:space="preserve">SOP Index </w:t>
      </w:r>
      <w:r w:rsidR="00B42127">
        <w:t>N</w:t>
      </w:r>
      <w:r w:rsidR="00D66049">
        <w:t>o</w:t>
      </w:r>
      <w:r w:rsidRPr="00EF0801">
        <w:t>.</w:t>
      </w:r>
      <w:r w:rsidRPr="00E56C74">
        <w:rPr>
          <w:bCs/>
        </w:rPr>
        <w:t>:</w:t>
      </w:r>
    </w:p>
    <w:p w14:paraId="5FCC80BD" w14:textId="7661CB3E" w:rsidR="00F861CF" w:rsidRPr="00EF0801" w:rsidRDefault="00F861CF" w:rsidP="009F6BC8">
      <w:pPr>
        <w:pStyle w:val="APDBodyText"/>
      </w:pPr>
      <w:r w:rsidRPr="009F6BC8">
        <w:t>Site operating permit (SOP) applicants should indicate the SOP index number</w:t>
      </w:r>
      <w:r w:rsidR="00AE143D" w:rsidRPr="009F6BC8">
        <w:t xml:space="preserve"> for the unit or group of units (maximum</w:t>
      </w:r>
      <w:r w:rsidR="00B239B6" w:rsidRPr="009F6BC8">
        <w:t> </w:t>
      </w:r>
      <w:r w:rsidR="00AE143D" w:rsidRPr="009F6BC8">
        <w:t>15</w:t>
      </w:r>
      <w:r w:rsidR="00B239B6" w:rsidRPr="009F6BC8">
        <w:t> </w:t>
      </w:r>
      <w:r w:rsidRPr="009F6BC8">
        <w:t xml:space="preserve">characters consisting of numeric, alphanumeric characters, and/or dashes prefixed by a code for the applicable regulation [i.e., 60KB-XXXX]). </w:t>
      </w:r>
      <w:r w:rsidR="00CC2143" w:rsidRPr="009F6BC8">
        <w:t>For additional information relating to SOP</w:t>
      </w:r>
      <w:r w:rsidR="00F0293E" w:rsidRPr="009F6BC8">
        <w:t xml:space="preserve"> </w:t>
      </w:r>
      <w:r w:rsidR="00CC2143" w:rsidRPr="009F6BC8">
        <w:t>index numbers, please see the Completing FOP Applications – Additional Guidance on the TCEQ website at</w:t>
      </w:r>
      <w:r w:rsidR="00CC2143" w:rsidRPr="00EF0801">
        <w:t xml:space="preserve"> </w:t>
      </w:r>
      <w:hyperlink r:id="rId37" w:tooltip="TCEQ - Completing FOP Applications - Additional Guidance" w:history="1">
        <w:r w:rsidR="00EE6447" w:rsidRPr="00F47022">
          <w:rPr>
            <w:rStyle w:val="Hyperlink"/>
          </w:rPr>
          <w:t>www.tceq.texas.gov/permitting/air/guidance/titlev/tv_fop_guidance.html</w:t>
        </w:r>
      </w:hyperlink>
      <w:r w:rsidR="00CC2143" w:rsidRPr="00EF0801">
        <w:t>.</w:t>
      </w:r>
    </w:p>
    <w:p w14:paraId="4373AE13" w14:textId="4CDFF8F9" w:rsidR="00F861CF" w:rsidRPr="00EF0801" w:rsidRDefault="00F861CF" w:rsidP="00DA79B2">
      <w:pPr>
        <w:pStyle w:val="APDStrong"/>
      </w:pPr>
      <w:r w:rsidRPr="00EF0801">
        <w:t>Type Fuel</w:t>
      </w:r>
      <w:r w:rsidRPr="00E56C74">
        <w:rPr>
          <w:bCs/>
        </w:rPr>
        <w:t>:</w:t>
      </w:r>
    </w:p>
    <w:p w14:paraId="47E9D975" w14:textId="77777777" w:rsidR="00F861CF" w:rsidRDefault="00F861CF" w:rsidP="009F6BC8">
      <w:pPr>
        <w:pStyle w:val="APDBodyText"/>
      </w:pPr>
      <w:r w:rsidRPr="009F6BC8">
        <w:t>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
      </w:tblPr>
      <w:tblGrid>
        <w:gridCol w:w="1530"/>
        <w:gridCol w:w="8550"/>
      </w:tblGrid>
      <w:tr w:rsidR="004357DF" w14:paraId="2AB41927" w14:textId="77777777" w:rsidTr="00565C07">
        <w:trPr>
          <w:cantSplit/>
          <w:tblHeader/>
        </w:trPr>
        <w:tc>
          <w:tcPr>
            <w:tcW w:w="1530" w:type="dxa"/>
          </w:tcPr>
          <w:p w14:paraId="6D32F012" w14:textId="0D9F169E" w:rsidR="004357DF" w:rsidRPr="004357DF" w:rsidRDefault="004357DF" w:rsidP="004357DF">
            <w:pPr>
              <w:rPr>
                <w:b/>
                <w:bCs/>
              </w:rPr>
            </w:pPr>
            <w:r w:rsidRPr="004357DF">
              <w:rPr>
                <w:b/>
                <w:bCs/>
              </w:rPr>
              <w:t>Code</w:t>
            </w:r>
          </w:p>
        </w:tc>
        <w:tc>
          <w:tcPr>
            <w:tcW w:w="8550" w:type="dxa"/>
          </w:tcPr>
          <w:p w14:paraId="5630D6FA" w14:textId="2B335DE7" w:rsidR="004357DF" w:rsidRPr="004357DF" w:rsidRDefault="004357DF" w:rsidP="004357DF">
            <w:pPr>
              <w:rPr>
                <w:b/>
                <w:bCs/>
              </w:rPr>
            </w:pPr>
            <w:r w:rsidRPr="004357DF">
              <w:rPr>
                <w:b/>
                <w:bCs/>
              </w:rPr>
              <w:t>Description</w:t>
            </w:r>
          </w:p>
        </w:tc>
      </w:tr>
      <w:tr w:rsidR="004357DF" w14:paraId="262C694A" w14:textId="77777777" w:rsidTr="00565C07">
        <w:trPr>
          <w:cantSplit/>
          <w:tblHeader/>
        </w:trPr>
        <w:tc>
          <w:tcPr>
            <w:tcW w:w="1530" w:type="dxa"/>
          </w:tcPr>
          <w:p w14:paraId="5A35A8F6" w14:textId="6CA62ABA" w:rsidR="004357DF" w:rsidRDefault="004357DF" w:rsidP="004357DF">
            <w:r w:rsidRPr="00C361F3">
              <w:t>SOLID</w:t>
            </w:r>
          </w:p>
        </w:tc>
        <w:tc>
          <w:tcPr>
            <w:tcW w:w="8550" w:type="dxa"/>
          </w:tcPr>
          <w:p w14:paraId="579FBD42" w14:textId="3DC20A2C" w:rsidR="004357DF" w:rsidRDefault="004357DF" w:rsidP="004357DF">
            <w:r w:rsidRPr="00C361F3">
              <w:t>Boiler burns solid fuel</w:t>
            </w:r>
          </w:p>
        </w:tc>
      </w:tr>
      <w:tr w:rsidR="004357DF" w14:paraId="3C77DC60" w14:textId="77777777" w:rsidTr="00565C07">
        <w:trPr>
          <w:cantSplit/>
          <w:tblHeader/>
        </w:trPr>
        <w:tc>
          <w:tcPr>
            <w:tcW w:w="1530" w:type="dxa"/>
          </w:tcPr>
          <w:p w14:paraId="10D00D55" w14:textId="580D0357" w:rsidR="004357DF" w:rsidRDefault="004357DF" w:rsidP="004357DF">
            <w:r w:rsidRPr="00C361F3">
              <w:t>LIQUID</w:t>
            </w:r>
          </w:p>
        </w:tc>
        <w:tc>
          <w:tcPr>
            <w:tcW w:w="8550" w:type="dxa"/>
          </w:tcPr>
          <w:p w14:paraId="189C3A5E" w14:textId="0645F3C8" w:rsidR="004357DF" w:rsidRDefault="004357DF" w:rsidP="004357DF">
            <w:r w:rsidRPr="00C361F3">
              <w:t>Boiler burns liquid fuel</w:t>
            </w:r>
          </w:p>
        </w:tc>
      </w:tr>
    </w:tbl>
    <w:p w14:paraId="7187047C" w14:textId="77777777" w:rsidR="00F861CF" w:rsidRPr="00EF0801" w:rsidRDefault="00F861CF" w:rsidP="004357DF">
      <w:pPr>
        <w:pStyle w:val="APDStrong"/>
        <w:spacing w:before="120"/>
      </w:pPr>
      <w:r w:rsidRPr="00EF0801">
        <w:t>Existing Source</w:t>
      </w:r>
      <w:r w:rsidRPr="00E56C74">
        <w:rPr>
          <w:bCs/>
        </w:rPr>
        <w:t>:</w:t>
      </w:r>
    </w:p>
    <w:p w14:paraId="63C3EDC0" w14:textId="5800773C" w:rsidR="00F861CF" w:rsidRPr="009F6BC8" w:rsidRDefault="00F861CF" w:rsidP="009F6BC8">
      <w:pPr>
        <w:pStyle w:val="APDBodyText"/>
      </w:pPr>
      <w:r w:rsidRPr="009F6BC8">
        <w:t>Enter “</w:t>
      </w:r>
      <w:r w:rsidR="00B42127">
        <w:t>YES</w:t>
      </w:r>
      <w:r w:rsidRPr="009F6BC8">
        <w:t>” if the boiler is an existing source (construction or reconstruction c</w:t>
      </w:r>
      <w:r w:rsidR="000713DE" w:rsidRPr="009F6BC8">
        <w:t>ommenced on or before April 20, </w:t>
      </w:r>
      <w:r w:rsidRPr="009F6BC8">
        <w:t>2004). Otherwise, enter “</w:t>
      </w:r>
      <w:r w:rsidR="00B42127">
        <w:t>NO</w:t>
      </w:r>
      <w:r w:rsidRPr="009F6BC8">
        <w:t xml:space="preserve">.” </w:t>
      </w:r>
    </w:p>
    <w:p w14:paraId="6E84BD62" w14:textId="77777777" w:rsidR="00F861CF" w:rsidRPr="00EF0801" w:rsidRDefault="00F861CF" w:rsidP="00DA79B2">
      <w:pPr>
        <w:pStyle w:val="APDStrong"/>
      </w:pPr>
      <w:r w:rsidRPr="00EF0801">
        <w:t>Area Source</w:t>
      </w:r>
      <w:r w:rsidRPr="00E56C74">
        <w:rPr>
          <w:bCs/>
        </w:rPr>
        <w:t>:</w:t>
      </w:r>
    </w:p>
    <w:p w14:paraId="7562423F" w14:textId="6A6A5B0C" w:rsidR="00F861CF" w:rsidRPr="009F6BC8" w:rsidRDefault="00F861CF" w:rsidP="009F6BC8">
      <w:pPr>
        <w:pStyle w:val="APDBodyText"/>
      </w:pPr>
      <w:r w:rsidRPr="009F6BC8">
        <w:t>Enter “</w:t>
      </w:r>
      <w:r w:rsidR="00B42127">
        <w:t>YES</w:t>
      </w:r>
      <w:r w:rsidRPr="009F6BC8">
        <w:t>” if the boiler is an area source as defined under §63.2. Otherwise, enter “</w:t>
      </w:r>
      <w:r w:rsidR="00B42127">
        <w:t>NO</w:t>
      </w:r>
      <w:r w:rsidRPr="009F6BC8">
        <w:t>.”</w:t>
      </w:r>
    </w:p>
    <w:p w14:paraId="55946F95" w14:textId="2157914B" w:rsidR="00F861CF" w:rsidRPr="00EF0801" w:rsidRDefault="00F861CF" w:rsidP="00390EE3">
      <w:pPr>
        <w:pStyle w:val="APDCompleteStar"/>
      </w:pPr>
      <w:r w:rsidRPr="00EF0801">
        <w:t>Complete “Elective Standards” only if “Area Source” is “</w:t>
      </w:r>
      <w:r w:rsidR="00B42127">
        <w:t>YES</w:t>
      </w:r>
      <w:r w:rsidRPr="00EF0801">
        <w:t>.”</w:t>
      </w:r>
    </w:p>
    <w:p w14:paraId="174C79CA" w14:textId="77777777" w:rsidR="00A23C68" w:rsidRDefault="00A23C68" w:rsidP="00DA79B2">
      <w:pPr>
        <w:pStyle w:val="APDStrong"/>
        <w:sectPr w:rsidR="00A23C68" w:rsidSect="0031268E">
          <w:pgSz w:w="12240" w:h="15840" w:code="1"/>
          <w:pgMar w:top="720" w:right="720" w:bottom="720" w:left="720" w:header="720" w:footer="720" w:gutter="0"/>
          <w:cols w:space="720"/>
          <w:titlePg/>
          <w:docGrid w:linePitch="360"/>
        </w:sectPr>
      </w:pPr>
    </w:p>
    <w:p w14:paraId="3A899B58" w14:textId="77777777" w:rsidR="00F861CF" w:rsidRPr="00EF0801" w:rsidRDefault="00F861CF" w:rsidP="00DA79B2">
      <w:pPr>
        <w:pStyle w:val="APDStrong"/>
      </w:pPr>
      <w:r w:rsidRPr="00EF0801">
        <w:lastRenderedPageBreak/>
        <w:t>Elective Standards</w:t>
      </w:r>
      <w:r w:rsidRPr="00E56C74">
        <w:rPr>
          <w:bCs/>
        </w:rPr>
        <w:t>:</w:t>
      </w:r>
    </w:p>
    <w:p w14:paraId="4C194E3E" w14:textId="1692767C" w:rsidR="00D108F5" w:rsidRPr="009F6BC8" w:rsidRDefault="00F861CF" w:rsidP="009F6BC8">
      <w:pPr>
        <w:pStyle w:val="APDBodyText"/>
      </w:pPr>
      <w:r w:rsidRPr="009F6BC8">
        <w:t>Enter “</w:t>
      </w:r>
      <w:r w:rsidR="00B42127">
        <w:t>YES</w:t>
      </w:r>
      <w:r w:rsidRPr="009F6BC8">
        <w:t>” if the area source is electing to comply with § 63.1216 or § 63.1217 per §</w:t>
      </w:r>
      <w:r w:rsidR="00E56C74" w:rsidRPr="009F6BC8">
        <w:t xml:space="preserve"> </w:t>
      </w:r>
      <w:r w:rsidRPr="009F6BC8">
        <w:t>266.100(b)(3). Otherwise, enter “</w:t>
      </w:r>
      <w:r w:rsidR="00B42127">
        <w:t>NO</w:t>
      </w:r>
      <w:r w:rsidRPr="009F6BC8">
        <w:t>.”</w:t>
      </w:r>
    </w:p>
    <w:p w14:paraId="01DB811C" w14:textId="77777777" w:rsidR="00F861CF" w:rsidRPr="00EF0801" w:rsidRDefault="00F861CF" w:rsidP="00DA79B2">
      <w:pPr>
        <w:pStyle w:val="APDStrong"/>
      </w:pPr>
      <w:r w:rsidRPr="00EF0801">
        <w:t>Dioxin/Furan Standard</w:t>
      </w:r>
      <w:r w:rsidRPr="00E56C74">
        <w:rPr>
          <w:bCs/>
        </w:rPr>
        <w:t>:</w:t>
      </w:r>
    </w:p>
    <w:p w14:paraId="5CF4C7D1" w14:textId="77777777" w:rsidR="00F861CF" w:rsidRPr="009F6BC8" w:rsidRDefault="00F861CF" w:rsidP="009F6BC8">
      <w:pPr>
        <w:pStyle w:val="APDBodyText"/>
      </w:pPr>
      <w:r w:rsidRPr="009F6BC8">
        <w:t>Select one of the following options. Enter the code on the form.</w:t>
      </w:r>
    </w:p>
    <w:p w14:paraId="35A2830E" w14:textId="77777777" w:rsidR="00F861CF" w:rsidRDefault="00F861CF" w:rsidP="00B17C40">
      <w:pPr>
        <w:pStyle w:val="APDCodeIdentifiers"/>
      </w:pPr>
      <w:r w:rsidRPr="00EF0801">
        <w:t>For solid fuel boilers: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DA59CF" w14:paraId="5363E190" w14:textId="77777777" w:rsidTr="00A3132F">
        <w:tc>
          <w:tcPr>
            <w:tcW w:w="1530" w:type="dxa"/>
          </w:tcPr>
          <w:p w14:paraId="2E865A5F" w14:textId="5BF88DB5" w:rsidR="00DA59CF" w:rsidRPr="00DA59CF" w:rsidRDefault="00DA59CF" w:rsidP="00DA59CF">
            <w:pPr>
              <w:rPr>
                <w:b/>
                <w:bCs/>
              </w:rPr>
            </w:pPr>
            <w:r w:rsidRPr="00DA59CF">
              <w:rPr>
                <w:b/>
                <w:bCs/>
              </w:rPr>
              <w:t>Code</w:t>
            </w:r>
          </w:p>
        </w:tc>
        <w:tc>
          <w:tcPr>
            <w:tcW w:w="8550" w:type="dxa"/>
          </w:tcPr>
          <w:p w14:paraId="7345AF52" w14:textId="69615090" w:rsidR="00DA59CF" w:rsidRPr="00DA59CF" w:rsidRDefault="00DA59CF" w:rsidP="00DA59CF">
            <w:pPr>
              <w:rPr>
                <w:b/>
                <w:bCs/>
              </w:rPr>
            </w:pPr>
            <w:r w:rsidRPr="00DA59CF">
              <w:rPr>
                <w:b/>
                <w:bCs/>
              </w:rPr>
              <w:t>Description</w:t>
            </w:r>
          </w:p>
        </w:tc>
      </w:tr>
      <w:tr w:rsidR="00DA59CF" w14:paraId="525018EE" w14:textId="77777777" w:rsidTr="00A3132F">
        <w:tc>
          <w:tcPr>
            <w:tcW w:w="1530" w:type="dxa"/>
          </w:tcPr>
          <w:p w14:paraId="39D1260F" w14:textId="555C8F29" w:rsidR="00DA59CF" w:rsidRDefault="00DA59CF" w:rsidP="00DA59CF">
            <w:r w:rsidRPr="00D611AE">
              <w:t>CO-1S</w:t>
            </w:r>
          </w:p>
        </w:tc>
        <w:tc>
          <w:tcPr>
            <w:tcW w:w="8550" w:type="dxa"/>
          </w:tcPr>
          <w:p w14:paraId="27ADD1A3" w14:textId="5AECF27B" w:rsidR="00DA59CF" w:rsidRDefault="00DA59CF" w:rsidP="00DA59CF">
            <w:r w:rsidRPr="00D611AE">
              <w:t>Complying with the CO standard in § 63.1216(a)(1) or (b)(1)</w:t>
            </w:r>
          </w:p>
        </w:tc>
      </w:tr>
      <w:tr w:rsidR="00DA59CF" w14:paraId="0009C67A" w14:textId="77777777" w:rsidTr="00A3132F">
        <w:tc>
          <w:tcPr>
            <w:tcW w:w="1530" w:type="dxa"/>
          </w:tcPr>
          <w:p w14:paraId="65D93D92" w14:textId="4F1F49AD" w:rsidR="00DA59CF" w:rsidRDefault="00DA59CF" w:rsidP="00DA59CF">
            <w:r w:rsidRPr="00D611AE">
              <w:t>THC-1S</w:t>
            </w:r>
          </w:p>
        </w:tc>
        <w:tc>
          <w:tcPr>
            <w:tcW w:w="8550" w:type="dxa"/>
          </w:tcPr>
          <w:p w14:paraId="5A1C0572" w14:textId="7E5A4863" w:rsidR="00DA59CF" w:rsidRDefault="00DA59CF" w:rsidP="00DA59CF">
            <w:r w:rsidRPr="00D611AE">
              <w:t>Complying with the THC standard in § 63.1216(a)(1) or (b)(1)</w:t>
            </w:r>
          </w:p>
        </w:tc>
      </w:tr>
    </w:tbl>
    <w:p w14:paraId="15CE478E" w14:textId="6720D96E" w:rsidR="00F861CF" w:rsidRDefault="00F861CF" w:rsidP="00DA59CF">
      <w:pPr>
        <w:pStyle w:val="APDCodeIdentifiers"/>
        <w:spacing w:before="120"/>
        <w:rPr>
          <w:lang w:val="fr-FR"/>
        </w:rPr>
      </w:pPr>
      <w:r w:rsidRPr="00EF0801">
        <w:rPr>
          <w:lang w:val="fr-FR"/>
        </w:rPr>
        <w:t xml:space="preserve">For liquid fuel </w:t>
      </w:r>
      <w:r w:rsidR="00121E5B" w:rsidRPr="00EF0801">
        <w:rPr>
          <w:lang w:val="fr-FR"/>
        </w:rPr>
        <w:t>boilers: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7D63CC" w14:paraId="398B360D" w14:textId="77777777" w:rsidTr="007D63CC">
        <w:trPr>
          <w:cantSplit/>
          <w:tblHeader/>
        </w:trPr>
        <w:tc>
          <w:tcPr>
            <w:tcW w:w="1530" w:type="dxa"/>
          </w:tcPr>
          <w:p w14:paraId="0B5D0BA0" w14:textId="5A0B8319" w:rsidR="007D63CC" w:rsidRPr="007D63CC" w:rsidRDefault="007D63CC" w:rsidP="007D63CC">
            <w:pPr>
              <w:rPr>
                <w:b/>
                <w:bCs/>
              </w:rPr>
            </w:pPr>
            <w:r w:rsidRPr="007D63CC">
              <w:rPr>
                <w:b/>
                <w:bCs/>
              </w:rPr>
              <w:t>Code</w:t>
            </w:r>
          </w:p>
        </w:tc>
        <w:tc>
          <w:tcPr>
            <w:tcW w:w="8550" w:type="dxa"/>
          </w:tcPr>
          <w:p w14:paraId="0B93A0C4" w14:textId="06B12CA1" w:rsidR="007D63CC" w:rsidRPr="007D63CC" w:rsidRDefault="007D63CC" w:rsidP="007D63CC">
            <w:pPr>
              <w:rPr>
                <w:b/>
                <w:bCs/>
              </w:rPr>
            </w:pPr>
            <w:r w:rsidRPr="007D63CC">
              <w:rPr>
                <w:b/>
                <w:bCs/>
              </w:rPr>
              <w:t>Description</w:t>
            </w:r>
          </w:p>
        </w:tc>
      </w:tr>
      <w:tr w:rsidR="007D63CC" w14:paraId="37514220" w14:textId="77777777" w:rsidTr="007D63CC">
        <w:trPr>
          <w:cantSplit/>
          <w:tblHeader/>
        </w:trPr>
        <w:tc>
          <w:tcPr>
            <w:tcW w:w="1530" w:type="dxa"/>
          </w:tcPr>
          <w:p w14:paraId="2CA56911" w14:textId="5609C818" w:rsidR="007D63CC" w:rsidRDefault="007D63CC" w:rsidP="007D63CC">
            <w:r w:rsidRPr="009029A6">
              <w:t>DF-1L</w:t>
            </w:r>
          </w:p>
        </w:tc>
        <w:tc>
          <w:tcPr>
            <w:tcW w:w="8550" w:type="dxa"/>
          </w:tcPr>
          <w:p w14:paraId="60BC6A92" w14:textId="504E35FB" w:rsidR="007D63CC" w:rsidRDefault="007D63CC" w:rsidP="007D63CC">
            <w:r w:rsidRPr="009029A6">
              <w:t>Complying with the dioxin/furan standard in § 63.1217(a)(1)(i) or (b)(1)(i) [Note:  for boilers equipped with a dry air pollution control system]</w:t>
            </w:r>
          </w:p>
        </w:tc>
      </w:tr>
      <w:tr w:rsidR="007D63CC" w14:paraId="02A42231" w14:textId="77777777" w:rsidTr="007D63CC">
        <w:trPr>
          <w:cantSplit/>
          <w:tblHeader/>
        </w:trPr>
        <w:tc>
          <w:tcPr>
            <w:tcW w:w="1530" w:type="dxa"/>
          </w:tcPr>
          <w:p w14:paraId="43628C5C" w14:textId="6379C249" w:rsidR="007D63CC" w:rsidRDefault="007D63CC" w:rsidP="007D63CC">
            <w:r w:rsidRPr="009029A6">
              <w:t>CO-1L</w:t>
            </w:r>
          </w:p>
        </w:tc>
        <w:tc>
          <w:tcPr>
            <w:tcW w:w="8550" w:type="dxa"/>
          </w:tcPr>
          <w:p w14:paraId="36AF6AE2" w14:textId="511F5E22" w:rsidR="007D63CC" w:rsidRDefault="007D63CC" w:rsidP="007D63CC">
            <w:r w:rsidRPr="009029A6">
              <w:t>Complying with the CO standard in § 63.1217(a)(1)(ii) or (b)(1) (ii)</w:t>
            </w:r>
          </w:p>
        </w:tc>
      </w:tr>
      <w:tr w:rsidR="007D63CC" w14:paraId="28CA6C1C" w14:textId="77777777" w:rsidTr="007D63CC">
        <w:trPr>
          <w:cantSplit/>
          <w:tblHeader/>
        </w:trPr>
        <w:tc>
          <w:tcPr>
            <w:tcW w:w="1530" w:type="dxa"/>
          </w:tcPr>
          <w:p w14:paraId="6DC06D37" w14:textId="3B6B229B" w:rsidR="007D63CC" w:rsidRDefault="007D63CC" w:rsidP="007D63CC">
            <w:r w:rsidRPr="009029A6">
              <w:t>THC-1L</w:t>
            </w:r>
          </w:p>
        </w:tc>
        <w:tc>
          <w:tcPr>
            <w:tcW w:w="8550" w:type="dxa"/>
          </w:tcPr>
          <w:p w14:paraId="0A2AD8C3" w14:textId="181B6F80" w:rsidR="007D63CC" w:rsidRDefault="007D63CC" w:rsidP="007D63CC">
            <w:r w:rsidRPr="009029A6">
              <w:t>Complying with the THC standard in § 63.1217(a)(1) (ii) or (b)(1) (ii)</w:t>
            </w:r>
          </w:p>
        </w:tc>
      </w:tr>
    </w:tbl>
    <w:p w14:paraId="1EFF8730" w14:textId="0E66351B" w:rsidR="00F861CF" w:rsidRPr="00872B70" w:rsidRDefault="00C9186D" w:rsidP="00390EE3">
      <w:pPr>
        <w:pStyle w:val="APDCompleteStar"/>
      </w:pPr>
      <w:r>
        <w:t>C</w:t>
      </w:r>
      <w:r w:rsidR="00F861CF" w:rsidRPr="00872B70">
        <w:t>omplete “Heating Value” only if “Type Fuel” is “LIQUID.”</w:t>
      </w:r>
    </w:p>
    <w:p w14:paraId="1F36CB86" w14:textId="77777777" w:rsidR="00F861CF" w:rsidRPr="00EF0801" w:rsidRDefault="00F861CF" w:rsidP="00DA79B2">
      <w:pPr>
        <w:pStyle w:val="APDStrong"/>
      </w:pPr>
      <w:r w:rsidRPr="00EF0801">
        <w:t>Heating Value</w:t>
      </w:r>
      <w:r w:rsidRPr="00E56C74">
        <w:rPr>
          <w:bCs/>
        </w:rPr>
        <w:t>:</w:t>
      </w:r>
    </w:p>
    <w:p w14:paraId="142A85F6" w14:textId="7D33E0E5" w:rsidR="00F861CF" w:rsidRPr="00872B70" w:rsidRDefault="00F861CF" w:rsidP="00872B70">
      <w:pPr>
        <w:pStyle w:val="APDBodyText"/>
      </w:pPr>
      <w:r w:rsidRPr="00872B70">
        <w:t>Enter “</w:t>
      </w:r>
      <w:r w:rsidR="00B42127">
        <w:t>YES</w:t>
      </w:r>
      <w:r w:rsidRPr="00872B70">
        <w:t>” if the hazardous waste as-fired heating value is less than 10,000 Btu/lb. Otherwise, enter “</w:t>
      </w:r>
      <w:r w:rsidR="00B42127">
        <w:t>NO</w:t>
      </w:r>
      <w:r w:rsidRPr="00872B70">
        <w:t>.”</w:t>
      </w:r>
    </w:p>
    <w:p w14:paraId="3E61DD46" w14:textId="54FF6EC4" w:rsidR="00F861CF" w:rsidRPr="00EF0801" w:rsidRDefault="00F861CF" w:rsidP="00DA79B2">
      <w:pPr>
        <w:pStyle w:val="APDStrong"/>
      </w:pPr>
      <w:bookmarkStart w:id="104" w:name="_Hlk102046078"/>
      <w:r w:rsidRPr="00EF0801">
        <w:t>Hg Feedrate</w:t>
      </w:r>
      <w:r w:rsidRPr="00E56C74">
        <w:rPr>
          <w:bCs/>
        </w:rPr>
        <w:t>:</w:t>
      </w:r>
    </w:p>
    <w:p w14:paraId="4B729507" w14:textId="3806488D" w:rsidR="00F861CF" w:rsidRPr="00872B70" w:rsidRDefault="00F861CF" w:rsidP="004B0F57">
      <w:pPr>
        <w:pStyle w:val="APDBodyText"/>
      </w:pPr>
      <w:r w:rsidRPr="00872B70">
        <w:t>Enter “</w:t>
      </w:r>
      <w:r w:rsidR="00B42127">
        <w:t>YES</w:t>
      </w:r>
      <w:r w:rsidRPr="00872B70">
        <w:t>” if extrapolation of feedrate levels is used for Hg. Otherwise, enter “</w:t>
      </w:r>
      <w:r w:rsidR="00B42127">
        <w:t>NO</w:t>
      </w:r>
      <w:r w:rsidRPr="00872B70">
        <w:t>.”</w:t>
      </w:r>
    </w:p>
    <w:bookmarkEnd w:id="104"/>
    <w:p w14:paraId="05CC1C24" w14:textId="77777777" w:rsidR="00F861CF" w:rsidRPr="00EF0801" w:rsidRDefault="00F861CF" w:rsidP="00F861CF">
      <w:pPr>
        <w:pBdr>
          <w:bottom w:val="double" w:sz="6" w:space="1" w:color="auto"/>
        </w:pBdr>
      </w:pPr>
    </w:p>
    <w:bookmarkStart w:id="105" w:name="Table_10b"/>
    <w:p w14:paraId="42C84688" w14:textId="690CAD5C" w:rsidR="00F861CF" w:rsidRPr="00AD148F" w:rsidRDefault="005F7C62" w:rsidP="002C7C54">
      <w:pPr>
        <w:pStyle w:val="APDChapterTitles"/>
        <w:rPr>
          <w:rStyle w:val="APDTableChapterChar"/>
          <w:rFonts w:eastAsia="Calibri"/>
        </w:rPr>
      </w:pPr>
      <w:r w:rsidRPr="00FB557F">
        <w:rPr>
          <w:rStyle w:val="Hyperlink"/>
          <w:rFonts w:eastAsia="Calibri"/>
          <w:b/>
          <w:bCs w:val="0"/>
        </w:rPr>
        <w:fldChar w:fldCharType="begin"/>
      </w:r>
      <w:r w:rsidR="00AB6ED7" w:rsidRPr="00FB557F">
        <w:rPr>
          <w:rStyle w:val="Hyperlink"/>
          <w:b/>
          <w:bCs w:val="0"/>
        </w:rPr>
        <w:instrText>HYPERLINK  \l "TBL_10b" \o "Table 10b"</w:instrText>
      </w:r>
      <w:r w:rsidRPr="00FB557F">
        <w:rPr>
          <w:rStyle w:val="Hyperlink"/>
          <w:rFonts w:eastAsia="Calibri"/>
          <w:b/>
          <w:bCs w:val="0"/>
        </w:rPr>
      </w:r>
      <w:r w:rsidRPr="00FB557F">
        <w:rPr>
          <w:rStyle w:val="Hyperlink"/>
          <w:rFonts w:eastAsia="Calibri"/>
          <w:b/>
          <w:bCs w:val="0"/>
        </w:rPr>
        <w:fldChar w:fldCharType="separate"/>
      </w:r>
      <w:bookmarkStart w:id="106" w:name="_Toc180398512"/>
      <w:bookmarkStart w:id="107" w:name="_Toc180398566"/>
      <w:r w:rsidR="00F861CF" w:rsidRPr="00FB557F">
        <w:rPr>
          <w:rStyle w:val="Hyperlink"/>
          <w:rFonts w:eastAsia="Calibri"/>
          <w:b/>
          <w:bCs w:val="0"/>
        </w:rPr>
        <w:t>Table 10b</w:t>
      </w:r>
      <w:r w:rsidRPr="00FB557F">
        <w:rPr>
          <w:rStyle w:val="Hyperlink"/>
          <w:rFonts w:eastAsia="Calibri"/>
          <w:b/>
          <w:bCs w:val="0"/>
        </w:rPr>
        <w:fldChar w:fldCharType="end"/>
      </w:r>
      <w:bookmarkEnd w:id="105"/>
      <w:r w:rsidR="00F861CF" w:rsidRPr="00FB557F">
        <w:rPr>
          <w:rStyle w:val="Hyperlink"/>
          <w:rFonts w:eastAsia="Calibri"/>
          <w:b/>
          <w:bCs w:val="0"/>
        </w:rPr>
        <w:t>:</w:t>
      </w:r>
      <w:r w:rsidR="00F861CF" w:rsidRPr="00EF0801">
        <w:rPr>
          <w:rFonts w:eastAsia="Calibri"/>
          <w:szCs w:val="20"/>
        </w:rPr>
        <w:tab/>
      </w:r>
      <w:r w:rsidR="00F861CF" w:rsidRPr="003E347E">
        <w:rPr>
          <w:rStyle w:val="APDTableChapterChar"/>
          <w:rFonts w:eastAsia="Calibri"/>
          <w:b/>
        </w:rPr>
        <w:t>Title 40 Code of Federal Regulations Part 63 (40 CFR Part 63)</w:t>
      </w:r>
      <w:r w:rsidR="0098649D" w:rsidRPr="003E347E">
        <w:rPr>
          <w:rStyle w:val="APDTableChapterChar"/>
          <w:rFonts w:eastAsia="Calibri"/>
          <w:b/>
        </w:rPr>
        <w:t>,</w:t>
      </w:r>
      <w:r w:rsidR="00F861CF" w:rsidRPr="003E347E">
        <w:rPr>
          <w:rStyle w:val="APDTableChapterChar"/>
          <w:rFonts w:eastAsia="Calibri"/>
          <w:b/>
        </w:rPr>
        <w:t xml:space="preserve"> Subpart EEE:  Hazardous Waste Combustors</w:t>
      </w:r>
      <w:bookmarkEnd w:id="106"/>
      <w:bookmarkEnd w:id="107"/>
    </w:p>
    <w:p w14:paraId="1846B8B0" w14:textId="327FCAF9" w:rsidR="00F861CF" w:rsidRPr="00EF0801" w:rsidRDefault="00F861CF" w:rsidP="00DA79B2">
      <w:pPr>
        <w:pStyle w:val="APDStrong"/>
      </w:pPr>
      <w:r w:rsidRPr="00EF0801">
        <w:t xml:space="preserve">Unit ID </w:t>
      </w:r>
      <w:r w:rsidR="00B42127">
        <w:t>N</w:t>
      </w:r>
      <w:r w:rsidR="002D389B">
        <w:t>o</w:t>
      </w:r>
      <w:r w:rsidRPr="00EF0801">
        <w:t>.</w:t>
      </w:r>
      <w:r w:rsidRPr="00E56C74">
        <w:rPr>
          <w:bCs/>
        </w:rPr>
        <w:t>:</w:t>
      </w:r>
    </w:p>
    <w:p w14:paraId="6C27E3EB" w14:textId="5B9878D9" w:rsidR="00F861CF" w:rsidRPr="00872B70" w:rsidRDefault="00F861CF" w:rsidP="00872B70">
      <w:pPr>
        <w:pStyle w:val="APDBodyText"/>
      </w:pPr>
      <w:r w:rsidRPr="00872B70">
        <w:t xml:space="preserve">Enter the identification number (ID </w:t>
      </w:r>
      <w:r w:rsidR="00B42127">
        <w:t>N</w:t>
      </w:r>
      <w:r w:rsidR="005667BA">
        <w:t>o</w:t>
      </w:r>
      <w:r w:rsidRPr="00872B70">
        <w:t>.) for the unit (maximum 10 characters) as li</w:t>
      </w:r>
      <w:r w:rsidR="00B9031E" w:rsidRPr="00872B70">
        <w:t>sted on Form OP-SUM (Individual</w:t>
      </w:r>
      <w:r w:rsidR="00811EB2" w:rsidRPr="00872B70">
        <w:t> </w:t>
      </w:r>
      <w:r w:rsidRPr="00872B70">
        <w:t>Unit Summary).</w:t>
      </w:r>
    </w:p>
    <w:p w14:paraId="515FA01D" w14:textId="239D6A6E" w:rsidR="00F861CF" w:rsidRPr="00EF0801" w:rsidRDefault="00F861CF" w:rsidP="00DA79B2">
      <w:pPr>
        <w:pStyle w:val="APDStrong"/>
      </w:pPr>
      <w:r w:rsidRPr="00EF0801">
        <w:t>SOP</w:t>
      </w:r>
      <w:r w:rsidR="00F0293E">
        <w:t xml:space="preserve"> </w:t>
      </w:r>
      <w:r w:rsidRPr="00EF0801">
        <w:t xml:space="preserve">Index </w:t>
      </w:r>
      <w:r w:rsidR="00B42127">
        <w:t>N</w:t>
      </w:r>
      <w:r w:rsidR="002D389B">
        <w:t>o</w:t>
      </w:r>
      <w:r w:rsidRPr="00EF0801">
        <w:t>.</w:t>
      </w:r>
      <w:r w:rsidRPr="00E56C74">
        <w:rPr>
          <w:bCs/>
        </w:rPr>
        <w:t>:</w:t>
      </w:r>
    </w:p>
    <w:p w14:paraId="5C8E482F" w14:textId="2A4563A1" w:rsidR="00F861CF" w:rsidRPr="00EF0801" w:rsidRDefault="00F861CF" w:rsidP="00872B70">
      <w:pPr>
        <w:pStyle w:val="APDBodyText"/>
      </w:pPr>
      <w:r w:rsidRPr="00872B70">
        <w:t xml:space="preserve">Site operating permit (SOP) applicants should indicate the SOP index number for the </w:t>
      </w:r>
      <w:r w:rsidR="00B9031E" w:rsidRPr="00872B70">
        <w:t>unit or group of units (maximum</w:t>
      </w:r>
      <w:r w:rsidR="00811EB2" w:rsidRPr="00872B70">
        <w:t> </w:t>
      </w:r>
      <w:r w:rsidR="00B9031E" w:rsidRPr="00872B70">
        <w:t>15</w:t>
      </w:r>
      <w:r w:rsidR="00811EB2" w:rsidRPr="00872B70">
        <w:t> </w:t>
      </w:r>
      <w:r w:rsidRPr="00872B70">
        <w:t xml:space="preserve">characters consisting of numeric, alphanumeric characters, and/or dashes prefixed by a code for the applicable regulation [i.e., 60KB-XXXX]). </w:t>
      </w:r>
      <w:r w:rsidR="00CC2143" w:rsidRPr="00872B70">
        <w:t>For additional information relating to SOP</w:t>
      </w:r>
      <w:r w:rsidR="00F0293E" w:rsidRPr="00872B70">
        <w:t xml:space="preserve"> </w:t>
      </w:r>
      <w:r w:rsidR="00CC2143" w:rsidRPr="00872B70">
        <w:t>index numbers, please see the Completing FOP Applications – Additional Guidance on the TCEQ website at</w:t>
      </w:r>
      <w:r w:rsidR="00CC2143" w:rsidRPr="00EF0801">
        <w:t xml:space="preserve"> </w:t>
      </w:r>
      <w:hyperlink r:id="rId38" w:tooltip="TCEQ - Completing FOP Applications - Additional Guidance" w:history="1">
        <w:r w:rsidR="00EE6447" w:rsidRPr="00F47022">
          <w:rPr>
            <w:rStyle w:val="Hyperlink"/>
          </w:rPr>
          <w:t>www.tceq.texas.gov/permitting/air/guidance/titlev/tv_fop_guidance.html</w:t>
        </w:r>
      </w:hyperlink>
      <w:r w:rsidR="00CC2143" w:rsidRPr="00EF0801">
        <w:t>.</w:t>
      </w:r>
    </w:p>
    <w:p w14:paraId="59741022" w14:textId="05F83A0A" w:rsidR="00F861CF" w:rsidRPr="00EF0801" w:rsidRDefault="00F861CF" w:rsidP="00DA79B2">
      <w:pPr>
        <w:pStyle w:val="APDStrong"/>
      </w:pPr>
      <w:r w:rsidRPr="00EF0801">
        <w:t>ALT Metals</w:t>
      </w:r>
      <w:r w:rsidR="00E56C74">
        <w:t>:</w:t>
      </w:r>
    </w:p>
    <w:p w14:paraId="549BD91E" w14:textId="0DABA37A" w:rsidR="00F861CF" w:rsidRPr="00872B70" w:rsidRDefault="00F861CF" w:rsidP="00872B70">
      <w:pPr>
        <w:pStyle w:val="APDBodyText"/>
      </w:pPr>
      <w:r w:rsidRPr="00872B70">
        <w:t>Enter “</w:t>
      </w:r>
      <w:r w:rsidR="00B42127">
        <w:t>YES</w:t>
      </w:r>
      <w:r w:rsidRPr="00872B70">
        <w:t>” if in lieu of complying with the particulate matter standards, you elect to comply with the alternative metal emission control requirement. Otherwise, enter “</w:t>
      </w:r>
      <w:r w:rsidR="00B42127">
        <w:t>NO</w:t>
      </w:r>
      <w:r w:rsidRPr="00872B70">
        <w:t>.”</w:t>
      </w:r>
    </w:p>
    <w:p w14:paraId="79E53BE5" w14:textId="20B2A9C4" w:rsidR="00F861CF" w:rsidRPr="00EF0801" w:rsidRDefault="00F861CF" w:rsidP="00DA79B2">
      <w:pPr>
        <w:pStyle w:val="APDStrong"/>
      </w:pPr>
      <w:r w:rsidRPr="00EF0801">
        <w:t>MET Feedrate</w:t>
      </w:r>
      <w:r w:rsidRPr="00E56C74">
        <w:rPr>
          <w:bCs/>
        </w:rPr>
        <w:t>:</w:t>
      </w:r>
    </w:p>
    <w:p w14:paraId="6A37C4E3" w14:textId="201BBE86" w:rsidR="00F861CF" w:rsidRPr="00872B70" w:rsidRDefault="00F861CF" w:rsidP="00872B70">
      <w:pPr>
        <w:pStyle w:val="APDBodyText"/>
      </w:pPr>
      <w:r w:rsidRPr="00872B70">
        <w:t>Enter “</w:t>
      </w:r>
      <w:r w:rsidR="00B42127">
        <w:t>YES</w:t>
      </w:r>
      <w:r w:rsidRPr="00872B70">
        <w:t xml:space="preserve">” if extrapolation of feedrate levels is used for </w:t>
      </w:r>
      <w:r w:rsidR="005A6F48" w:rsidRPr="00872B70">
        <w:t>semivolatile</w:t>
      </w:r>
      <w:r w:rsidRPr="00872B70">
        <w:t xml:space="preserve"> and low volatile metals. Otherwise, enter “</w:t>
      </w:r>
      <w:r w:rsidR="00B42127">
        <w:t>NO</w:t>
      </w:r>
      <w:r w:rsidRPr="00872B70">
        <w:t>.”</w:t>
      </w:r>
    </w:p>
    <w:p w14:paraId="58610E46" w14:textId="77777777" w:rsidR="00396A1B" w:rsidRDefault="00396A1B" w:rsidP="00DA79B2">
      <w:pPr>
        <w:pStyle w:val="APDStrong"/>
        <w:sectPr w:rsidR="00396A1B" w:rsidSect="0031268E">
          <w:pgSz w:w="12240" w:h="15840" w:code="1"/>
          <w:pgMar w:top="720" w:right="720" w:bottom="720" w:left="720" w:header="720" w:footer="720" w:gutter="0"/>
          <w:cols w:space="720"/>
          <w:titlePg/>
          <w:docGrid w:linePitch="360"/>
        </w:sectPr>
      </w:pPr>
    </w:p>
    <w:p w14:paraId="78892CAD" w14:textId="77777777" w:rsidR="00F861CF" w:rsidRPr="00EF0801" w:rsidRDefault="00F861CF" w:rsidP="00DA79B2">
      <w:pPr>
        <w:pStyle w:val="APDStrong"/>
      </w:pPr>
      <w:r w:rsidRPr="00EF0801">
        <w:lastRenderedPageBreak/>
        <w:t>CO/THC Standard</w:t>
      </w:r>
      <w:r w:rsidRPr="00E56C74">
        <w:rPr>
          <w:bCs/>
        </w:rPr>
        <w:t>:</w:t>
      </w:r>
    </w:p>
    <w:p w14:paraId="4183DE7C" w14:textId="77777777" w:rsidR="00F861CF" w:rsidRDefault="00F861CF" w:rsidP="00872B70">
      <w:pPr>
        <w:pStyle w:val="APDBodyText"/>
      </w:pPr>
      <w:r w:rsidRPr="00872B70">
        <w:t>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62584" w14:paraId="0AF7D6E3" w14:textId="77777777" w:rsidTr="00862584">
        <w:trPr>
          <w:cantSplit/>
          <w:tblHeader/>
        </w:trPr>
        <w:tc>
          <w:tcPr>
            <w:tcW w:w="1530" w:type="dxa"/>
          </w:tcPr>
          <w:p w14:paraId="47E197B5" w14:textId="793ABE0B" w:rsidR="00862584" w:rsidRPr="00862584" w:rsidRDefault="00862584" w:rsidP="00862584">
            <w:pPr>
              <w:rPr>
                <w:b/>
                <w:bCs/>
              </w:rPr>
            </w:pPr>
            <w:r w:rsidRPr="00862584">
              <w:rPr>
                <w:b/>
                <w:bCs/>
              </w:rPr>
              <w:t>Code</w:t>
            </w:r>
          </w:p>
        </w:tc>
        <w:tc>
          <w:tcPr>
            <w:tcW w:w="8550" w:type="dxa"/>
          </w:tcPr>
          <w:p w14:paraId="3485C589" w14:textId="5D999D23" w:rsidR="00862584" w:rsidRPr="00862584" w:rsidRDefault="00862584" w:rsidP="00862584">
            <w:pPr>
              <w:rPr>
                <w:b/>
                <w:bCs/>
              </w:rPr>
            </w:pPr>
            <w:r w:rsidRPr="00862584">
              <w:rPr>
                <w:b/>
                <w:bCs/>
              </w:rPr>
              <w:t>Description</w:t>
            </w:r>
          </w:p>
        </w:tc>
      </w:tr>
      <w:tr w:rsidR="00862584" w14:paraId="44D6EDA0" w14:textId="77777777" w:rsidTr="00862584">
        <w:trPr>
          <w:cantSplit/>
          <w:tblHeader/>
        </w:trPr>
        <w:tc>
          <w:tcPr>
            <w:tcW w:w="1530" w:type="dxa"/>
          </w:tcPr>
          <w:p w14:paraId="60FB8C31" w14:textId="692E2C57" w:rsidR="00862584" w:rsidRDefault="00862584" w:rsidP="00862584">
            <w:r w:rsidRPr="006D0C5A">
              <w:t>CO-5</w:t>
            </w:r>
          </w:p>
        </w:tc>
        <w:tc>
          <w:tcPr>
            <w:tcW w:w="8550" w:type="dxa"/>
          </w:tcPr>
          <w:p w14:paraId="2D3E29D0" w14:textId="2B6803A3" w:rsidR="00862584" w:rsidRDefault="00862584" w:rsidP="00862584">
            <w:r w:rsidRPr="006D0C5A">
              <w:t>Complying with the CO standard in § 63.1216(a)(5)(i) or (b)(5)(i); or § 63.1217(a)(5)(i) or (b)(5)(i)</w:t>
            </w:r>
          </w:p>
        </w:tc>
      </w:tr>
      <w:tr w:rsidR="00862584" w14:paraId="2A36C055" w14:textId="77777777" w:rsidTr="00862584">
        <w:trPr>
          <w:cantSplit/>
          <w:tblHeader/>
        </w:trPr>
        <w:tc>
          <w:tcPr>
            <w:tcW w:w="1530" w:type="dxa"/>
          </w:tcPr>
          <w:p w14:paraId="0466DD88" w14:textId="50604B9F" w:rsidR="00862584" w:rsidRDefault="00862584" w:rsidP="00862584">
            <w:r w:rsidRPr="006D0C5A">
              <w:t>THC-5</w:t>
            </w:r>
          </w:p>
        </w:tc>
        <w:tc>
          <w:tcPr>
            <w:tcW w:w="8550" w:type="dxa"/>
          </w:tcPr>
          <w:p w14:paraId="794D6C0A" w14:textId="1941F093" w:rsidR="00862584" w:rsidRDefault="00862584" w:rsidP="00862584">
            <w:r w:rsidRPr="006D0C5A">
              <w:t>Complying with the THC standard in § 63.1216(a)(5)(ii) or (b)(5)(ii); or § 63.1217(a)(5)(ii) or (b)(5)(ii)</w:t>
            </w:r>
          </w:p>
        </w:tc>
      </w:tr>
    </w:tbl>
    <w:p w14:paraId="6FF18E6D" w14:textId="7A38BC97" w:rsidR="00F861CF" w:rsidRPr="00EF0801" w:rsidRDefault="004D5C5D" w:rsidP="004D5C5D">
      <w:pPr>
        <w:pStyle w:val="APDStrong"/>
        <w:spacing w:before="120"/>
      </w:pPr>
      <w:r>
        <w:t>B</w:t>
      </w:r>
      <w:r w:rsidR="00F861CF" w:rsidRPr="00EF0801">
        <w:t>aghouse</w:t>
      </w:r>
      <w:r w:rsidR="00F861CF" w:rsidRPr="007C1739">
        <w:rPr>
          <w:bCs/>
        </w:rPr>
        <w:t>:</w:t>
      </w:r>
    </w:p>
    <w:p w14:paraId="20F1EAC1" w14:textId="48859183" w:rsidR="00F861CF" w:rsidRPr="00872B70" w:rsidRDefault="00F861CF" w:rsidP="00872B70">
      <w:pPr>
        <w:pStyle w:val="APDBodyText"/>
      </w:pPr>
      <w:r w:rsidRPr="00872B70">
        <w:t>Enter “</w:t>
      </w:r>
      <w:r w:rsidR="00B42127">
        <w:t>YES</w:t>
      </w:r>
      <w:r w:rsidRPr="00872B70">
        <w:t>” if the furnace is equipped with a baghouse. Otherwise, enter “</w:t>
      </w:r>
      <w:r w:rsidR="00B42127">
        <w:t>NO</w:t>
      </w:r>
      <w:r w:rsidRPr="00872B70">
        <w:t>.”</w:t>
      </w:r>
    </w:p>
    <w:p w14:paraId="7BC7AB07" w14:textId="6E8175D6" w:rsidR="00D108F5" w:rsidRPr="00872B70" w:rsidRDefault="00F861CF" w:rsidP="00390EE3">
      <w:pPr>
        <w:pStyle w:val="APDCompleteStar"/>
      </w:pPr>
      <w:r w:rsidRPr="00872B70">
        <w:t>Complete “PM Detection” only if “Baghouse” is “</w:t>
      </w:r>
      <w:r w:rsidR="00B42127">
        <w:t>YES</w:t>
      </w:r>
      <w:r w:rsidRPr="00872B70">
        <w:t>.”</w:t>
      </w:r>
    </w:p>
    <w:p w14:paraId="35F91F3C" w14:textId="77777777" w:rsidR="00F861CF" w:rsidRPr="00EF0801" w:rsidRDefault="00F861CF" w:rsidP="00DA79B2">
      <w:pPr>
        <w:pStyle w:val="APDStrong"/>
      </w:pPr>
      <w:r w:rsidRPr="00EF0801">
        <w:t>PM Detection</w:t>
      </w:r>
      <w:r w:rsidRPr="00E56C74">
        <w:rPr>
          <w:bCs/>
        </w:rPr>
        <w:t>:</w:t>
      </w:r>
    </w:p>
    <w:p w14:paraId="313005A8" w14:textId="02F2A2D4" w:rsidR="00F861CF" w:rsidRPr="00872B70" w:rsidRDefault="00F861CF" w:rsidP="00872B70">
      <w:pPr>
        <w:pStyle w:val="APDBodyText"/>
      </w:pPr>
      <w:r w:rsidRPr="00872B70">
        <w:t>Enter “</w:t>
      </w:r>
      <w:r w:rsidR="00B42127">
        <w:t>YES</w:t>
      </w:r>
      <w:r w:rsidRPr="00872B70">
        <w:t>” if a PM detection system is used. Otherwise, enter “</w:t>
      </w:r>
      <w:r w:rsidR="00B42127">
        <w:t>NO</w:t>
      </w:r>
      <w:r w:rsidRPr="00872B70">
        <w:t>.”</w:t>
      </w:r>
    </w:p>
    <w:p w14:paraId="1A55D51A" w14:textId="77777777" w:rsidR="00F861CF" w:rsidRPr="00EF0801" w:rsidRDefault="00F861CF" w:rsidP="00DA79B2">
      <w:pPr>
        <w:pStyle w:val="APDStrong"/>
      </w:pPr>
      <w:r w:rsidRPr="00EF0801">
        <w:t>Dioxin-Listed</w:t>
      </w:r>
      <w:r w:rsidRPr="00E56C74">
        <w:rPr>
          <w:bCs/>
        </w:rPr>
        <w:t>:</w:t>
      </w:r>
    </w:p>
    <w:p w14:paraId="194DAD80" w14:textId="63E20111" w:rsidR="00437B31" w:rsidRPr="00872B70" w:rsidRDefault="00F861CF" w:rsidP="00872B70">
      <w:pPr>
        <w:pStyle w:val="APDBodyText"/>
      </w:pPr>
      <w:r w:rsidRPr="00872B70">
        <w:t>Enter “</w:t>
      </w:r>
      <w:r w:rsidR="00B42127">
        <w:t>YES</w:t>
      </w:r>
      <w:r w:rsidRPr="00872B70">
        <w:t>” if the furnace burns the dioxin-listed hazardous wastes F020, F021, F022, F023, F026, or F027. Otherwise, enter “</w:t>
      </w:r>
      <w:r w:rsidR="00B42127">
        <w:t>NO</w:t>
      </w:r>
      <w:r w:rsidRPr="00872B70">
        <w:t>.”</w:t>
      </w:r>
    </w:p>
    <w:p w14:paraId="5DCE6002" w14:textId="69987858" w:rsidR="00F861CF" w:rsidRPr="00EF0801" w:rsidRDefault="00F861CF" w:rsidP="00DA79B2">
      <w:pPr>
        <w:pStyle w:val="APDStrong"/>
      </w:pPr>
      <w:r w:rsidRPr="00EF0801">
        <w:t>DRE Previous Test</w:t>
      </w:r>
      <w:r w:rsidRPr="00E56C74">
        <w:rPr>
          <w:bCs/>
        </w:rPr>
        <w:t>:</w:t>
      </w:r>
    </w:p>
    <w:p w14:paraId="51461374" w14:textId="4265FAAE" w:rsidR="00F861CF" w:rsidRPr="00872B70" w:rsidRDefault="00F861CF" w:rsidP="00872B70">
      <w:pPr>
        <w:pStyle w:val="APDBodyText"/>
      </w:pPr>
      <w:r w:rsidRPr="00872B70">
        <w:t>Enter “</w:t>
      </w:r>
      <w:r w:rsidR="00B42127">
        <w:t>YES</w:t>
      </w:r>
      <w:r w:rsidRPr="00872B70">
        <w:t>” if previous testing was used to document conformance with the DRE standard. Otherwise, enter “</w:t>
      </w:r>
      <w:r w:rsidR="00B42127">
        <w:t>NO</w:t>
      </w:r>
      <w:r w:rsidRPr="00872B70">
        <w:t>.”</w:t>
      </w:r>
    </w:p>
    <w:p w14:paraId="0865241B" w14:textId="1EC9A6D0" w:rsidR="00F861CF" w:rsidRPr="00EF0801" w:rsidRDefault="00F861CF" w:rsidP="00390EE3">
      <w:pPr>
        <w:pStyle w:val="APDCompleteStar"/>
      </w:pPr>
      <w:r w:rsidRPr="00EF0801">
        <w:t>Complete “Feed Zone” only if “DRE Previous Test” is “</w:t>
      </w:r>
      <w:r w:rsidR="00B42127">
        <w:t>YES</w:t>
      </w:r>
      <w:r w:rsidRPr="00EF0801">
        <w:t>.”</w:t>
      </w:r>
    </w:p>
    <w:p w14:paraId="2B26E6EB" w14:textId="77777777" w:rsidR="00F861CF" w:rsidRPr="00EF0801" w:rsidRDefault="00F861CF" w:rsidP="00DA79B2">
      <w:pPr>
        <w:pStyle w:val="APDStrong"/>
      </w:pPr>
      <w:r w:rsidRPr="00EF0801">
        <w:t>Feed Zone</w:t>
      </w:r>
      <w:r w:rsidRPr="00E56C74">
        <w:rPr>
          <w:bCs/>
        </w:rPr>
        <w:t>:</w:t>
      </w:r>
    </w:p>
    <w:p w14:paraId="0E758750" w14:textId="32519865" w:rsidR="005866AA" w:rsidRPr="00872B70" w:rsidRDefault="00F861CF" w:rsidP="00872B70">
      <w:pPr>
        <w:pStyle w:val="APDBodyText"/>
      </w:pPr>
      <w:r w:rsidRPr="00872B70">
        <w:t>Enter “</w:t>
      </w:r>
      <w:r w:rsidR="00B42127">
        <w:t>YES</w:t>
      </w:r>
      <w:r w:rsidRPr="00872B70">
        <w:t>” if the source feeds waste at a location other than the normal flame zone. Otherwise, enter “</w:t>
      </w:r>
      <w:r w:rsidR="00B42127">
        <w:t>NO</w:t>
      </w:r>
      <w:r w:rsidRPr="00872B70">
        <w:t>.”</w:t>
      </w:r>
    </w:p>
    <w:p w14:paraId="05CF5296" w14:textId="77777777" w:rsidR="00F861CF" w:rsidRPr="00EF0801" w:rsidRDefault="00F861CF" w:rsidP="00B9031E">
      <w:pPr>
        <w:pBdr>
          <w:bottom w:val="double" w:sz="6" w:space="1" w:color="auto"/>
        </w:pBdr>
        <w:spacing w:after="120"/>
      </w:pPr>
    </w:p>
    <w:bookmarkStart w:id="108" w:name="Table_11"/>
    <w:p w14:paraId="284596F9" w14:textId="26637FC9" w:rsidR="00F861CF" w:rsidRPr="00A53324" w:rsidRDefault="007F01F9" w:rsidP="002C7C54">
      <w:pPr>
        <w:pStyle w:val="APDChapterTitles"/>
        <w:rPr>
          <w:rStyle w:val="APDTableChapterChar"/>
          <w:rFonts w:eastAsia="Calibri"/>
          <w:b/>
          <w:bCs w:val="0"/>
        </w:rPr>
      </w:pPr>
      <w:r w:rsidRPr="00272CEA">
        <w:rPr>
          <w:rStyle w:val="Hyperlink"/>
          <w:rFonts w:eastAsia="Calibri"/>
          <w:b/>
          <w:bCs w:val="0"/>
        </w:rPr>
        <w:fldChar w:fldCharType="begin"/>
      </w:r>
      <w:r w:rsidR="00AB6ED7" w:rsidRPr="00272CEA">
        <w:rPr>
          <w:rStyle w:val="Hyperlink"/>
          <w:rFonts w:eastAsia="Calibri"/>
          <w:b/>
          <w:bCs w:val="0"/>
        </w:rPr>
        <w:instrText>HYPERLINK  \l "TBL_11" \o "Table 11"</w:instrText>
      </w:r>
      <w:r w:rsidRPr="00272CEA">
        <w:rPr>
          <w:rStyle w:val="Hyperlink"/>
          <w:rFonts w:eastAsia="Calibri"/>
          <w:b/>
          <w:bCs w:val="0"/>
        </w:rPr>
      </w:r>
      <w:r w:rsidRPr="00272CEA">
        <w:rPr>
          <w:rStyle w:val="Hyperlink"/>
          <w:rFonts w:eastAsia="Calibri"/>
          <w:b/>
          <w:bCs w:val="0"/>
        </w:rPr>
        <w:fldChar w:fldCharType="separate"/>
      </w:r>
      <w:bookmarkStart w:id="109" w:name="_Toc180398513"/>
      <w:bookmarkStart w:id="110" w:name="_Toc180398567"/>
      <w:r w:rsidR="00F861CF" w:rsidRPr="00272CEA">
        <w:rPr>
          <w:rStyle w:val="Hyperlink"/>
          <w:rFonts w:eastAsia="Calibri"/>
          <w:b/>
          <w:bCs w:val="0"/>
        </w:rPr>
        <w:t>Table 11</w:t>
      </w:r>
      <w:r w:rsidRPr="00272CEA">
        <w:rPr>
          <w:rStyle w:val="Hyperlink"/>
          <w:rFonts w:eastAsia="Calibri"/>
          <w:b/>
          <w:bCs w:val="0"/>
        </w:rPr>
        <w:fldChar w:fldCharType="end"/>
      </w:r>
      <w:r w:rsidR="00F861CF" w:rsidRPr="00272CEA">
        <w:rPr>
          <w:rStyle w:val="Hyperlink"/>
          <w:rFonts w:eastAsia="Calibri"/>
          <w:b/>
          <w:bCs w:val="0"/>
        </w:rPr>
        <w:t>:</w:t>
      </w:r>
      <w:bookmarkEnd w:id="108"/>
      <w:r w:rsidR="00F861CF" w:rsidRPr="00EF0801">
        <w:rPr>
          <w:rFonts w:eastAsia="Calibri"/>
          <w:szCs w:val="20"/>
        </w:rPr>
        <w:tab/>
      </w:r>
      <w:r w:rsidR="00F861CF" w:rsidRPr="00A53324">
        <w:rPr>
          <w:rStyle w:val="APDTableChapterChar"/>
          <w:rFonts w:eastAsia="Calibri"/>
          <w:b/>
        </w:rPr>
        <w:t>Title 30 Texas Administrative Code Chapter 111 (30 TAC Chapter 111)</w:t>
      </w:r>
      <w:r w:rsidR="0098649D" w:rsidRPr="00A53324">
        <w:rPr>
          <w:rStyle w:val="APDTableChapterChar"/>
          <w:rFonts w:eastAsia="Calibri"/>
          <w:b/>
        </w:rPr>
        <w:t xml:space="preserve">, </w:t>
      </w:r>
      <w:r w:rsidR="00F861CF" w:rsidRPr="00A53324">
        <w:rPr>
          <w:rStyle w:val="APDTableChapterChar"/>
          <w:rFonts w:eastAsia="Calibri"/>
          <w:b/>
        </w:rPr>
        <w:t>Subchapter A</w:t>
      </w:r>
      <w:r w:rsidR="00270BF5" w:rsidRPr="00A53324">
        <w:rPr>
          <w:rStyle w:val="APDTableChapterChar"/>
          <w:rFonts w:eastAsia="Calibri"/>
          <w:b/>
        </w:rPr>
        <w:t>:</w:t>
      </w:r>
      <w:r w:rsidR="00F861CF" w:rsidRPr="00A53324">
        <w:rPr>
          <w:rStyle w:val="APDTableChapterChar"/>
          <w:rFonts w:eastAsia="Calibri"/>
          <w:b/>
        </w:rPr>
        <w:t xml:space="preserve"> Division 2: Incineration</w:t>
      </w:r>
      <w:bookmarkEnd w:id="109"/>
      <w:bookmarkEnd w:id="110"/>
    </w:p>
    <w:p w14:paraId="10BDA527" w14:textId="09514D23" w:rsidR="00F861CF" w:rsidRPr="00591C75" w:rsidRDefault="00F861CF" w:rsidP="00591C75">
      <w:pPr>
        <w:pStyle w:val="APDStrong"/>
      </w:pPr>
      <w:r w:rsidRPr="00591C75">
        <w:t xml:space="preserve">Unit ID </w:t>
      </w:r>
      <w:r w:rsidR="00B42127">
        <w:t>N</w:t>
      </w:r>
      <w:r w:rsidR="008E0159">
        <w:t>o</w:t>
      </w:r>
      <w:r w:rsidRPr="00591C75">
        <w:t>.:</w:t>
      </w:r>
    </w:p>
    <w:p w14:paraId="567582B6" w14:textId="39097FFC" w:rsidR="00F861CF" w:rsidRPr="00AF161D" w:rsidRDefault="00F861CF" w:rsidP="00AF161D">
      <w:pPr>
        <w:pStyle w:val="APDBodyText"/>
      </w:pPr>
      <w:r w:rsidRPr="00AF161D">
        <w:t xml:space="preserve">Enter the identification number (ID </w:t>
      </w:r>
      <w:r w:rsidR="00B42127">
        <w:t>N</w:t>
      </w:r>
      <w:r w:rsidR="005667BA">
        <w:t>o</w:t>
      </w:r>
      <w:r w:rsidRPr="00AF161D">
        <w:t>.) for the unit (maximum 10 characters) as li</w:t>
      </w:r>
      <w:r w:rsidR="00AE143D" w:rsidRPr="00AF161D">
        <w:t>sted on Form OP</w:t>
      </w:r>
      <w:r w:rsidR="00AE143D" w:rsidRPr="00AF161D">
        <w:noBreakHyphen/>
        <w:t>SUM (Individual</w:t>
      </w:r>
      <w:r w:rsidR="00811EB2" w:rsidRPr="00AF161D">
        <w:t> </w:t>
      </w:r>
      <w:r w:rsidRPr="00AF161D">
        <w:t>Unit Summary).</w:t>
      </w:r>
    </w:p>
    <w:p w14:paraId="75246D23" w14:textId="645606EB" w:rsidR="00F861CF" w:rsidRPr="00591C75" w:rsidRDefault="00F861CF" w:rsidP="00591C75">
      <w:pPr>
        <w:pStyle w:val="APDStrong"/>
      </w:pPr>
      <w:r w:rsidRPr="00591C75">
        <w:t xml:space="preserve">SOP Index </w:t>
      </w:r>
      <w:r w:rsidR="00B42127">
        <w:t>N</w:t>
      </w:r>
      <w:r w:rsidR="008E0159">
        <w:t>o</w:t>
      </w:r>
      <w:r w:rsidRPr="00591C75">
        <w:t>.:</w:t>
      </w:r>
    </w:p>
    <w:p w14:paraId="117BBC92" w14:textId="0B275DE7" w:rsidR="00F861CF" w:rsidRPr="00EF0801" w:rsidRDefault="00F861CF" w:rsidP="00AF161D">
      <w:pPr>
        <w:pStyle w:val="APDBodyText"/>
      </w:pPr>
      <w:r w:rsidRPr="00AF161D">
        <w:t xml:space="preserve">Site operating permit (SOP) applicants should indicate the SOP index number for the </w:t>
      </w:r>
      <w:r w:rsidR="00AE143D" w:rsidRPr="00AF161D">
        <w:t>unit or group of units (maximum</w:t>
      </w:r>
      <w:r w:rsidR="00811EB2" w:rsidRPr="00AF161D">
        <w:t> </w:t>
      </w:r>
      <w:r w:rsidR="00AE143D" w:rsidRPr="00AF161D">
        <w:t>15</w:t>
      </w:r>
      <w:r w:rsidR="00811EB2" w:rsidRPr="00AF161D">
        <w:t> </w:t>
      </w:r>
      <w:r w:rsidRPr="00AF161D">
        <w:t xml:space="preserve">characters consisting of numeric, alphanumeric characters, and/or dashes prefixed by a code for the applicable regulation [i.e., 60KB-XXXX]). </w:t>
      </w:r>
      <w:r w:rsidR="00CC2143" w:rsidRPr="00AF161D">
        <w:t>For additional information relating to SOP index numbers, please see the Completing FOP Applications – Additional Guidance on the TCEQ website at</w:t>
      </w:r>
      <w:r w:rsidR="00CC2143" w:rsidRPr="00EF0801">
        <w:t xml:space="preserve"> </w:t>
      </w:r>
      <w:hyperlink r:id="rId39" w:tooltip="TCEQ - Completing FOP Applications - Additional Guidance" w:history="1">
        <w:r w:rsidR="00EE6447" w:rsidRPr="00F51613">
          <w:rPr>
            <w:rStyle w:val="Hyperlink"/>
          </w:rPr>
          <w:t>www.tceq.texas.gov/permitting/air/guidance/titlev/tv_fop_guidance.html</w:t>
        </w:r>
      </w:hyperlink>
      <w:r w:rsidR="00CC2143" w:rsidRPr="00EF0801">
        <w:t>.</w:t>
      </w:r>
    </w:p>
    <w:p w14:paraId="52FDF365" w14:textId="77777777" w:rsidR="00F861CF" w:rsidRPr="00591C75" w:rsidRDefault="00F861CF" w:rsidP="00591C75">
      <w:pPr>
        <w:pStyle w:val="APDStrong"/>
      </w:pPr>
      <w:r w:rsidRPr="00591C75">
        <w:t>Hazardous Waste:</w:t>
      </w:r>
    </w:p>
    <w:p w14:paraId="736F5908" w14:textId="22E8FD40" w:rsidR="00F861CF" w:rsidRPr="00AF161D" w:rsidRDefault="00F861CF" w:rsidP="00AF161D">
      <w:pPr>
        <w:pStyle w:val="APDBodyText"/>
      </w:pPr>
      <w:r w:rsidRPr="00AF161D">
        <w:t>Enter “</w:t>
      </w:r>
      <w:r w:rsidR="00B42127">
        <w:t>YES</w:t>
      </w:r>
      <w:r w:rsidRPr="00AF161D">
        <w:t>” if the unit combusts hazardous waste as a fuel for energy recovery and the facility accepts hazardous waste as a fuel from off-site sources which involves a commercial transaction or a change of ownership of the waste and the facility is not regulated at 40 CFR Part 264 or 265, Subpart O. Otherwise, enter “</w:t>
      </w:r>
      <w:r w:rsidR="00B42127">
        <w:t>NO</w:t>
      </w:r>
      <w:r w:rsidRPr="00AF161D">
        <w:t>.”</w:t>
      </w:r>
    </w:p>
    <w:p w14:paraId="11B784F7" w14:textId="38B39877" w:rsidR="00F861CF" w:rsidRPr="00EF0801" w:rsidRDefault="00F861CF" w:rsidP="00FD7888">
      <w:pPr>
        <w:pStyle w:val="APDContinueTriangle"/>
      </w:pPr>
      <w:r w:rsidRPr="00EF0801">
        <w:t>Continue only if “Hazardous Waste” is “</w:t>
      </w:r>
      <w:r w:rsidR="00B42127">
        <w:t>YES</w:t>
      </w:r>
      <w:r w:rsidRPr="00EF0801">
        <w:t>.”</w:t>
      </w:r>
    </w:p>
    <w:p w14:paraId="4874B15A" w14:textId="77777777" w:rsidR="00F861CF" w:rsidRPr="00591C75" w:rsidRDefault="00F861CF" w:rsidP="00591C75">
      <w:pPr>
        <w:pStyle w:val="APDStrong"/>
      </w:pPr>
      <w:r w:rsidRPr="00591C75">
        <w:t>Monitor:</w:t>
      </w:r>
    </w:p>
    <w:p w14:paraId="031C2C2B" w14:textId="77777777" w:rsidR="00FC0A8D" w:rsidRDefault="00F861CF" w:rsidP="00AF161D">
      <w:pPr>
        <w:pStyle w:val="APDBodyText"/>
        <w:sectPr w:rsidR="00FC0A8D" w:rsidSect="0031268E">
          <w:pgSz w:w="12240" w:h="15840" w:code="1"/>
          <w:pgMar w:top="720" w:right="720" w:bottom="720" w:left="720" w:header="720" w:footer="720" w:gutter="0"/>
          <w:cols w:space="720"/>
          <w:titlePg/>
          <w:docGrid w:linePitch="360"/>
        </w:sectPr>
      </w:pPr>
      <w:r w:rsidRPr="00AF161D">
        <w:t>Enter “</w:t>
      </w:r>
      <w:r w:rsidR="00B42127">
        <w:t>YES</w:t>
      </w:r>
      <w:r w:rsidRPr="00AF161D">
        <w:t>” if the unit has a continuous opacity or carbon monoxide monitor (or equi</w:t>
      </w:r>
      <w:r w:rsidR="00B9031E" w:rsidRPr="00AF161D">
        <w:t>valent). Otherwise, enter “</w:t>
      </w:r>
      <w:r w:rsidR="00B42127">
        <w:t>NO</w:t>
      </w:r>
      <w:r w:rsidR="00B9031E" w:rsidRPr="00AF161D">
        <w:t>.”</w:t>
      </w:r>
    </w:p>
    <w:p w14:paraId="73EE0585" w14:textId="77777777" w:rsidR="00F861CF" w:rsidRPr="00EF0801" w:rsidRDefault="00F861CF" w:rsidP="00F861CF">
      <w:pPr>
        <w:pBdr>
          <w:bottom w:val="double" w:sz="6" w:space="1" w:color="auto"/>
        </w:pBdr>
      </w:pPr>
    </w:p>
    <w:bookmarkStart w:id="111" w:name="Table_12"/>
    <w:p w14:paraId="511B6460" w14:textId="51BDC041" w:rsidR="00F861CF" w:rsidRPr="00AD148F" w:rsidRDefault="007F01F9" w:rsidP="002C7C54">
      <w:pPr>
        <w:pStyle w:val="APDChapterTitles"/>
        <w:rPr>
          <w:rStyle w:val="APDTableChapterChar"/>
          <w:rFonts w:eastAsia="Calibri"/>
        </w:rPr>
      </w:pPr>
      <w:r w:rsidRPr="00272CEA">
        <w:rPr>
          <w:rStyle w:val="Hyperlink"/>
          <w:rFonts w:eastAsia="Calibri"/>
          <w:b/>
          <w:bCs w:val="0"/>
        </w:rPr>
        <w:fldChar w:fldCharType="begin"/>
      </w:r>
      <w:r w:rsidR="00AB6ED7" w:rsidRPr="00272CEA">
        <w:rPr>
          <w:rStyle w:val="Hyperlink"/>
          <w:rFonts w:eastAsia="Calibri"/>
          <w:b/>
          <w:bCs w:val="0"/>
        </w:rPr>
        <w:instrText>HYPERLINK  \l "TBL_12" \o "Table 12"</w:instrText>
      </w:r>
      <w:r w:rsidRPr="00272CEA">
        <w:rPr>
          <w:rStyle w:val="Hyperlink"/>
          <w:rFonts w:eastAsia="Calibri"/>
          <w:b/>
          <w:bCs w:val="0"/>
        </w:rPr>
      </w:r>
      <w:r w:rsidRPr="00272CEA">
        <w:rPr>
          <w:rStyle w:val="Hyperlink"/>
          <w:rFonts w:eastAsia="Calibri"/>
          <w:b/>
          <w:bCs w:val="0"/>
        </w:rPr>
        <w:fldChar w:fldCharType="separate"/>
      </w:r>
      <w:bookmarkStart w:id="112" w:name="_Toc180398514"/>
      <w:bookmarkStart w:id="113" w:name="_Toc180398568"/>
      <w:r w:rsidR="00F861CF" w:rsidRPr="00272CEA">
        <w:rPr>
          <w:rStyle w:val="Hyperlink"/>
          <w:rFonts w:eastAsia="Calibri"/>
          <w:b/>
          <w:bCs w:val="0"/>
        </w:rPr>
        <w:t>Table 12</w:t>
      </w:r>
      <w:r w:rsidRPr="00272CEA">
        <w:rPr>
          <w:rStyle w:val="Hyperlink"/>
          <w:rFonts w:eastAsia="Calibri"/>
          <w:b/>
          <w:bCs w:val="0"/>
        </w:rPr>
        <w:fldChar w:fldCharType="end"/>
      </w:r>
      <w:r w:rsidR="00F861CF" w:rsidRPr="00272CEA">
        <w:rPr>
          <w:rStyle w:val="Hyperlink"/>
          <w:rFonts w:eastAsia="Calibri"/>
          <w:b/>
          <w:bCs w:val="0"/>
        </w:rPr>
        <w:t>:</w:t>
      </w:r>
      <w:bookmarkEnd w:id="111"/>
      <w:r w:rsidR="00F861CF" w:rsidRPr="00EF0801">
        <w:rPr>
          <w:rFonts w:eastAsia="Calibri"/>
          <w:szCs w:val="20"/>
        </w:rPr>
        <w:tab/>
      </w:r>
      <w:r w:rsidR="00F861CF" w:rsidRPr="004E7007">
        <w:rPr>
          <w:rStyle w:val="APDTableChapterChar"/>
          <w:rFonts w:eastAsia="Calibri"/>
          <w:b/>
        </w:rPr>
        <w:t>Title 30 Texas Administrative Code Chapter 111 (30 TAC Chapter 111)</w:t>
      </w:r>
      <w:r w:rsidR="0098649D" w:rsidRPr="004E7007">
        <w:rPr>
          <w:rStyle w:val="APDTableChapterChar"/>
          <w:rFonts w:eastAsia="Calibri"/>
          <w:b/>
        </w:rPr>
        <w:t xml:space="preserve">, </w:t>
      </w:r>
      <w:r w:rsidR="00F861CF" w:rsidRPr="004E7007">
        <w:rPr>
          <w:rStyle w:val="APDTableChapterChar"/>
          <w:rFonts w:eastAsia="Calibri"/>
          <w:b/>
        </w:rPr>
        <w:t>Subchapter A</w:t>
      </w:r>
      <w:r w:rsidR="00270BF5" w:rsidRPr="004E7007">
        <w:rPr>
          <w:rStyle w:val="APDTableChapterChar"/>
          <w:rFonts w:eastAsia="Calibri"/>
          <w:b/>
        </w:rPr>
        <w:t>:</w:t>
      </w:r>
      <w:r w:rsidR="00AC69B5" w:rsidRPr="004E7007">
        <w:rPr>
          <w:rStyle w:val="APDTableChapterChar"/>
          <w:rFonts w:eastAsia="Calibri"/>
          <w:b/>
        </w:rPr>
        <w:t>Division 5:  Emission Limits on Nonagricultural Processes</w:t>
      </w:r>
      <w:bookmarkEnd w:id="112"/>
      <w:bookmarkEnd w:id="113"/>
    </w:p>
    <w:p w14:paraId="22E68F25" w14:textId="77777777" w:rsidR="00F861CF" w:rsidRPr="00EF0801" w:rsidRDefault="00F861CF" w:rsidP="00390EE3">
      <w:pPr>
        <w:pStyle w:val="APDCompleteStar"/>
      </w:pPr>
      <w:r w:rsidRPr="00EF0801">
        <w:t>Complete this table only for solid fossil fuel-fired steam generators or oil or gas fuel-fired steam generators with a heat input greater than 2,500 million Btu per hour that have to address periodic monitoring (PM) or compliance assurance monitoring (CAM) requirements for 30 TAC Chapter 111, Nonagricultural Processes. Sources that do not have to address PM or CAM for this regulation are covered on form OP-REQ1.</w:t>
      </w:r>
    </w:p>
    <w:p w14:paraId="020E30DF" w14:textId="77777777" w:rsidR="00F861CF" w:rsidRPr="0053478B" w:rsidRDefault="00F861CF" w:rsidP="0053478B">
      <w:pPr>
        <w:pStyle w:val="APDBodyTextItalics"/>
      </w:pPr>
      <w:r w:rsidRPr="0053478B">
        <w:t>Steam generators that meet the applicability of CAM:</w:t>
      </w:r>
    </w:p>
    <w:p w14:paraId="757597DA" w14:textId="77777777" w:rsidR="00F861CF" w:rsidRPr="00F13E65" w:rsidRDefault="00F861CF" w:rsidP="00F13E65">
      <w:pPr>
        <w:pStyle w:val="APDBulletList038076"/>
      </w:pPr>
      <w:r w:rsidRPr="00F13E65">
        <w:t>Have a pre-control potential to emit that equals or exceeds the major source threshold for particulate matter; and</w:t>
      </w:r>
    </w:p>
    <w:p w14:paraId="3B4F72EB" w14:textId="77777777" w:rsidR="00F861CF" w:rsidRPr="00F13E65" w:rsidRDefault="00F861CF" w:rsidP="00F13E65">
      <w:pPr>
        <w:pStyle w:val="APDBulletList038076"/>
      </w:pPr>
      <w:r w:rsidRPr="00F13E65">
        <w:t>Use a control device to meet the particulate matter emission limit specified in 30 TAC §111.153(b) or (c).</w:t>
      </w:r>
    </w:p>
    <w:p w14:paraId="71F8815A" w14:textId="77777777" w:rsidR="00F861CF" w:rsidRPr="0053478B" w:rsidRDefault="00F861CF" w:rsidP="0053478B">
      <w:pPr>
        <w:pStyle w:val="APDBodyTextItalics"/>
      </w:pPr>
      <w:r w:rsidRPr="0053478B">
        <w:t>Steam generators that are not subject to CAM may require periodic monitoring for assuring compliance with the particulate matter emission limit in 30 TAC §111.153(b) or (c). Periodic monitoring is required for all steam generators where the actual emissions of particulate matter exceed 50 tons per year.</w:t>
      </w:r>
    </w:p>
    <w:p w14:paraId="65874DAF" w14:textId="3A418F09" w:rsidR="00D108F5" w:rsidRPr="0053478B" w:rsidRDefault="00F861CF" w:rsidP="0053478B">
      <w:pPr>
        <w:pStyle w:val="APDBodyTextItalics"/>
      </w:pPr>
      <w:r w:rsidRPr="0053478B">
        <w:t>CAM and periodic monitoring requirements must be submitted separately on form OP-MON.</w:t>
      </w:r>
    </w:p>
    <w:p w14:paraId="12BC134F" w14:textId="660EDDFD" w:rsidR="00F861CF" w:rsidRPr="00DA79B2" w:rsidRDefault="00F861CF" w:rsidP="00DA79B2">
      <w:pPr>
        <w:pStyle w:val="APDStrong"/>
      </w:pPr>
      <w:r w:rsidRPr="00DA79B2">
        <w:t xml:space="preserve">Unit ID </w:t>
      </w:r>
      <w:r w:rsidR="00B42127">
        <w:t>N</w:t>
      </w:r>
      <w:r w:rsidR="008E0159">
        <w:t>o</w:t>
      </w:r>
      <w:r w:rsidRPr="00DA79B2">
        <w:t>.:</w:t>
      </w:r>
    </w:p>
    <w:p w14:paraId="7B97F257" w14:textId="0CE49D8D" w:rsidR="00437B31" w:rsidRPr="00AF161D" w:rsidRDefault="00F861CF" w:rsidP="00AF161D">
      <w:pPr>
        <w:pStyle w:val="APDBodyText"/>
      </w:pPr>
      <w:r w:rsidRPr="00AF161D">
        <w:t xml:space="preserve">Enter the identification number (ID </w:t>
      </w:r>
      <w:r w:rsidR="00B42127">
        <w:t>N</w:t>
      </w:r>
      <w:r w:rsidR="005667BA">
        <w:t>o</w:t>
      </w:r>
      <w:r w:rsidRPr="00AF161D">
        <w:t>.) for the unit (maximum 10 characters) as li</w:t>
      </w:r>
      <w:r w:rsidR="00B9031E" w:rsidRPr="00AF161D">
        <w:t>sted on Form OP-SUM (Individual</w:t>
      </w:r>
      <w:r w:rsidR="00811EB2" w:rsidRPr="00AF161D">
        <w:t> </w:t>
      </w:r>
      <w:r w:rsidRPr="00AF161D">
        <w:t>Unit Summary).</w:t>
      </w:r>
    </w:p>
    <w:p w14:paraId="00571C54" w14:textId="066ED040" w:rsidR="00F861CF" w:rsidRPr="00DA79B2" w:rsidRDefault="00F861CF" w:rsidP="00DA79B2">
      <w:pPr>
        <w:pStyle w:val="APDStrong"/>
      </w:pPr>
      <w:r w:rsidRPr="00DA79B2">
        <w:t xml:space="preserve">SOP Index </w:t>
      </w:r>
      <w:r w:rsidR="00B42127">
        <w:t>N</w:t>
      </w:r>
      <w:r w:rsidR="008E0159">
        <w:t>o</w:t>
      </w:r>
      <w:r w:rsidRPr="00DA79B2">
        <w:t>.:</w:t>
      </w:r>
    </w:p>
    <w:p w14:paraId="28E67D30" w14:textId="118BED0A" w:rsidR="00F861CF" w:rsidRPr="00EF0801" w:rsidRDefault="00F861CF" w:rsidP="001E3523">
      <w:pPr>
        <w:pStyle w:val="APDBodyText"/>
        <w:rPr>
          <w:b/>
        </w:rPr>
      </w:pPr>
      <w:r w:rsidRPr="001E3523">
        <w:t xml:space="preserve">Site operating permit (SOP) applicants should indicate the SOP index number for the </w:t>
      </w:r>
      <w:r w:rsidR="00B9031E" w:rsidRPr="001E3523">
        <w:t>unit or group of units (maximum</w:t>
      </w:r>
      <w:r w:rsidR="00811EB2" w:rsidRPr="001E3523">
        <w:t> </w:t>
      </w:r>
      <w:r w:rsidR="00B9031E" w:rsidRPr="001E3523">
        <w:t>15</w:t>
      </w:r>
      <w:r w:rsidR="00811EB2" w:rsidRPr="001E3523">
        <w:t> </w:t>
      </w:r>
      <w:r w:rsidRPr="001E3523">
        <w:t xml:space="preserve">characters consisting of numeric, alphanumeric characters, and/or dashes prefixed by a code for the applicable regulation [i.e., 60KB-XXXX]). </w:t>
      </w:r>
      <w:r w:rsidR="00CC2143" w:rsidRPr="001E3523">
        <w:t xml:space="preserve">For additional information relating to SOP index numbers, please see the Completing FOP Applications – Additional Guidance on the TCEQ website at </w:t>
      </w:r>
      <w:hyperlink r:id="rId40" w:tooltip="TCEQ - Completing FOP Applications - Additional Guidance" w:history="1">
        <w:r w:rsidR="00EE6447" w:rsidRPr="00F51613">
          <w:rPr>
            <w:rStyle w:val="Hyperlink"/>
          </w:rPr>
          <w:t>www.tceq.texas.gov/permitting/air/guidance/titlev/tv_fop_guidance.html</w:t>
        </w:r>
      </w:hyperlink>
      <w:r w:rsidR="00CC2143" w:rsidRPr="00EF0801">
        <w:t>.</w:t>
      </w:r>
    </w:p>
    <w:p w14:paraId="2D5D5688" w14:textId="77777777" w:rsidR="00F861CF" w:rsidRPr="00DA79B2" w:rsidRDefault="00F861CF" w:rsidP="00DA79B2">
      <w:pPr>
        <w:pStyle w:val="APDStrong"/>
      </w:pPr>
      <w:r w:rsidRPr="00DA79B2">
        <w:t>Source Type:</w:t>
      </w:r>
    </w:p>
    <w:p w14:paraId="70CD7B31" w14:textId="77777777" w:rsidR="00F861CF" w:rsidRDefault="00F861CF" w:rsidP="001E3523">
      <w:pPr>
        <w:pStyle w:val="APDBodyText"/>
      </w:pPr>
      <w:r w:rsidRPr="001E3523">
        <w:t>Select one of the following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55F73" w14:paraId="0D4DDE7C" w14:textId="77777777" w:rsidTr="00C46FA5">
        <w:trPr>
          <w:cantSplit/>
          <w:tblHeader/>
        </w:trPr>
        <w:tc>
          <w:tcPr>
            <w:tcW w:w="1530" w:type="dxa"/>
          </w:tcPr>
          <w:p w14:paraId="7F7AA8FE" w14:textId="538B9468" w:rsidR="00A55F73" w:rsidRPr="00A55F73" w:rsidRDefault="00A55F73" w:rsidP="00A55F73">
            <w:pPr>
              <w:rPr>
                <w:b/>
                <w:bCs/>
              </w:rPr>
            </w:pPr>
            <w:r w:rsidRPr="00A55F73">
              <w:rPr>
                <w:b/>
                <w:bCs/>
              </w:rPr>
              <w:t>Code</w:t>
            </w:r>
          </w:p>
        </w:tc>
        <w:tc>
          <w:tcPr>
            <w:tcW w:w="8550" w:type="dxa"/>
          </w:tcPr>
          <w:p w14:paraId="1FB21149" w14:textId="2CC92CE1" w:rsidR="00A55F73" w:rsidRPr="00A55F73" w:rsidRDefault="00A55F73" w:rsidP="00A55F73">
            <w:pPr>
              <w:rPr>
                <w:b/>
                <w:bCs/>
              </w:rPr>
            </w:pPr>
            <w:r w:rsidRPr="00A55F73">
              <w:rPr>
                <w:b/>
                <w:bCs/>
              </w:rPr>
              <w:t>Description</w:t>
            </w:r>
          </w:p>
        </w:tc>
      </w:tr>
      <w:tr w:rsidR="00A55F73" w14:paraId="6BCEED27" w14:textId="77777777" w:rsidTr="00C46FA5">
        <w:trPr>
          <w:cantSplit/>
          <w:tblHeader/>
        </w:trPr>
        <w:tc>
          <w:tcPr>
            <w:tcW w:w="1530" w:type="dxa"/>
          </w:tcPr>
          <w:p w14:paraId="7F5D0107" w14:textId="3CCB7813" w:rsidR="00A55F73" w:rsidRDefault="00A55F73" w:rsidP="00A55F73">
            <w:r w:rsidRPr="00174281">
              <w:t>SOLID</w:t>
            </w:r>
          </w:p>
        </w:tc>
        <w:tc>
          <w:tcPr>
            <w:tcW w:w="8550" w:type="dxa"/>
          </w:tcPr>
          <w:p w14:paraId="2DFD5C69" w14:textId="64CA3D8D" w:rsidR="00A55F73" w:rsidRDefault="00A55F73" w:rsidP="00A55F73">
            <w:r w:rsidRPr="00174281">
              <w:t>Solid fossil fuel-fired steam generator</w:t>
            </w:r>
          </w:p>
        </w:tc>
      </w:tr>
      <w:tr w:rsidR="00A55F73" w14:paraId="089A0D3B" w14:textId="77777777" w:rsidTr="00C46FA5">
        <w:trPr>
          <w:cantSplit/>
          <w:tblHeader/>
        </w:trPr>
        <w:tc>
          <w:tcPr>
            <w:tcW w:w="1530" w:type="dxa"/>
          </w:tcPr>
          <w:p w14:paraId="7C6CD62B" w14:textId="3DA84375" w:rsidR="00A55F73" w:rsidRDefault="00A55F73" w:rsidP="00A55F73">
            <w:r w:rsidRPr="00174281">
              <w:t>OIL/GAS</w:t>
            </w:r>
          </w:p>
        </w:tc>
        <w:tc>
          <w:tcPr>
            <w:tcW w:w="8550" w:type="dxa"/>
          </w:tcPr>
          <w:p w14:paraId="76612A20" w14:textId="7B30B54B" w:rsidR="00A55F73" w:rsidRDefault="00A55F73" w:rsidP="00A55F73">
            <w:r w:rsidRPr="00174281">
              <w:t>Oil or gas fuel-fired steam generator with a heat input greater than 2,500 million Btu per hour</w:t>
            </w:r>
          </w:p>
        </w:tc>
      </w:tr>
    </w:tbl>
    <w:p w14:paraId="3F9283E0" w14:textId="77777777" w:rsidR="009764B8" w:rsidRPr="00EF0801" w:rsidRDefault="009764B8" w:rsidP="009764B8">
      <w:pPr>
        <w:pBdr>
          <w:bottom w:val="double" w:sz="4" w:space="1" w:color="auto"/>
        </w:pBdr>
      </w:pPr>
    </w:p>
    <w:bookmarkStart w:id="114" w:name="Table_13a"/>
    <w:p w14:paraId="5FE5C10E" w14:textId="7103A617" w:rsidR="009764B8" w:rsidRPr="00E3425E" w:rsidRDefault="007F01F9" w:rsidP="002C7C54">
      <w:pPr>
        <w:pStyle w:val="APDChapterTitles"/>
        <w:rPr>
          <w:rStyle w:val="APDTableChapterChar"/>
        </w:rPr>
      </w:pPr>
      <w:r w:rsidRPr="00DC253A">
        <w:rPr>
          <w:rStyle w:val="Hyperlink"/>
          <w:b/>
          <w:bCs w:val="0"/>
        </w:rPr>
        <w:fldChar w:fldCharType="begin"/>
      </w:r>
      <w:r w:rsidR="00176E8C" w:rsidRPr="00DC253A">
        <w:rPr>
          <w:rStyle w:val="Hyperlink"/>
          <w:b/>
          <w:bCs w:val="0"/>
        </w:rPr>
        <w:instrText>HYPERLINK  \l "TBL_13a" \o "Table 13a"</w:instrText>
      </w:r>
      <w:r w:rsidRPr="00DC253A">
        <w:rPr>
          <w:rStyle w:val="Hyperlink"/>
          <w:b/>
          <w:bCs w:val="0"/>
        </w:rPr>
      </w:r>
      <w:r w:rsidRPr="00DC253A">
        <w:rPr>
          <w:rStyle w:val="Hyperlink"/>
          <w:b/>
          <w:bCs w:val="0"/>
        </w:rPr>
        <w:fldChar w:fldCharType="separate"/>
      </w:r>
      <w:bookmarkStart w:id="115" w:name="_Toc180398515"/>
      <w:bookmarkStart w:id="116" w:name="_Toc180398569"/>
      <w:r w:rsidR="009764B8" w:rsidRPr="00DC253A">
        <w:rPr>
          <w:rStyle w:val="Hyperlink"/>
          <w:b/>
          <w:bCs w:val="0"/>
        </w:rPr>
        <w:t>Table 13a</w:t>
      </w:r>
      <w:r w:rsidRPr="00DC253A">
        <w:rPr>
          <w:rStyle w:val="Hyperlink"/>
          <w:b/>
          <w:bCs w:val="0"/>
        </w:rPr>
        <w:fldChar w:fldCharType="end"/>
      </w:r>
      <w:r w:rsidR="009764B8" w:rsidRPr="00DC253A">
        <w:rPr>
          <w:rStyle w:val="Hyperlink"/>
          <w:b/>
          <w:bCs w:val="0"/>
        </w:rPr>
        <w:t>:</w:t>
      </w:r>
      <w:bookmarkEnd w:id="114"/>
      <w:r w:rsidR="009764B8" w:rsidRPr="00EF0801">
        <w:tab/>
      </w:r>
      <w:r w:rsidR="009764B8" w:rsidRPr="00E3425E">
        <w:rPr>
          <w:rStyle w:val="APDTableChapterChar"/>
          <w:b/>
        </w:rPr>
        <w:t>Title 40 Code of Federal Regulations Part 63 (40 CFR Part 63)</w:t>
      </w:r>
      <w:r w:rsidR="00DF1B20" w:rsidRPr="00E3425E">
        <w:rPr>
          <w:rStyle w:val="APDTableChapterChar"/>
          <w:b/>
        </w:rPr>
        <w:t xml:space="preserve">, </w:t>
      </w:r>
      <w:r w:rsidR="009764B8" w:rsidRPr="00E3425E">
        <w:rPr>
          <w:rStyle w:val="APDTableChapterChar"/>
          <w:b/>
        </w:rPr>
        <w:t>Subpart UUUUU: Coal- and Oil</w:t>
      </w:r>
      <w:r w:rsidR="009434D4" w:rsidRPr="00E3425E">
        <w:rPr>
          <w:rStyle w:val="APDTableChapterChar"/>
          <w:b/>
        </w:rPr>
        <w:noBreakHyphen/>
      </w:r>
      <w:r w:rsidR="009764B8" w:rsidRPr="00E3425E">
        <w:rPr>
          <w:rStyle w:val="APDTableChapterChar"/>
          <w:b/>
        </w:rPr>
        <w:t>Fired Electric Utility Steam Generating Units</w:t>
      </w:r>
      <w:bookmarkEnd w:id="115"/>
      <w:bookmarkEnd w:id="116"/>
    </w:p>
    <w:p w14:paraId="0C2C1267" w14:textId="6DAF45EC" w:rsidR="009764B8" w:rsidRPr="00E776AE" w:rsidRDefault="009764B8" w:rsidP="00390EE3">
      <w:pPr>
        <w:pStyle w:val="APDCompleteStar"/>
      </w:pPr>
      <w:r w:rsidRPr="00E776AE">
        <w:t xml:space="preserve">Complete this table for a </w:t>
      </w:r>
      <w:r w:rsidR="009434D4" w:rsidRPr="00E776AE">
        <w:t>coal fired</w:t>
      </w:r>
      <w:r w:rsidRPr="00E776AE">
        <w:t xml:space="preserve"> EGU or an oil-fired EGU defined in §63.10042</w:t>
      </w:r>
    </w:p>
    <w:p w14:paraId="11CAA481" w14:textId="4C7BB281" w:rsidR="009764B8" w:rsidRPr="00DA79B2" w:rsidRDefault="009764B8" w:rsidP="00DA79B2">
      <w:pPr>
        <w:pStyle w:val="APDStrong"/>
      </w:pPr>
      <w:r w:rsidRPr="00DA79B2">
        <w:t xml:space="preserve">Unit ID </w:t>
      </w:r>
      <w:r w:rsidR="00B42127">
        <w:t>N</w:t>
      </w:r>
      <w:r w:rsidR="008E0159">
        <w:t>o</w:t>
      </w:r>
      <w:r w:rsidRPr="00DA79B2">
        <w:t>.:</w:t>
      </w:r>
    </w:p>
    <w:p w14:paraId="2615AD5A" w14:textId="09D2C55A" w:rsidR="009764B8" w:rsidRPr="001E3523" w:rsidRDefault="009764B8" w:rsidP="001E3523">
      <w:pPr>
        <w:pStyle w:val="APDBodyText"/>
      </w:pPr>
      <w:r w:rsidRPr="001E3523">
        <w:t xml:space="preserve">Enter the identification number (ID </w:t>
      </w:r>
      <w:r w:rsidR="00B42127">
        <w:t>N</w:t>
      </w:r>
      <w:r w:rsidR="005667BA">
        <w:t>o</w:t>
      </w:r>
      <w:r w:rsidRPr="001E3523">
        <w:t>.) for the unit (maximum 10 characters) as listed on Form OP SUM (Individual</w:t>
      </w:r>
      <w:r w:rsidR="00811EB2" w:rsidRPr="001E3523">
        <w:t> </w:t>
      </w:r>
      <w:r w:rsidRPr="001E3523">
        <w:t>Unit Summary).</w:t>
      </w:r>
    </w:p>
    <w:p w14:paraId="28A809EC" w14:textId="6846D94E" w:rsidR="009764B8" w:rsidRPr="00DA79B2" w:rsidRDefault="009764B8" w:rsidP="00DA79B2">
      <w:pPr>
        <w:pStyle w:val="APDStrong"/>
      </w:pPr>
      <w:r w:rsidRPr="00DA79B2">
        <w:t xml:space="preserve">SOP Index </w:t>
      </w:r>
      <w:r w:rsidR="00B42127">
        <w:t>N</w:t>
      </w:r>
      <w:r w:rsidR="008E0159">
        <w:t>o</w:t>
      </w:r>
      <w:r w:rsidRPr="00DA79B2">
        <w:t>.:</w:t>
      </w:r>
    </w:p>
    <w:p w14:paraId="51916D5D" w14:textId="278C79CC" w:rsidR="009764B8" w:rsidRPr="00EF0801" w:rsidRDefault="009764B8" w:rsidP="001E3523">
      <w:pPr>
        <w:pStyle w:val="APDBodyText"/>
      </w:pPr>
      <w:r w:rsidRPr="001E3523">
        <w:t>Site operating permit (SOP) applicants should indicate the SOP index number for the unit or group of units (maximum</w:t>
      </w:r>
      <w:r w:rsidR="00811EB2" w:rsidRPr="001E3523">
        <w:t> </w:t>
      </w:r>
      <w:r w:rsidRPr="001E3523">
        <w:t>15</w:t>
      </w:r>
      <w:r w:rsidR="00811EB2" w:rsidRPr="001E3523">
        <w:t> </w:t>
      </w:r>
      <w:r w:rsidRPr="001E3523">
        <w:t xml:space="preserve">characters consisting of numeric, alphanumeric characters, and/or dashes prefixed by a code for the applicable regulation [i.e., 60KB-XXXX]). </w:t>
      </w:r>
      <w:r w:rsidR="00CC2143" w:rsidRPr="001E3523">
        <w:t xml:space="preserve">For additional information relating to SOP index numbers, please see the Completing FOP Applications – Additional Guidance on the TCEQ website at </w:t>
      </w:r>
      <w:hyperlink r:id="rId41" w:tooltip="TCEQ - Completing FOP Applications - Additional Guidance" w:history="1">
        <w:r w:rsidR="00EE6447" w:rsidRPr="00F51613">
          <w:rPr>
            <w:rStyle w:val="Hyperlink"/>
          </w:rPr>
          <w:t>www.tceq.texas.gov/permitting/air/guidance/titlev/tv_fop_guidance.html</w:t>
        </w:r>
      </w:hyperlink>
      <w:r w:rsidR="00CC2143" w:rsidRPr="00EF0801">
        <w:t>.</w:t>
      </w:r>
    </w:p>
    <w:p w14:paraId="48A23A0A" w14:textId="77777777" w:rsidR="00C46FA5" w:rsidRDefault="00C46FA5" w:rsidP="004B53E5">
      <w:pPr>
        <w:pStyle w:val="APDSections"/>
        <w:rPr>
          <w:rStyle w:val="APDQuestion"/>
          <w:b/>
        </w:rPr>
        <w:sectPr w:rsidR="00C46FA5" w:rsidSect="0031268E">
          <w:pgSz w:w="12240" w:h="15840" w:code="1"/>
          <w:pgMar w:top="720" w:right="720" w:bottom="720" w:left="720" w:header="720" w:footer="720" w:gutter="0"/>
          <w:cols w:space="720"/>
          <w:titlePg/>
          <w:docGrid w:linePitch="360"/>
        </w:sectPr>
      </w:pPr>
    </w:p>
    <w:p w14:paraId="531D5F54" w14:textId="5E6490A9" w:rsidR="009764B8" w:rsidRPr="00DA79B2" w:rsidRDefault="009764B8" w:rsidP="004B53E5">
      <w:pPr>
        <w:pStyle w:val="APDSections"/>
      </w:pPr>
      <w:r w:rsidRPr="00DA79B2">
        <w:rPr>
          <w:rStyle w:val="APDQuestion"/>
          <w:b/>
        </w:rPr>
        <w:lastRenderedPageBreak/>
        <w:t>§63.9983(a)</w:t>
      </w:r>
      <w:r w:rsidRPr="00DA79B2">
        <w:t>:</w:t>
      </w:r>
    </w:p>
    <w:p w14:paraId="25A5DA16" w14:textId="708CC689" w:rsidR="00DF1B20" w:rsidRPr="001E3523" w:rsidRDefault="009764B8" w:rsidP="001E3523">
      <w:pPr>
        <w:pStyle w:val="APDBodyText"/>
      </w:pPr>
      <w:r w:rsidRPr="001E3523">
        <w:t>Enter “</w:t>
      </w:r>
      <w:r w:rsidR="00B42127">
        <w:t>YES</w:t>
      </w:r>
      <w:r w:rsidRPr="001E3523">
        <w:t>” if the unit is designated a stationary combustion turbine, other t</w:t>
      </w:r>
      <w:r w:rsidR="008104EF" w:rsidRPr="001E3523">
        <w:t>han an IGCC unit, covered by 40</w:t>
      </w:r>
      <w:r w:rsidR="00E56C74" w:rsidRPr="001E3523">
        <w:t xml:space="preserve"> </w:t>
      </w:r>
      <w:r w:rsidRPr="001E3523">
        <w:t xml:space="preserve">CFR </w:t>
      </w:r>
      <w:r w:rsidR="00D43B5C" w:rsidRPr="001E3523">
        <w:t>P</w:t>
      </w:r>
      <w:r w:rsidRPr="001E3523">
        <w:t>art</w:t>
      </w:r>
      <w:r w:rsidR="00811EB2" w:rsidRPr="001E3523">
        <w:t> </w:t>
      </w:r>
      <w:r w:rsidRPr="001E3523">
        <w:t xml:space="preserve">63, </w:t>
      </w:r>
      <w:r w:rsidR="00D43B5C" w:rsidRPr="001E3523">
        <w:t>S</w:t>
      </w:r>
      <w:r w:rsidRPr="001E3523">
        <w:t>ubpart YYYY, per §63.9983(a). Otherwise, enter “</w:t>
      </w:r>
      <w:r w:rsidR="00B42127">
        <w:t>NO</w:t>
      </w:r>
      <w:r w:rsidR="00AF7E7E" w:rsidRPr="001E3523">
        <w:t>.</w:t>
      </w:r>
      <w:r w:rsidRPr="001E3523">
        <w:t>”</w:t>
      </w:r>
    </w:p>
    <w:p w14:paraId="0AFCE950" w14:textId="42453C0B" w:rsidR="009764B8" w:rsidRPr="00DA79B2" w:rsidRDefault="009764B8" w:rsidP="004B53E5">
      <w:pPr>
        <w:pStyle w:val="APDSections"/>
      </w:pPr>
      <w:r w:rsidRPr="00DA79B2">
        <w:t>§63.9983(b):</w:t>
      </w:r>
    </w:p>
    <w:p w14:paraId="238F5FCE" w14:textId="74008727" w:rsidR="009764B8" w:rsidRPr="001E3523" w:rsidRDefault="009764B8" w:rsidP="001E3523">
      <w:pPr>
        <w:pStyle w:val="APDBodyText"/>
      </w:pPr>
      <w:r w:rsidRPr="001E3523">
        <w:t>Enter “</w:t>
      </w:r>
      <w:r w:rsidR="00B42127">
        <w:t>YES</w:t>
      </w:r>
      <w:r w:rsidRPr="001E3523">
        <w:t>” if the unit is not coal- or oil-fired and combusts natural gas in accordance with §63.9983(b). Otherwise, enter</w:t>
      </w:r>
      <w:r w:rsidR="009434D4" w:rsidRPr="001E3523">
        <w:t> </w:t>
      </w:r>
      <w:r w:rsidRPr="001E3523">
        <w:t>“</w:t>
      </w:r>
      <w:r w:rsidR="00B42127">
        <w:t>NO</w:t>
      </w:r>
      <w:r w:rsidR="00AF7E7E" w:rsidRPr="001E3523">
        <w:t>.</w:t>
      </w:r>
      <w:r w:rsidRPr="001E3523">
        <w:t>”</w:t>
      </w:r>
    </w:p>
    <w:p w14:paraId="4E5B2F16" w14:textId="77777777" w:rsidR="009764B8" w:rsidRPr="00DA79B2" w:rsidRDefault="009764B8" w:rsidP="004B53E5">
      <w:pPr>
        <w:pStyle w:val="APDSections"/>
      </w:pPr>
      <w:r w:rsidRPr="00DA79B2">
        <w:t>§63.9983(c)</w:t>
      </w:r>
      <w:r w:rsidR="008104EF" w:rsidRPr="00DA79B2">
        <w:t>:</w:t>
      </w:r>
    </w:p>
    <w:p w14:paraId="1B2A4340" w14:textId="6E4962FC" w:rsidR="009764B8" w:rsidRPr="001E3523" w:rsidRDefault="009764B8" w:rsidP="001E3523">
      <w:pPr>
        <w:pStyle w:val="APDBodyText"/>
      </w:pPr>
      <w:r w:rsidRPr="001E3523">
        <w:t>Enter “</w:t>
      </w:r>
      <w:r w:rsidR="00B42127">
        <w:t>YES</w:t>
      </w:r>
      <w:r w:rsidRPr="001E3523">
        <w:t xml:space="preserve">” if the unit </w:t>
      </w:r>
      <w:r w:rsidR="007C1739" w:rsidRPr="001E3523">
        <w:t>can combust</w:t>
      </w:r>
      <w:r w:rsidRPr="001E3523">
        <w:t xml:space="preserve"> more than 25 MW of coal or oil but does so in accordance with §63.9983(c). Otherwise, enter “</w:t>
      </w:r>
      <w:r w:rsidR="00B42127">
        <w:t>NO</w:t>
      </w:r>
      <w:r w:rsidR="00AF7E7E" w:rsidRPr="001E3523">
        <w:t>.</w:t>
      </w:r>
      <w:r w:rsidRPr="001E3523">
        <w:t>”</w:t>
      </w:r>
    </w:p>
    <w:p w14:paraId="3F62A313" w14:textId="7CD9C61B" w:rsidR="009764B8" w:rsidRPr="00DA79B2" w:rsidRDefault="009764B8" w:rsidP="004B53E5">
      <w:pPr>
        <w:pStyle w:val="APDSections"/>
      </w:pPr>
      <w:r w:rsidRPr="00DA79B2">
        <w:t>§63.9983(d):</w:t>
      </w:r>
    </w:p>
    <w:p w14:paraId="4616EBEA" w14:textId="63B3380D" w:rsidR="009764B8" w:rsidRPr="001E3523" w:rsidRDefault="009764B8" w:rsidP="001E3523">
      <w:pPr>
        <w:pStyle w:val="APDBodyText"/>
      </w:pPr>
      <w:r w:rsidRPr="001E3523">
        <w:t>Enter “</w:t>
      </w:r>
      <w:r w:rsidR="00B42127">
        <w:t>YES</w:t>
      </w:r>
      <w:r w:rsidRPr="001E3523">
        <w:t>” if the unit combusts hazardous waste per §63.9983(d). Otherwise, enter “</w:t>
      </w:r>
      <w:r w:rsidR="00B42127">
        <w:t>NO</w:t>
      </w:r>
      <w:r w:rsidR="00AF7E7E" w:rsidRPr="001E3523">
        <w:t>.</w:t>
      </w:r>
      <w:r w:rsidRPr="001E3523">
        <w:t>”</w:t>
      </w:r>
    </w:p>
    <w:p w14:paraId="78654BF1" w14:textId="045A7D26" w:rsidR="009764B8" w:rsidRPr="00EF0801" w:rsidRDefault="009764B8" w:rsidP="00FD7888">
      <w:pPr>
        <w:pStyle w:val="APDContinueTriangle"/>
      </w:pPr>
      <w:r w:rsidRPr="00EF0801">
        <w:t>Continue only if “§63.9983(a), (b), (c) and (d)” are all “</w:t>
      </w:r>
      <w:r w:rsidR="00B42127">
        <w:t>NO</w:t>
      </w:r>
      <w:r w:rsidRPr="00EF0801">
        <w:t>.”</w:t>
      </w:r>
    </w:p>
    <w:p w14:paraId="611F57E2" w14:textId="7E202EA1" w:rsidR="009764B8" w:rsidRPr="00DA79B2" w:rsidRDefault="009764B8" w:rsidP="00DA79B2">
      <w:pPr>
        <w:pStyle w:val="APDStrong"/>
      </w:pPr>
      <w:r w:rsidRPr="00DA79B2">
        <w:t>Limited-use Liquid:</w:t>
      </w:r>
    </w:p>
    <w:p w14:paraId="0A7B5258" w14:textId="284D2F81" w:rsidR="009764B8" w:rsidRPr="001E3523" w:rsidRDefault="009764B8" w:rsidP="001E3523">
      <w:pPr>
        <w:pStyle w:val="APDBodyText"/>
      </w:pPr>
      <w:r w:rsidRPr="001E3523">
        <w:t>Enter “</w:t>
      </w:r>
      <w:r w:rsidR="00B42127">
        <w:t>YES</w:t>
      </w:r>
      <w:r w:rsidRPr="001E3523">
        <w:t>” if the unit qualifies as a limited-use liquid oil-fired unit as defined in §63.10042. Otherwise, enter “</w:t>
      </w:r>
      <w:r w:rsidR="00B42127">
        <w:t>NO</w:t>
      </w:r>
      <w:r w:rsidR="00AF7E7E" w:rsidRPr="001E3523">
        <w:t>.</w:t>
      </w:r>
      <w:r w:rsidRPr="001E3523">
        <w:t>”</w:t>
      </w:r>
    </w:p>
    <w:p w14:paraId="418049F9" w14:textId="153F3A65" w:rsidR="009764B8" w:rsidRPr="00EA726A" w:rsidRDefault="009764B8" w:rsidP="00EA726A">
      <w:pPr>
        <w:pStyle w:val="APDStrong"/>
      </w:pPr>
      <w:r w:rsidRPr="00EA726A">
        <w:rPr>
          <w:rStyle w:val="APDQuestion"/>
          <w:b/>
        </w:rPr>
        <w:t>Construction Status</w:t>
      </w:r>
      <w:r w:rsidRPr="00EA726A">
        <w:t>:</w:t>
      </w:r>
    </w:p>
    <w:p w14:paraId="71A2A0AF" w14:textId="77777777" w:rsidR="009764B8" w:rsidRDefault="009764B8" w:rsidP="000D30BB">
      <w:pPr>
        <w:pStyle w:val="APDBodyText"/>
      </w:pPr>
      <w:r w:rsidRPr="000D30BB">
        <w:t>Select one of the following options that describes the construction status.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220357" w14:paraId="5E438839" w14:textId="77777777" w:rsidTr="00220357">
        <w:trPr>
          <w:cantSplit/>
          <w:tblHeader/>
        </w:trPr>
        <w:tc>
          <w:tcPr>
            <w:tcW w:w="1530" w:type="dxa"/>
          </w:tcPr>
          <w:p w14:paraId="3C88E15C" w14:textId="53340DD0" w:rsidR="00220357" w:rsidRPr="00220357" w:rsidRDefault="00220357" w:rsidP="00220357">
            <w:pPr>
              <w:pStyle w:val="APDBodyText"/>
              <w:rPr>
                <w:b/>
                <w:bCs/>
              </w:rPr>
            </w:pPr>
            <w:r w:rsidRPr="00220357">
              <w:rPr>
                <w:b/>
                <w:bCs/>
              </w:rPr>
              <w:t>Code</w:t>
            </w:r>
          </w:p>
        </w:tc>
        <w:tc>
          <w:tcPr>
            <w:tcW w:w="8550" w:type="dxa"/>
          </w:tcPr>
          <w:p w14:paraId="6A3A6BB9" w14:textId="0F02D1A9" w:rsidR="00220357" w:rsidRPr="00220357" w:rsidRDefault="00220357" w:rsidP="00220357">
            <w:pPr>
              <w:pStyle w:val="APDBodyText"/>
              <w:rPr>
                <w:b/>
                <w:bCs/>
              </w:rPr>
            </w:pPr>
            <w:r w:rsidRPr="00220357">
              <w:rPr>
                <w:b/>
                <w:bCs/>
              </w:rPr>
              <w:t>Description</w:t>
            </w:r>
          </w:p>
        </w:tc>
      </w:tr>
      <w:tr w:rsidR="00220357" w14:paraId="3EB891DB" w14:textId="77777777" w:rsidTr="00220357">
        <w:trPr>
          <w:cantSplit/>
          <w:tblHeader/>
        </w:trPr>
        <w:tc>
          <w:tcPr>
            <w:tcW w:w="1530" w:type="dxa"/>
          </w:tcPr>
          <w:p w14:paraId="5FCDE1C0" w14:textId="7A3205DA" w:rsidR="00220357" w:rsidRDefault="00220357" w:rsidP="00220357">
            <w:pPr>
              <w:pStyle w:val="APDBodyText"/>
            </w:pPr>
            <w:r w:rsidRPr="00B71EFB">
              <w:t>NEW</w:t>
            </w:r>
          </w:p>
        </w:tc>
        <w:tc>
          <w:tcPr>
            <w:tcW w:w="8550" w:type="dxa"/>
          </w:tcPr>
          <w:p w14:paraId="785A63EE" w14:textId="6C1764A5" w:rsidR="00220357" w:rsidRDefault="00220357" w:rsidP="00220357">
            <w:pPr>
              <w:pStyle w:val="APDBodyText"/>
            </w:pPr>
            <w:r w:rsidRPr="00B71EFB">
              <w:t>The EGU is new (i.e. construction commenced after May 3, 2011 and meets the applicability criteria at the time construction commenced)</w:t>
            </w:r>
          </w:p>
        </w:tc>
      </w:tr>
      <w:tr w:rsidR="00220357" w14:paraId="4D4D1923" w14:textId="77777777" w:rsidTr="00220357">
        <w:trPr>
          <w:cantSplit/>
          <w:tblHeader/>
        </w:trPr>
        <w:tc>
          <w:tcPr>
            <w:tcW w:w="1530" w:type="dxa"/>
          </w:tcPr>
          <w:p w14:paraId="49C043B8" w14:textId="587CEFDF" w:rsidR="00220357" w:rsidRDefault="00220357" w:rsidP="00220357">
            <w:pPr>
              <w:pStyle w:val="APDBodyText"/>
            </w:pPr>
            <w:r w:rsidRPr="00B71EFB">
              <w:t>RECON</w:t>
            </w:r>
          </w:p>
        </w:tc>
        <w:tc>
          <w:tcPr>
            <w:tcW w:w="8550" w:type="dxa"/>
          </w:tcPr>
          <w:p w14:paraId="6FF2B66B" w14:textId="4C0B276F" w:rsidR="00220357" w:rsidRDefault="00220357" w:rsidP="00220357">
            <w:pPr>
              <w:pStyle w:val="APDBodyText"/>
            </w:pPr>
            <w:r w:rsidRPr="00B71EFB">
              <w:t>The EGU is reconstructed (i.e. reconstruction criteria as defined in §63.2 is met, construction commenced after May 3, 2011, and meets the applicability criteria at the time construction commenced</w:t>
            </w:r>
          </w:p>
        </w:tc>
      </w:tr>
      <w:tr w:rsidR="00220357" w14:paraId="40B2FB26" w14:textId="77777777" w:rsidTr="00220357">
        <w:trPr>
          <w:cantSplit/>
          <w:tblHeader/>
        </w:trPr>
        <w:tc>
          <w:tcPr>
            <w:tcW w:w="1530" w:type="dxa"/>
          </w:tcPr>
          <w:p w14:paraId="21CA2DB5" w14:textId="62F4BCF7" w:rsidR="00220357" w:rsidRDefault="00220357" w:rsidP="00220357">
            <w:pPr>
              <w:pStyle w:val="APDBodyText"/>
            </w:pPr>
            <w:r w:rsidRPr="00B71EFB">
              <w:t>EXIST</w:t>
            </w:r>
          </w:p>
        </w:tc>
        <w:tc>
          <w:tcPr>
            <w:tcW w:w="8550" w:type="dxa"/>
          </w:tcPr>
          <w:p w14:paraId="644831FF" w14:textId="6202424B" w:rsidR="00220357" w:rsidRDefault="00220357" w:rsidP="00220357">
            <w:pPr>
              <w:pStyle w:val="APDBodyText"/>
            </w:pPr>
            <w:r w:rsidRPr="00B71EFB">
              <w:t>The EGU is not new or reconstructed</w:t>
            </w:r>
          </w:p>
        </w:tc>
      </w:tr>
    </w:tbl>
    <w:p w14:paraId="4E97B200" w14:textId="688A26A7" w:rsidR="00F31B27" w:rsidRPr="002E64C5" w:rsidRDefault="009764B8" w:rsidP="00BE3363">
      <w:pPr>
        <w:pStyle w:val="APDContinueTriangle"/>
        <w:spacing w:after="0"/>
      </w:pPr>
      <w:r w:rsidRPr="002E64C5">
        <w:t>Continue only if “Limited-use Liquid” is “</w:t>
      </w:r>
      <w:r w:rsidR="00B42127">
        <w:t>NO</w:t>
      </w:r>
      <w:r w:rsidRPr="002E64C5">
        <w:t>.”</w:t>
      </w:r>
    </w:p>
    <w:p w14:paraId="61D0ECB9" w14:textId="77777777" w:rsidR="003A44F7" w:rsidRPr="00F31B27" w:rsidRDefault="003A44F7" w:rsidP="003A44F7">
      <w:pPr>
        <w:widowControl w:val="0"/>
        <w:pBdr>
          <w:bottom w:val="double" w:sz="4" w:space="1" w:color="auto"/>
        </w:pBdr>
      </w:pPr>
    </w:p>
    <w:p w14:paraId="41EF1F39" w14:textId="745D9ED2" w:rsidR="009764B8" w:rsidRPr="003B74C7" w:rsidRDefault="009764B8" w:rsidP="002C7C54">
      <w:pPr>
        <w:pStyle w:val="APDChapterTitles"/>
        <w:rPr>
          <w:rStyle w:val="APDTableChapterChar"/>
          <w:b/>
          <w:bCs w:val="0"/>
        </w:rPr>
      </w:pPr>
      <w:hyperlink w:anchor="TBL_13b" w:tooltip="Table 13b" w:history="1">
        <w:bookmarkStart w:id="117" w:name="_Toc180398516"/>
        <w:bookmarkStart w:id="118" w:name="_Toc180398570"/>
        <w:r w:rsidRPr="00DC253A">
          <w:rPr>
            <w:rStyle w:val="Hyperlink"/>
            <w:b/>
          </w:rPr>
          <w:t>Table 13b</w:t>
        </w:r>
      </w:hyperlink>
      <w:r w:rsidRPr="00DC253A">
        <w:rPr>
          <w:rStyle w:val="Hyperlink"/>
          <w:b/>
        </w:rPr>
        <w:t>:</w:t>
      </w:r>
      <w:r w:rsidRPr="00EF0801">
        <w:tab/>
      </w:r>
      <w:r w:rsidRPr="003B74C7">
        <w:rPr>
          <w:rStyle w:val="APDTableChapterChar"/>
          <w:b/>
        </w:rPr>
        <w:t>Title 40 Code of Federal Regulations Part 63 (40 CFR Part 63)</w:t>
      </w:r>
      <w:r w:rsidR="00667AB6" w:rsidRPr="003B74C7">
        <w:rPr>
          <w:rStyle w:val="APDTableChapterChar"/>
          <w:b/>
        </w:rPr>
        <w:t xml:space="preserve">, </w:t>
      </w:r>
      <w:r w:rsidRPr="003B74C7">
        <w:rPr>
          <w:rStyle w:val="APDTableChapterChar"/>
          <w:b/>
        </w:rPr>
        <w:t>Subpart UUUUU: Coal- and Oil</w:t>
      </w:r>
      <w:r w:rsidR="007F01F9" w:rsidRPr="003B74C7">
        <w:rPr>
          <w:rStyle w:val="APDTableChapterChar"/>
          <w:b/>
        </w:rPr>
        <w:noBreakHyphen/>
      </w:r>
      <w:r w:rsidRPr="003B74C7">
        <w:rPr>
          <w:rStyle w:val="APDTableChapterChar"/>
          <w:b/>
        </w:rPr>
        <w:t>Fired Electric Utility Steam Generating Units</w:t>
      </w:r>
      <w:bookmarkEnd w:id="117"/>
      <w:bookmarkEnd w:id="118"/>
    </w:p>
    <w:p w14:paraId="0D8D9DA9" w14:textId="2EFB343E" w:rsidR="009764B8" w:rsidRPr="000D30BB" w:rsidRDefault="009764B8" w:rsidP="000D30BB">
      <w:pPr>
        <w:pStyle w:val="APDStrong"/>
      </w:pPr>
      <w:r w:rsidRPr="000D30BB">
        <w:t xml:space="preserve">Unit ID </w:t>
      </w:r>
      <w:r w:rsidR="00B42127">
        <w:t>N</w:t>
      </w:r>
      <w:r w:rsidR="008E0159">
        <w:t>o</w:t>
      </w:r>
      <w:r w:rsidRPr="000D30BB">
        <w:t>.:</w:t>
      </w:r>
    </w:p>
    <w:p w14:paraId="0CE6089B" w14:textId="265C275C" w:rsidR="009764B8" w:rsidRPr="000D30BB" w:rsidRDefault="009764B8" w:rsidP="000D30BB">
      <w:pPr>
        <w:pStyle w:val="APDBodyText"/>
      </w:pPr>
      <w:r w:rsidRPr="000D30BB">
        <w:t xml:space="preserve">Enter the identification number (ID </w:t>
      </w:r>
      <w:r w:rsidR="00B42127">
        <w:t>N</w:t>
      </w:r>
      <w:r w:rsidR="005667BA">
        <w:t>o</w:t>
      </w:r>
      <w:r w:rsidRPr="000D30BB">
        <w:t>.) for the unit (maximum 10 characters) as listed on Form OP SUM (Individual</w:t>
      </w:r>
      <w:r w:rsidR="00811EB2" w:rsidRPr="000D30BB">
        <w:t> </w:t>
      </w:r>
      <w:r w:rsidRPr="000D30BB">
        <w:t>Unit Summary).</w:t>
      </w:r>
    </w:p>
    <w:p w14:paraId="6FE4DC3A" w14:textId="5CCADB3D" w:rsidR="009764B8" w:rsidRPr="000D30BB" w:rsidRDefault="009764B8" w:rsidP="000D30BB">
      <w:pPr>
        <w:pStyle w:val="APDStrong"/>
      </w:pPr>
      <w:r w:rsidRPr="000D30BB">
        <w:t xml:space="preserve">SOP Index </w:t>
      </w:r>
      <w:r w:rsidR="00B42127">
        <w:t>N</w:t>
      </w:r>
      <w:r w:rsidR="008E0159">
        <w:t>o</w:t>
      </w:r>
      <w:r w:rsidRPr="000D30BB">
        <w:t>.:</w:t>
      </w:r>
    </w:p>
    <w:p w14:paraId="39E18692" w14:textId="39B55DA6" w:rsidR="009764B8" w:rsidRPr="00EF0801" w:rsidRDefault="009764B8" w:rsidP="000D30BB">
      <w:pPr>
        <w:pStyle w:val="APDBodyText"/>
      </w:pPr>
      <w:r w:rsidRPr="000D30BB">
        <w:t>Site operating permit (SOP) applicants should indicate the SOP index number for the unit or group of units (maximum</w:t>
      </w:r>
      <w:r w:rsidR="00811EB2" w:rsidRPr="000D30BB">
        <w:t> </w:t>
      </w:r>
      <w:r w:rsidRPr="000D30BB">
        <w:t>15</w:t>
      </w:r>
      <w:r w:rsidR="00811EB2" w:rsidRPr="000D30BB">
        <w:t> </w:t>
      </w:r>
      <w:r w:rsidRPr="000D30BB">
        <w:t xml:space="preserve">characters consisting of numeric, alphanumeric characters, and/or dashes prefixed by a code for the applicable regulation [i.e., 60KB-XXXX]). </w:t>
      </w:r>
      <w:r w:rsidR="00CC2143" w:rsidRPr="000D30BB">
        <w:t xml:space="preserve">For additional information relating to SOP index numbers, please see the Completing FOP Applications – Additional Guidance on the TCEQ website at </w:t>
      </w:r>
      <w:hyperlink r:id="rId42" w:tooltip="TCEQ - Completing FOP Applications - Additional Guidance" w:history="1">
        <w:r w:rsidR="00EE6447" w:rsidRPr="00F51613">
          <w:rPr>
            <w:rStyle w:val="Hyperlink"/>
          </w:rPr>
          <w:t>www.tceq.texas.gov/permitting/air/guidance/titlev/tv_fop_guidance.html</w:t>
        </w:r>
      </w:hyperlink>
      <w:r w:rsidR="00CC2143" w:rsidRPr="00EF0801">
        <w:t>.</w:t>
      </w:r>
    </w:p>
    <w:p w14:paraId="35954CAD" w14:textId="77777777" w:rsidR="00BD6DBA" w:rsidRDefault="00BD6DBA" w:rsidP="000D30BB">
      <w:pPr>
        <w:pStyle w:val="APDStrong"/>
        <w:sectPr w:rsidR="00BD6DBA" w:rsidSect="0031268E">
          <w:pgSz w:w="12240" w:h="15840" w:code="1"/>
          <w:pgMar w:top="720" w:right="720" w:bottom="720" w:left="720" w:header="720" w:footer="720" w:gutter="0"/>
          <w:cols w:space="720"/>
          <w:titlePg/>
          <w:docGrid w:linePitch="360"/>
        </w:sectPr>
      </w:pPr>
    </w:p>
    <w:p w14:paraId="1BF45F4A" w14:textId="77777777" w:rsidR="009764B8" w:rsidRPr="000D30BB" w:rsidRDefault="009764B8" w:rsidP="000D30BB">
      <w:pPr>
        <w:pStyle w:val="APDStrong"/>
      </w:pPr>
      <w:r w:rsidRPr="000D30BB">
        <w:lastRenderedPageBreak/>
        <w:t>Start-Up:</w:t>
      </w:r>
    </w:p>
    <w:p w14:paraId="08F861F8" w14:textId="0D02B379" w:rsidR="009764B8" w:rsidRPr="000D30BB" w:rsidRDefault="009764B8" w:rsidP="000D30BB">
      <w:pPr>
        <w:pStyle w:val="APDBodyText"/>
      </w:pPr>
      <w:r w:rsidRPr="000D30BB">
        <w:t>Enter “</w:t>
      </w:r>
      <w:r w:rsidR="00B42127">
        <w:t>YES</w:t>
      </w:r>
      <w:r w:rsidRPr="000D30BB">
        <w:t>” if start-up date of affected source was before April 16, 2012. Otherwise, enter “</w:t>
      </w:r>
      <w:r w:rsidR="00B42127">
        <w:t>NO</w:t>
      </w:r>
      <w:r w:rsidR="00AF7E7E" w:rsidRPr="000D30BB">
        <w:t>.</w:t>
      </w:r>
      <w:r w:rsidRPr="000D30BB">
        <w:t>”</w:t>
      </w:r>
    </w:p>
    <w:p w14:paraId="3BD31088" w14:textId="77777777" w:rsidR="009764B8" w:rsidRPr="000D30BB" w:rsidRDefault="009764B8" w:rsidP="000D30BB">
      <w:pPr>
        <w:pStyle w:val="APDStrong"/>
      </w:pPr>
      <w:r w:rsidRPr="000D30BB">
        <w:t>Unit Fuel:</w:t>
      </w:r>
    </w:p>
    <w:p w14:paraId="2B2DF60B" w14:textId="77777777" w:rsidR="009764B8" w:rsidRDefault="009764B8" w:rsidP="000D30BB">
      <w:pPr>
        <w:pStyle w:val="APDBodyText"/>
      </w:pPr>
      <w:r w:rsidRPr="000D30BB">
        <w:t>Select one of the following options that describes the fuel type used.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D6DBA" w14:paraId="1C9CAD00" w14:textId="77777777" w:rsidTr="00BD6DBA">
        <w:trPr>
          <w:cantSplit/>
          <w:tblHeader/>
        </w:trPr>
        <w:tc>
          <w:tcPr>
            <w:tcW w:w="1530" w:type="dxa"/>
          </w:tcPr>
          <w:p w14:paraId="57917AA0" w14:textId="234951A7" w:rsidR="00BD6DBA" w:rsidRPr="00BD6DBA" w:rsidRDefault="00BD6DBA" w:rsidP="00BD6DBA">
            <w:pPr>
              <w:pStyle w:val="APDBodyText"/>
              <w:rPr>
                <w:b/>
                <w:bCs/>
              </w:rPr>
            </w:pPr>
            <w:r w:rsidRPr="00BD6DBA">
              <w:rPr>
                <w:b/>
                <w:bCs/>
              </w:rPr>
              <w:t>Code</w:t>
            </w:r>
          </w:p>
        </w:tc>
        <w:tc>
          <w:tcPr>
            <w:tcW w:w="8550" w:type="dxa"/>
          </w:tcPr>
          <w:p w14:paraId="031A2226" w14:textId="4ECE2F63" w:rsidR="00BD6DBA" w:rsidRPr="00BD6DBA" w:rsidRDefault="00BD6DBA" w:rsidP="00BD6DBA">
            <w:pPr>
              <w:pStyle w:val="APDBodyText"/>
              <w:rPr>
                <w:b/>
                <w:bCs/>
              </w:rPr>
            </w:pPr>
            <w:r w:rsidRPr="00BD6DBA">
              <w:rPr>
                <w:b/>
                <w:bCs/>
              </w:rPr>
              <w:t>Description</w:t>
            </w:r>
          </w:p>
        </w:tc>
      </w:tr>
      <w:tr w:rsidR="00BD6DBA" w14:paraId="41BB3ED4" w14:textId="77777777" w:rsidTr="00BD6DBA">
        <w:trPr>
          <w:cantSplit/>
          <w:tblHeader/>
        </w:trPr>
        <w:tc>
          <w:tcPr>
            <w:tcW w:w="1530" w:type="dxa"/>
          </w:tcPr>
          <w:p w14:paraId="41A59E63" w14:textId="56FCB9E3" w:rsidR="00BD6DBA" w:rsidRDefault="00BD6DBA" w:rsidP="00BD6DBA">
            <w:pPr>
              <w:pStyle w:val="APDBodyText"/>
            </w:pPr>
            <w:r w:rsidRPr="004755A7">
              <w:t>8300BTU</w:t>
            </w:r>
          </w:p>
        </w:tc>
        <w:tc>
          <w:tcPr>
            <w:tcW w:w="8550" w:type="dxa"/>
          </w:tcPr>
          <w:p w14:paraId="09BA0E17" w14:textId="387419E6" w:rsidR="00BD6DBA" w:rsidRDefault="00BD6DBA" w:rsidP="00BD6DBA">
            <w:pPr>
              <w:pStyle w:val="APDBodyText"/>
            </w:pPr>
            <w:r w:rsidRPr="004755A7">
              <w:t>The EGU is designed for coal with a heating value greater than or equal to 8,300 Btu/lb (i.e. not low rank virgin coal)</w:t>
            </w:r>
          </w:p>
        </w:tc>
      </w:tr>
      <w:tr w:rsidR="00BD6DBA" w14:paraId="360F56DF" w14:textId="77777777" w:rsidTr="00BD6DBA">
        <w:trPr>
          <w:cantSplit/>
          <w:tblHeader/>
        </w:trPr>
        <w:tc>
          <w:tcPr>
            <w:tcW w:w="1530" w:type="dxa"/>
          </w:tcPr>
          <w:p w14:paraId="476626E1" w14:textId="59125DA0" w:rsidR="00BD6DBA" w:rsidRDefault="00BD6DBA" w:rsidP="00BD6DBA">
            <w:pPr>
              <w:pStyle w:val="APDBodyText"/>
            </w:pPr>
            <w:r w:rsidRPr="004755A7">
              <w:t>LORANK</w:t>
            </w:r>
          </w:p>
        </w:tc>
        <w:tc>
          <w:tcPr>
            <w:tcW w:w="8550" w:type="dxa"/>
          </w:tcPr>
          <w:p w14:paraId="34EE53BD" w14:textId="309EB17F" w:rsidR="00BD6DBA" w:rsidRDefault="00BD6DBA" w:rsidP="00BD6DBA">
            <w:pPr>
              <w:pStyle w:val="APDBodyText"/>
            </w:pPr>
            <w:r w:rsidRPr="004755A7">
              <w:t>The EGU is designed for low rank virgin coal</w:t>
            </w:r>
          </w:p>
        </w:tc>
      </w:tr>
      <w:tr w:rsidR="00BD6DBA" w14:paraId="449FF63A" w14:textId="77777777" w:rsidTr="00BD6DBA">
        <w:trPr>
          <w:cantSplit/>
          <w:tblHeader/>
        </w:trPr>
        <w:tc>
          <w:tcPr>
            <w:tcW w:w="1530" w:type="dxa"/>
          </w:tcPr>
          <w:p w14:paraId="0584815B" w14:textId="530C1DF7" w:rsidR="00BD6DBA" w:rsidRDefault="00BD6DBA" w:rsidP="00BD6DBA">
            <w:pPr>
              <w:pStyle w:val="APDBodyText"/>
            </w:pPr>
            <w:r w:rsidRPr="004755A7">
              <w:t>IGCC</w:t>
            </w:r>
          </w:p>
        </w:tc>
        <w:tc>
          <w:tcPr>
            <w:tcW w:w="8550" w:type="dxa"/>
          </w:tcPr>
          <w:p w14:paraId="47633974" w14:textId="06E65DE3" w:rsidR="00BD6DBA" w:rsidRDefault="006C65E6" w:rsidP="00BD6DBA">
            <w:pPr>
              <w:pStyle w:val="APDBodyText"/>
            </w:pPr>
            <w:r w:rsidRPr="00EF0801">
              <w:t>The unit is an IGCC combusting either gasified coal or gasified solid oil-derived fuel</w:t>
            </w:r>
          </w:p>
        </w:tc>
      </w:tr>
      <w:tr w:rsidR="00BD6DBA" w14:paraId="6B4FF6B2" w14:textId="77777777" w:rsidTr="00BD6DBA">
        <w:trPr>
          <w:cantSplit/>
          <w:tblHeader/>
        </w:trPr>
        <w:tc>
          <w:tcPr>
            <w:tcW w:w="1530" w:type="dxa"/>
          </w:tcPr>
          <w:p w14:paraId="47B5D5CD" w14:textId="12E67BDA" w:rsidR="00BD6DBA" w:rsidRDefault="00BD6DBA" w:rsidP="00BD6DBA">
            <w:pPr>
              <w:pStyle w:val="APDBodyText"/>
            </w:pPr>
            <w:r w:rsidRPr="004755A7">
              <w:t>LIQ-OIL</w:t>
            </w:r>
          </w:p>
        </w:tc>
        <w:tc>
          <w:tcPr>
            <w:tcW w:w="8550" w:type="dxa"/>
          </w:tcPr>
          <w:p w14:paraId="25D8054C" w14:textId="2F2A1BFC" w:rsidR="00BD6DBA" w:rsidRDefault="00BD6DBA" w:rsidP="00BD6DBA">
            <w:pPr>
              <w:pStyle w:val="APDBodyText"/>
            </w:pPr>
            <w:r w:rsidRPr="004755A7">
              <w:t>The unit is a continental liquid oil-fired EGU</w:t>
            </w:r>
          </w:p>
        </w:tc>
      </w:tr>
      <w:tr w:rsidR="00BD6DBA" w14:paraId="3153EB84" w14:textId="77777777" w:rsidTr="00BD6DBA">
        <w:trPr>
          <w:cantSplit/>
          <w:tblHeader/>
        </w:trPr>
        <w:tc>
          <w:tcPr>
            <w:tcW w:w="1530" w:type="dxa"/>
          </w:tcPr>
          <w:p w14:paraId="75B7EC71" w14:textId="7D805874" w:rsidR="00BD6DBA" w:rsidRDefault="00BD6DBA" w:rsidP="00BD6DBA">
            <w:pPr>
              <w:pStyle w:val="APDBodyText"/>
            </w:pPr>
            <w:r w:rsidRPr="004755A7">
              <w:t>SO-OIL</w:t>
            </w:r>
          </w:p>
        </w:tc>
        <w:tc>
          <w:tcPr>
            <w:tcW w:w="8550" w:type="dxa"/>
          </w:tcPr>
          <w:p w14:paraId="2BF6ACE7" w14:textId="3FCE460A" w:rsidR="00BD6DBA" w:rsidRDefault="00BD6DBA" w:rsidP="00BD6DBA">
            <w:pPr>
              <w:pStyle w:val="APDBodyText"/>
            </w:pPr>
            <w:bookmarkStart w:id="119" w:name="_Hlk528137595"/>
            <w:r w:rsidRPr="004755A7">
              <w:t>The EGU designed to burn solid oil-derived fuel</w:t>
            </w:r>
            <w:bookmarkEnd w:id="119"/>
          </w:p>
        </w:tc>
      </w:tr>
    </w:tbl>
    <w:p w14:paraId="59A7C88A" w14:textId="15DAA96F" w:rsidR="009764B8" w:rsidRPr="000D30BB" w:rsidRDefault="009764B8" w:rsidP="00BD6DBA">
      <w:pPr>
        <w:pStyle w:val="APDStrong"/>
        <w:spacing w:before="120"/>
      </w:pPr>
      <w:r w:rsidRPr="000D30BB">
        <w:t>Pollutant-a:</w:t>
      </w:r>
    </w:p>
    <w:p w14:paraId="14C545EE" w14:textId="77777777" w:rsidR="009764B8" w:rsidRDefault="009764B8" w:rsidP="000D30BB">
      <w:pPr>
        <w:pStyle w:val="APDBodyText"/>
      </w:pPr>
      <w:r w:rsidRPr="000D30BB">
        <w:t>Select one of the following options that describes the pollutant chosen to represent HAP metals.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6A6064" w14:paraId="3CE0EBA4" w14:textId="77777777" w:rsidTr="006A6064">
        <w:tc>
          <w:tcPr>
            <w:tcW w:w="1530" w:type="dxa"/>
          </w:tcPr>
          <w:p w14:paraId="1E565208" w14:textId="65957640" w:rsidR="006A6064" w:rsidRPr="006A6064" w:rsidRDefault="006A6064" w:rsidP="006A6064">
            <w:pPr>
              <w:rPr>
                <w:b/>
                <w:bCs/>
              </w:rPr>
            </w:pPr>
            <w:r w:rsidRPr="006A6064">
              <w:rPr>
                <w:b/>
                <w:bCs/>
              </w:rPr>
              <w:t>Code</w:t>
            </w:r>
          </w:p>
        </w:tc>
        <w:tc>
          <w:tcPr>
            <w:tcW w:w="8550" w:type="dxa"/>
          </w:tcPr>
          <w:p w14:paraId="7095C62F" w14:textId="31E6706F" w:rsidR="006A6064" w:rsidRPr="006A6064" w:rsidRDefault="006A6064" w:rsidP="006A6064">
            <w:pPr>
              <w:rPr>
                <w:b/>
                <w:bCs/>
              </w:rPr>
            </w:pPr>
            <w:r w:rsidRPr="006A6064">
              <w:rPr>
                <w:b/>
                <w:bCs/>
              </w:rPr>
              <w:t>Description</w:t>
            </w:r>
          </w:p>
        </w:tc>
      </w:tr>
      <w:tr w:rsidR="006A6064" w14:paraId="28DBF6FA" w14:textId="77777777" w:rsidTr="006A6064">
        <w:tc>
          <w:tcPr>
            <w:tcW w:w="1530" w:type="dxa"/>
          </w:tcPr>
          <w:p w14:paraId="1BBCC214" w14:textId="70741D7A" w:rsidR="006A6064" w:rsidRDefault="006A6064" w:rsidP="006A6064">
            <w:r w:rsidRPr="00723312">
              <w:t>PM</w:t>
            </w:r>
          </w:p>
        </w:tc>
        <w:tc>
          <w:tcPr>
            <w:tcW w:w="8550" w:type="dxa"/>
          </w:tcPr>
          <w:p w14:paraId="336E4864" w14:textId="319BB247" w:rsidR="006A6064" w:rsidRDefault="006A6064" w:rsidP="006A6064">
            <w:r w:rsidRPr="00723312">
              <w:t>Filterable PM is a surrogate for total HAP or total non-Hg HAP metals</w:t>
            </w:r>
          </w:p>
        </w:tc>
      </w:tr>
      <w:tr w:rsidR="006A6064" w14:paraId="45DDB6F9" w14:textId="77777777" w:rsidTr="006A6064">
        <w:tc>
          <w:tcPr>
            <w:tcW w:w="1530" w:type="dxa"/>
          </w:tcPr>
          <w:p w14:paraId="199E95B6" w14:textId="3D13296E" w:rsidR="006A6064" w:rsidRDefault="006A6064" w:rsidP="006A6064">
            <w:r w:rsidRPr="00723312">
              <w:t>TOTHAP</w:t>
            </w:r>
          </w:p>
        </w:tc>
        <w:tc>
          <w:tcPr>
            <w:tcW w:w="8550" w:type="dxa"/>
          </w:tcPr>
          <w:p w14:paraId="73E22621" w14:textId="2329406C" w:rsidR="006A6064" w:rsidRDefault="006A6064" w:rsidP="006A6064">
            <w:r w:rsidRPr="00723312">
              <w:t>Total HAP or total non-Hg HAP metals are used as the standard</w:t>
            </w:r>
          </w:p>
        </w:tc>
      </w:tr>
      <w:tr w:rsidR="006A6064" w14:paraId="1060BB9F" w14:textId="77777777" w:rsidTr="006A6064">
        <w:tc>
          <w:tcPr>
            <w:tcW w:w="1530" w:type="dxa"/>
          </w:tcPr>
          <w:p w14:paraId="65C15961" w14:textId="00993273" w:rsidR="006A6064" w:rsidRDefault="006A6064" w:rsidP="006A6064">
            <w:r w:rsidRPr="00723312">
              <w:t>INDHAP</w:t>
            </w:r>
          </w:p>
        </w:tc>
        <w:tc>
          <w:tcPr>
            <w:tcW w:w="8550" w:type="dxa"/>
          </w:tcPr>
          <w:p w14:paraId="458EBFCB" w14:textId="103116A2" w:rsidR="006A6064" w:rsidRDefault="006A6064" w:rsidP="006A6064">
            <w:r w:rsidRPr="00723312">
              <w:t>Individual HAP or individual non-Hg HAP metals are used as alternative equivalent standard</w:t>
            </w:r>
          </w:p>
        </w:tc>
      </w:tr>
    </w:tbl>
    <w:p w14:paraId="27C4953A" w14:textId="153F697B" w:rsidR="009764B8" w:rsidRPr="00EF0801" w:rsidRDefault="009764B8" w:rsidP="00390EE3">
      <w:pPr>
        <w:pStyle w:val="APDCompleteStar"/>
      </w:pPr>
      <w:r w:rsidRPr="00EF0801">
        <w:t>Complete “Syngas” only if “Construction Status” is “NEW” or “RECON</w:t>
      </w:r>
      <w:r w:rsidR="00806FF5">
        <w:t>,</w:t>
      </w:r>
      <w:r w:rsidRPr="00EF0801">
        <w:t>” “Unit Fuel” is “IGCC;” and “Pollutant-a” is “PM.”</w:t>
      </w:r>
    </w:p>
    <w:p w14:paraId="3B9D8D0A" w14:textId="5589D731" w:rsidR="009764B8" w:rsidRPr="000D30BB" w:rsidRDefault="009764B8" w:rsidP="000D30BB">
      <w:pPr>
        <w:pStyle w:val="APDStrong"/>
      </w:pPr>
      <w:r w:rsidRPr="000D30BB">
        <w:t>Syngas:</w:t>
      </w:r>
    </w:p>
    <w:p w14:paraId="2638909A" w14:textId="49BEB0CF" w:rsidR="00437B31" w:rsidRPr="000D30BB" w:rsidRDefault="009764B8" w:rsidP="000D30BB">
      <w:pPr>
        <w:pStyle w:val="APDBodyText"/>
      </w:pPr>
      <w:r w:rsidRPr="000D30BB">
        <w:t>Enter “</w:t>
      </w:r>
      <w:r w:rsidR="00B42127">
        <w:t>YES</w:t>
      </w:r>
      <w:r w:rsidRPr="000D30BB">
        <w:t>” if the IGCC plant duct burner is syngas-fired. Otherwise, enter “</w:t>
      </w:r>
      <w:r w:rsidR="00B42127">
        <w:t>NO</w:t>
      </w:r>
      <w:r w:rsidR="00AF7E7E" w:rsidRPr="000D30BB">
        <w:t>.</w:t>
      </w:r>
      <w:r w:rsidRPr="000D30BB">
        <w:t>”</w:t>
      </w:r>
    </w:p>
    <w:p w14:paraId="631020DC" w14:textId="77777777" w:rsidR="009764B8" w:rsidRPr="00EF0801" w:rsidRDefault="009764B8" w:rsidP="00390EE3">
      <w:pPr>
        <w:pStyle w:val="APDCompleteStar"/>
      </w:pPr>
      <w:r w:rsidRPr="00EF0801">
        <w:t>Complete “PM-Input” only if “Construction Status” is “EXIST” and “Pollutant-a” is “PM.”</w:t>
      </w:r>
    </w:p>
    <w:p w14:paraId="7CC98B9C" w14:textId="489BCB65" w:rsidR="009764B8" w:rsidRPr="00EF0801" w:rsidRDefault="009764B8" w:rsidP="00EA726A">
      <w:pPr>
        <w:pStyle w:val="APDStrong"/>
      </w:pPr>
      <w:r w:rsidRPr="00EF0801">
        <w:t>PM-Input</w:t>
      </w:r>
      <w:r w:rsidRPr="00B25E6B">
        <w:rPr>
          <w:bCs/>
        </w:rPr>
        <w:t>:</w:t>
      </w:r>
    </w:p>
    <w:p w14:paraId="5AFDCAE5" w14:textId="7B7B8768" w:rsidR="009764B8" w:rsidRPr="00872FAF" w:rsidRDefault="009764B8" w:rsidP="00872FAF">
      <w:pPr>
        <w:pStyle w:val="APDBodyText"/>
      </w:pPr>
      <w:r w:rsidRPr="00872FAF">
        <w:t>Enter “</w:t>
      </w:r>
      <w:r w:rsidR="00B42127">
        <w:t>YES</w:t>
      </w:r>
      <w:r w:rsidRPr="00872FAF">
        <w:t>” if a heat input-based limit is used for PM. Otherwise, enter “</w:t>
      </w:r>
      <w:r w:rsidR="00B42127">
        <w:t>NO</w:t>
      </w:r>
      <w:r w:rsidR="00AF7E7E" w:rsidRPr="00872FAF">
        <w:t>.</w:t>
      </w:r>
      <w:r w:rsidRPr="00872FAF">
        <w:t>”</w:t>
      </w:r>
    </w:p>
    <w:p w14:paraId="555D8A55" w14:textId="3CBE5279" w:rsidR="009764B8" w:rsidRPr="00EF0801" w:rsidRDefault="009764B8" w:rsidP="00390EE3">
      <w:pPr>
        <w:pStyle w:val="APDCompleteStar"/>
      </w:pPr>
      <w:r w:rsidRPr="00EF0801">
        <w:t>Complete “T</w:t>
      </w:r>
      <w:r w:rsidR="00527860">
        <w:t>OT</w:t>
      </w:r>
      <w:r w:rsidRPr="00EF0801">
        <w:t>HAP-Input” only if “Construction Status” is “EXIST” and “Pollutant-a” is “TOTHAP.”</w:t>
      </w:r>
    </w:p>
    <w:p w14:paraId="0090C23D" w14:textId="77777777" w:rsidR="008104EF" w:rsidRPr="00EF0801" w:rsidRDefault="009764B8" w:rsidP="00EA726A">
      <w:pPr>
        <w:pStyle w:val="APDStrong"/>
      </w:pPr>
      <w:r w:rsidRPr="00EF0801">
        <w:t>T</w:t>
      </w:r>
      <w:r w:rsidR="008104EF" w:rsidRPr="00EF0801">
        <w:t>OT</w:t>
      </w:r>
      <w:r w:rsidRPr="00EF0801">
        <w:t>HAP-Input</w:t>
      </w:r>
      <w:r w:rsidR="008104EF" w:rsidRPr="00B25E6B">
        <w:rPr>
          <w:bCs/>
        </w:rPr>
        <w:t>:</w:t>
      </w:r>
    </w:p>
    <w:p w14:paraId="08623363" w14:textId="77777777" w:rsidR="00DF219F" w:rsidRDefault="009764B8" w:rsidP="00872FAF">
      <w:pPr>
        <w:pStyle w:val="APDBodyText"/>
        <w:sectPr w:rsidR="00DF219F" w:rsidSect="0031268E">
          <w:pgSz w:w="12240" w:h="15840" w:code="1"/>
          <w:pgMar w:top="720" w:right="720" w:bottom="720" w:left="720" w:header="720" w:footer="720" w:gutter="0"/>
          <w:cols w:space="720"/>
          <w:titlePg/>
          <w:docGrid w:linePitch="360"/>
        </w:sectPr>
      </w:pPr>
      <w:r w:rsidRPr="00872FAF">
        <w:t>Enter “</w:t>
      </w:r>
      <w:r w:rsidR="00B42127">
        <w:t>YES</w:t>
      </w:r>
      <w:r w:rsidRPr="00872FAF">
        <w:t>” if a heat input-based limit is used for total HAP. Otherwise, enter “</w:t>
      </w:r>
      <w:r w:rsidR="00B42127">
        <w:t>NO</w:t>
      </w:r>
      <w:r w:rsidR="00AF7E7E" w:rsidRPr="00872FAF">
        <w:t>.</w:t>
      </w:r>
      <w:r w:rsidRPr="00872FAF">
        <w:t>”</w:t>
      </w:r>
    </w:p>
    <w:p w14:paraId="3E0BF575" w14:textId="77777777" w:rsidR="009764B8" w:rsidRPr="00EF0801" w:rsidRDefault="009764B8" w:rsidP="009764B8">
      <w:pPr>
        <w:pBdr>
          <w:bottom w:val="double" w:sz="4" w:space="1" w:color="auto"/>
        </w:pBdr>
      </w:pPr>
      <w:bookmarkStart w:id="120" w:name="_Hlk176953206"/>
    </w:p>
    <w:bookmarkEnd w:id="120"/>
    <w:p w14:paraId="42DE91D0" w14:textId="624D7B2F" w:rsidR="009764B8" w:rsidRPr="00AD148F" w:rsidRDefault="00744867" w:rsidP="002C7C54">
      <w:pPr>
        <w:pStyle w:val="APDChapterTitles"/>
        <w:rPr>
          <w:rStyle w:val="APDTableChapterChar"/>
        </w:rPr>
      </w:pPr>
      <w:r w:rsidRPr="00946F80">
        <w:rPr>
          <w:rStyle w:val="Hyperlink"/>
          <w:b/>
          <w:bCs w:val="0"/>
        </w:rPr>
        <w:fldChar w:fldCharType="begin"/>
      </w:r>
      <w:r w:rsidRPr="00946F80">
        <w:rPr>
          <w:rStyle w:val="Hyperlink"/>
          <w:b/>
          <w:bCs w:val="0"/>
        </w:rPr>
        <w:instrText>HYPERLINK \l "TBL_13c" \o "Table 13c"</w:instrText>
      </w:r>
      <w:r w:rsidRPr="00946F80">
        <w:rPr>
          <w:rStyle w:val="Hyperlink"/>
          <w:b/>
          <w:bCs w:val="0"/>
        </w:rPr>
      </w:r>
      <w:r w:rsidRPr="00946F80">
        <w:rPr>
          <w:rStyle w:val="Hyperlink"/>
          <w:b/>
          <w:bCs w:val="0"/>
        </w:rPr>
        <w:fldChar w:fldCharType="separate"/>
      </w:r>
      <w:bookmarkStart w:id="121" w:name="_Toc180398517"/>
      <w:bookmarkStart w:id="122" w:name="_Toc180398571"/>
      <w:r w:rsidR="009764B8" w:rsidRPr="00946F80">
        <w:rPr>
          <w:rStyle w:val="Hyperlink"/>
          <w:b/>
          <w:bCs w:val="0"/>
        </w:rPr>
        <w:t>Table 13c</w:t>
      </w:r>
      <w:r w:rsidRPr="00946F80">
        <w:rPr>
          <w:rStyle w:val="Hyperlink"/>
          <w:b/>
          <w:bCs w:val="0"/>
        </w:rPr>
        <w:fldChar w:fldCharType="end"/>
      </w:r>
      <w:r w:rsidR="009764B8" w:rsidRPr="00946F80">
        <w:rPr>
          <w:rStyle w:val="Hyperlink"/>
          <w:b/>
          <w:bCs w:val="0"/>
        </w:rPr>
        <w:t>:</w:t>
      </w:r>
      <w:r w:rsidR="009764B8" w:rsidRPr="00EF0801">
        <w:tab/>
      </w:r>
      <w:r w:rsidR="009764B8" w:rsidRPr="00DA00CE">
        <w:rPr>
          <w:rStyle w:val="APDTableChapterChar"/>
          <w:b/>
        </w:rPr>
        <w:t>Title 40 Code of Federal Regulations Part 63 (40 CFR Part 63)</w:t>
      </w:r>
      <w:r w:rsidR="00667AB6" w:rsidRPr="00DA00CE">
        <w:rPr>
          <w:rStyle w:val="APDTableChapterChar"/>
          <w:b/>
        </w:rPr>
        <w:t xml:space="preserve">, </w:t>
      </w:r>
      <w:r w:rsidR="009764B8" w:rsidRPr="00DA00CE">
        <w:rPr>
          <w:rStyle w:val="APDTableChapterChar"/>
          <w:b/>
        </w:rPr>
        <w:t>Subpart UUUUU:  Coal- and Oil</w:t>
      </w:r>
      <w:r w:rsidR="007F01F9" w:rsidRPr="00DA00CE">
        <w:rPr>
          <w:rStyle w:val="APDTableChapterChar"/>
          <w:b/>
        </w:rPr>
        <w:noBreakHyphen/>
      </w:r>
      <w:r w:rsidR="009764B8" w:rsidRPr="00DA00CE">
        <w:rPr>
          <w:rStyle w:val="APDTableChapterChar"/>
          <w:b/>
        </w:rPr>
        <w:t>Fired Electric Utility Steam Generating Units</w:t>
      </w:r>
      <w:bookmarkEnd w:id="121"/>
      <w:bookmarkEnd w:id="122"/>
    </w:p>
    <w:p w14:paraId="6F8CB4B9" w14:textId="3AAA3F8D" w:rsidR="009764B8" w:rsidRPr="00EF0801" w:rsidRDefault="009764B8" w:rsidP="00EA726A">
      <w:pPr>
        <w:pStyle w:val="APDStrong"/>
      </w:pPr>
      <w:r w:rsidRPr="00EF0801">
        <w:t xml:space="preserve">Unit ID </w:t>
      </w:r>
      <w:r w:rsidR="00B42127">
        <w:t>N</w:t>
      </w:r>
      <w:r w:rsidR="008E0159">
        <w:t>o</w:t>
      </w:r>
      <w:r w:rsidRPr="00B25E6B">
        <w:rPr>
          <w:bCs/>
        </w:rPr>
        <w:t>.:</w:t>
      </w:r>
    </w:p>
    <w:p w14:paraId="03FE0716" w14:textId="28103288" w:rsidR="009764B8" w:rsidRPr="00872FAF" w:rsidRDefault="009764B8" w:rsidP="00872FAF">
      <w:pPr>
        <w:pStyle w:val="APDBodyText"/>
      </w:pPr>
      <w:r w:rsidRPr="00872FAF">
        <w:t xml:space="preserve">Enter the identification number (ID </w:t>
      </w:r>
      <w:r w:rsidR="00B42127">
        <w:t>N</w:t>
      </w:r>
      <w:r w:rsidR="005667BA">
        <w:t>o</w:t>
      </w:r>
      <w:r w:rsidRPr="00872FAF">
        <w:t>.) for the unit (maximum 10 characters) as listed on Form OP SUM (Individual</w:t>
      </w:r>
      <w:r w:rsidR="00811EB2" w:rsidRPr="00872FAF">
        <w:t> </w:t>
      </w:r>
      <w:r w:rsidRPr="00872FAF">
        <w:t>Unit Summary).</w:t>
      </w:r>
    </w:p>
    <w:p w14:paraId="43627D6E" w14:textId="4167EE0A" w:rsidR="009764B8" w:rsidRPr="00EF0801" w:rsidRDefault="009764B8" w:rsidP="00EA726A">
      <w:pPr>
        <w:pStyle w:val="APDStrong"/>
      </w:pPr>
      <w:r w:rsidRPr="00EF0801">
        <w:t xml:space="preserve">SOP Index </w:t>
      </w:r>
      <w:r w:rsidR="00B42127">
        <w:t>N</w:t>
      </w:r>
      <w:r w:rsidR="008E0159">
        <w:t>o</w:t>
      </w:r>
      <w:r w:rsidRPr="00ED3B18">
        <w:rPr>
          <w:bCs/>
        </w:rPr>
        <w:t>.:</w:t>
      </w:r>
    </w:p>
    <w:p w14:paraId="3472C5C5" w14:textId="2E8A6251" w:rsidR="009764B8" w:rsidRPr="00EF0801" w:rsidRDefault="009764B8" w:rsidP="00872FAF">
      <w:pPr>
        <w:pStyle w:val="APDBodyText"/>
      </w:pPr>
      <w:r w:rsidRPr="00872FAF">
        <w:t>Site operating permit (SOP) applicants should indicate the SOP index number for the unit or group of units (maximum</w:t>
      </w:r>
      <w:r w:rsidR="00811EB2" w:rsidRPr="00872FAF">
        <w:t> </w:t>
      </w:r>
      <w:r w:rsidRPr="00872FAF">
        <w:t>15</w:t>
      </w:r>
      <w:r w:rsidR="00811EB2" w:rsidRPr="00872FAF">
        <w:t> </w:t>
      </w:r>
      <w:r w:rsidRPr="00872FAF">
        <w:t xml:space="preserve">characters consisting of numeric, alphanumeric characters, and/or dashes prefixed by a code for the applicable regulation [i.e., 60KB-XXXX]). </w:t>
      </w:r>
      <w:r w:rsidR="00CC2143" w:rsidRPr="00872FAF">
        <w:t>For additional information relating to SOP index numbers, please see the Completing FOP Applications – Additional Guidance on the TCEQ website at</w:t>
      </w:r>
      <w:r w:rsidR="00CC2143" w:rsidRPr="00EF0801">
        <w:t xml:space="preserve"> </w:t>
      </w:r>
      <w:hyperlink r:id="rId43" w:tooltip="TCEQ - Completing FOP Applications - Additional Guidance" w:history="1">
        <w:r w:rsidR="00CF580F" w:rsidRPr="00F51613">
          <w:rPr>
            <w:rStyle w:val="Hyperlink"/>
          </w:rPr>
          <w:t>www.tceq.texas.gov/permitting/air/guidance/titlev/tv_fop_guidance.html</w:t>
        </w:r>
      </w:hyperlink>
      <w:r w:rsidR="00CC2143" w:rsidRPr="00EF0801">
        <w:t>.</w:t>
      </w:r>
    </w:p>
    <w:p w14:paraId="3219E41E" w14:textId="77777777" w:rsidR="009764B8" w:rsidRPr="00EF0801" w:rsidRDefault="009764B8" w:rsidP="00390EE3">
      <w:pPr>
        <w:pStyle w:val="APDCompleteStar"/>
      </w:pPr>
      <w:r w:rsidRPr="00EF0801">
        <w:t>Complete the heat input-based series below only if “Construction Status” is “EXIST” and “Pollutant-a” is “INDHAP.”</w:t>
      </w:r>
    </w:p>
    <w:p w14:paraId="26512CAA" w14:textId="7CA28405" w:rsidR="009764B8" w:rsidRPr="00DB39A1" w:rsidRDefault="009764B8" w:rsidP="00DB39A1">
      <w:pPr>
        <w:pStyle w:val="APDStrong"/>
      </w:pPr>
      <w:r w:rsidRPr="00DB39A1">
        <w:t>Sb-Input:</w:t>
      </w:r>
    </w:p>
    <w:p w14:paraId="132B4077" w14:textId="7D862420" w:rsidR="009764B8" w:rsidRPr="00872FAF" w:rsidRDefault="009764B8" w:rsidP="00872FAF">
      <w:pPr>
        <w:pStyle w:val="APDBodyText"/>
      </w:pPr>
      <w:r w:rsidRPr="00872FAF">
        <w:t>Enter “</w:t>
      </w:r>
      <w:r w:rsidR="00B42127">
        <w:t>YES</w:t>
      </w:r>
      <w:r w:rsidRPr="00872FAF">
        <w:t>” if a heat input-based limit is used for antimony. Otherwise, enter “</w:t>
      </w:r>
      <w:r w:rsidR="00B42127">
        <w:t>NO</w:t>
      </w:r>
      <w:r w:rsidR="00AF7E7E" w:rsidRPr="00872FAF">
        <w:t>.</w:t>
      </w:r>
      <w:r w:rsidRPr="00872FAF">
        <w:t>”</w:t>
      </w:r>
    </w:p>
    <w:p w14:paraId="7D54CC60" w14:textId="495B3B03" w:rsidR="009764B8" w:rsidRPr="00DB39A1" w:rsidRDefault="009764B8" w:rsidP="00DB39A1">
      <w:pPr>
        <w:pStyle w:val="APDStrong"/>
      </w:pPr>
      <w:r w:rsidRPr="00DB39A1">
        <w:t>As-Input:</w:t>
      </w:r>
    </w:p>
    <w:p w14:paraId="39317317" w14:textId="08273448" w:rsidR="009764B8" w:rsidRPr="00872FAF" w:rsidRDefault="009764B8" w:rsidP="00872FAF">
      <w:pPr>
        <w:pStyle w:val="APDBodyText"/>
      </w:pPr>
      <w:r w:rsidRPr="00872FAF">
        <w:t>Enter “</w:t>
      </w:r>
      <w:r w:rsidR="00B42127">
        <w:t>YES</w:t>
      </w:r>
      <w:r w:rsidRPr="00872FAF">
        <w:t>” if a heat input-based limit is used for arsenic. Otherwise, enter “</w:t>
      </w:r>
      <w:r w:rsidR="00B42127">
        <w:t>NO</w:t>
      </w:r>
      <w:r w:rsidR="00AF7E7E" w:rsidRPr="00872FAF">
        <w:t>.</w:t>
      </w:r>
      <w:r w:rsidRPr="00872FAF">
        <w:t>”</w:t>
      </w:r>
    </w:p>
    <w:p w14:paraId="391908B5" w14:textId="62C507E1" w:rsidR="009764B8" w:rsidRPr="00DB39A1" w:rsidRDefault="009764B8" w:rsidP="00DB39A1">
      <w:pPr>
        <w:pStyle w:val="APDStrong"/>
      </w:pPr>
      <w:r w:rsidRPr="00DB39A1">
        <w:t>Be-Input:</w:t>
      </w:r>
    </w:p>
    <w:p w14:paraId="106FC8F2" w14:textId="11DD873F" w:rsidR="009764B8" w:rsidRPr="00872FAF" w:rsidRDefault="009764B8" w:rsidP="00872FAF">
      <w:pPr>
        <w:pStyle w:val="APDBodyText"/>
      </w:pPr>
      <w:r w:rsidRPr="00872FAF">
        <w:t>Enter “</w:t>
      </w:r>
      <w:r w:rsidR="00B42127">
        <w:t>YES</w:t>
      </w:r>
      <w:r w:rsidRPr="00872FAF">
        <w:t>” if a heat input-based limit is used for beryllium. Otherwise, enter “</w:t>
      </w:r>
      <w:r w:rsidR="00B42127">
        <w:t>NO</w:t>
      </w:r>
      <w:r w:rsidR="00AF7E7E" w:rsidRPr="00872FAF">
        <w:t>.</w:t>
      </w:r>
      <w:r w:rsidRPr="00872FAF">
        <w:t>”</w:t>
      </w:r>
    </w:p>
    <w:p w14:paraId="2B7CA071" w14:textId="25E06CD8" w:rsidR="009764B8" w:rsidRPr="00DB39A1" w:rsidRDefault="009764B8" w:rsidP="00DB39A1">
      <w:pPr>
        <w:pStyle w:val="APDStrong"/>
      </w:pPr>
      <w:r w:rsidRPr="00DB39A1">
        <w:t>Cd-Input:</w:t>
      </w:r>
    </w:p>
    <w:p w14:paraId="6723CF30" w14:textId="0665C7FD" w:rsidR="009764B8" w:rsidRPr="00872FAF" w:rsidRDefault="009764B8" w:rsidP="00872FAF">
      <w:pPr>
        <w:pStyle w:val="APDBodyText"/>
      </w:pPr>
      <w:r w:rsidRPr="00872FAF">
        <w:t>Enter “</w:t>
      </w:r>
      <w:r w:rsidR="00B42127">
        <w:t>YES</w:t>
      </w:r>
      <w:r w:rsidRPr="00872FAF">
        <w:t>” if a heat input-based limit is used for cadmium. Otherwise, enter “</w:t>
      </w:r>
      <w:r w:rsidR="00B42127">
        <w:t>NO</w:t>
      </w:r>
      <w:r w:rsidR="00AF7E7E" w:rsidRPr="00872FAF">
        <w:t>.</w:t>
      </w:r>
      <w:r w:rsidRPr="00872FAF">
        <w:t>”</w:t>
      </w:r>
    </w:p>
    <w:p w14:paraId="63D050DB" w14:textId="003D98BE" w:rsidR="009764B8" w:rsidRPr="00DB39A1" w:rsidRDefault="009764B8" w:rsidP="00DB39A1">
      <w:pPr>
        <w:pStyle w:val="APDStrong"/>
      </w:pPr>
      <w:r w:rsidRPr="00DB39A1">
        <w:t>Cr-Input:</w:t>
      </w:r>
    </w:p>
    <w:p w14:paraId="49BADB64" w14:textId="23D761AC" w:rsidR="009764B8" w:rsidRPr="00872FAF" w:rsidRDefault="009764B8" w:rsidP="00872FAF">
      <w:pPr>
        <w:pStyle w:val="APDBodyText"/>
      </w:pPr>
      <w:r w:rsidRPr="00EF0801">
        <w:t>Enter “</w:t>
      </w:r>
      <w:r w:rsidR="00B42127">
        <w:t>YES</w:t>
      </w:r>
      <w:r w:rsidRPr="00EF0801">
        <w:t>” if a heat input-</w:t>
      </w:r>
      <w:r w:rsidRPr="00872FAF">
        <w:t>based limit is used for chromium. Otherwise, enter “</w:t>
      </w:r>
      <w:r w:rsidR="00B42127">
        <w:t>NO</w:t>
      </w:r>
      <w:r w:rsidR="00AF7E7E" w:rsidRPr="00872FAF">
        <w:t>.</w:t>
      </w:r>
      <w:r w:rsidRPr="00872FAF">
        <w:t>”</w:t>
      </w:r>
    </w:p>
    <w:p w14:paraId="207F7282" w14:textId="31C10CA2" w:rsidR="009764B8" w:rsidRPr="00DB39A1" w:rsidRDefault="009764B8" w:rsidP="00DB39A1">
      <w:pPr>
        <w:pStyle w:val="APDStrong"/>
      </w:pPr>
      <w:r w:rsidRPr="00DB39A1">
        <w:t>Co-Input:</w:t>
      </w:r>
    </w:p>
    <w:p w14:paraId="66965B2C" w14:textId="3612F36F" w:rsidR="00FB7C10" w:rsidRPr="00872FAF" w:rsidRDefault="009764B8" w:rsidP="00872FAF">
      <w:pPr>
        <w:pStyle w:val="APDBodyText"/>
      </w:pPr>
      <w:r w:rsidRPr="00872FAF">
        <w:t>Enter “</w:t>
      </w:r>
      <w:r w:rsidR="00B42127">
        <w:t>YES</w:t>
      </w:r>
      <w:r w:rsidRPr="00872FAF">
        <w:t>” if a heat input-based limit is used for cobalt. Otherwise, enter “</w:t>
      </w:r>
      <w:r w:rsidR="00B42127">
        <w:t>NO</w:t>
      </w:r>
      <w:r w:rsidR="00AF7E7E" w:rsidRPr="00872FAF">
        <w:t>.</w:t>
      </w:r>
      <w:r w:rsidRPr="00872FAF">
        <w:t>”</w:t>
      </w:r>
    </w:p>
    <w:p w14:paraId="6862B914" w14:textId="77777777" w:rsidR="009764B8" w:rsidRPr="00EF0801" w:rsidRDefault="009764B8" w:rsidP="009764B8">
      <w:pPr>
        <w:pBdr>
          <w:bottom w:val="double" w:sz="4" w:space="1" w:color="auto"/>
        </w:pBdr>
      </w:pPr>
    </w:p>
    <w:p w14:paraId="423B74F0" w14:textId="517BAE37" w:rsidR="009764B8" w:rsidRPr="006A38E3" w:rsidRDefault="009764B8" w:rsidP="002C7C54">
      <w:pPr>
        <w:pStyle w:val="APDChapterTitles"/>
        <w:rPr>
          <w:rStyle w:val="APDTableChapterChar"/>
          <w:b/>
          <w:bCs w:val="0"/>
        </w:rPr>
      </w:pPr>
      <w:hyperlink w:anchor="TBL_13d" w:tooltip="Table 13d" w:history="1">
        <w:bookmarkStart w:id="123" w:name="_Toc180398518"/>
        <w:bookmarkStart w:id="124" w:name="_Toc180398572"/>
        <w:r w:rsidRPr="00AD05B6">
          <w:rPr>
            <w:rStyle w:val="Hyperlink"/>
            <w:b/>
            <w:bCs w:val="0"/>
          </w:rPr>
          <w:t>Table 13d</w:t>
        </w:r>
      </w:hyperlink>
      <w:r w:rsidRPr="00AD05B6">
        <w:rPr>
          <w:rStyle w:val="Hyperlink"/>
          <w:b/>
          <w:bCs w:val="0"/>
        </w:rPr>
        <w:t>:</w:t>
      </w:r>
      <w:r w:rsidRPr="00EF0801">
        <w:tab/>
      </w:r>
      <w:r w:rsidRPr="006A38E3">
        <w:rPr>
          <w:rStyle w:val="APDTableChapterChar"/>
          <w:b/>
        </w:rPr>
        <w:t>Title 40 Code of Federal Regulations Part 63 (40 CFR Part 63)</w:t>
      </w:r>
      <w:r w:rsidR="00215D7D" w:rsidRPr="006A38E3">
        <w:rPr>
          <w:rStyle w:val="APDTableChapterChar"/>
          <w:b/>
        </w:rPr>
        <w:t xml:space="preserve">, </w:t>
      </w:r>
      <w:r w:rsidRPr="006A38E3">
        <w:rPr>
          <w:rStyle w:val="APDTableChapterChar"/>
          <w:b/>
        </w:rPr>
        <w:t>Subpart UUUUU:  Coal- and Oil</w:t>
      </w:r>
      <w:r w:rsidR="007F01F9" w:rsidRPr="006A38E3">
        <w:rPr>
          <w:rStyle w:val="APDTableChapterChar"/>
          <w:b/>
        </w:rPr>
        <w:noBreakHyphen/>
      </w:r>
      <w:r w:rsidRPr="006A38E3">
        <w:rPr>
          <w:rStyle w:val="APDTableChapterChar"/>
          <w:b/>
        </w:rPr>
        <w:t>Fired Electric Utility Steam Generating Units</w:t>
      </w:r>
      <w:bookmarkEnd w:id="123"/>
      <w:bookmarkEnd w:id="124"/>
    </w:p>
    <w:p w14:paraId="7E01FB3E" w14:textId="3659F7F6" w:rsidR="009764B8" w:rsidRPr="00EF0801" w:rsidRDefault="009764B8" w:rsidP="00EA726A">
      <w:pPr>
        <w:pStyle w:val="APDStrong"/>
      </w:pPr>
      <w:r w:rsidRPr="00EF0801">
        <w:t xml:space="preserve">Unit ID </w:t>
      </w:r>
      <w:r w:rsidR="00B42127">
        <w:t>N</w:t>
      </w:r>
      <w:r w:rsidR="008E0159">
        <w:t>o</w:t>
      </w:r>
      <w:r w:rsidRPr="00B25E6B">
        <w:rPr>
          <w:bCs/>
        </w:rPr>
        <w:t>.:</w:t>
      </w:r>
    </w:p>
    <w:p w14:paraId="2D10747B" w14:textId="19335A1A" w:rsidR="009764B8" w:rsidRPr="00565F9A" w:rsidRDefault="009764B8" w:rsidP="00565F9A">
      <w:pPr>
        <w:pStyle w:val="APDBodyText"/>
      </w:pPr>
      <w:r w:rsidRPr="00565F9A">
        <w:t xml:space="preserve">Enter the identification number (ID </w:t>
      </w:r>
      <w:r w:rsidR="00B42127">
        <w:t>N</w:t>
      </w:r>
      <w:r w:rsidR="005667BA">
        <w:t>o</w:t>
      </w:r>
      <w:r w:rsidRPr="00565F9A">
        <w:t>.) for the unit (maximum 10 characters) as listed on Form OP SUM (Individual</w:t>
      </w:r>
      <w:r w:rsidR="00811EB2" w:rsidRPr="00565F9A">
        <w:t> </w:t>
      </w:r>
      <w:r w:rsidRPr="00565F9A">
        <w:t>Unit Summary).</w:t>
      </w:r>
    </w:p>
    <w:p w14:paraId="6B516F5E" w14:textId="3ABFD5CB" w:rsidR="009764B8" w:rsidRPr="00520489" w:rsidRDefault="009764B8" w:rsidP="00520489">
      <w:pPr>
        <w:pStyle w:val="APDStrong"/>
      </w:pPr>
      <w:r w:rsidRPr="00520489">
        <w:t xml:space="preserve">SOP Index </w:t>
      </w:r>
      <w:r w:rsidR="00B42127">
        <w:t>N</w:t>
      </w:r>
      <w:r w:rsidR="008E0159">
        <w:t>o</w:t>
      </w:r>
      <w:r w:rsidRPr="00520489">
        <w:t>.:</w:t>
      </w:r>
    </w:p>
    <w:p w14:paraId="2E2A5D70" w14:textId="08C931F5" w:rsidR="009764B8" w:rsidRPr="00EF0801" w:rsidRDefault="009764B8" w:rsidP="00565F9A">
      <w:pPr>
        <w:pStyle w:val="APDBodyText"/>
      </w:pPr>
      <w:r w:rsidRPr="00565F9A">
        <w:t>Site operating permit (SOP) applicants should indicate the SOP index number for the unit or group of units (maximum</w:t>
      </w:r>
      <w:r w:rsidR="00EE767E" w:rsidRPr="00565F9A">
        <w:t> </w:t>
      </w:r>
      <w:r w:rsidRPr="00565F9A">
        <w:t>15</w:t>
      </w:r>
      <w:r w:rsidR="00811EB2" w:rsidRPr="00565F9A">
        <w:t> </w:t>
      </w:r>
      <w:r w:rsidRPr="00565F9A">
        <w:t xml:space="preserve">characters consisting of numeric, alphanumeric characters, and/or dashes prefixed by a code for the applicable regulation [i.e., 60KB-XXXX]). </w:t>
      </w:r>
      <w:r w:rsidR="00CC2143" w:rsidRPr="00565F9A">
        <w:t xml:space="preserve">For additional information relating to SOP index numbers, please see the Completing FOP Applications – Additional Guidance on the TCEQ website at </w:t>
      </w:r>
      <w:hyperlink r:id="rId44" w:tooltip="TCEQ - Completing FOP Applications - Additional Guidance" w:history="1">
        <w:r w:rsidR="00CF580F" w:rsidRPr="00F51613">
          <w:rPr>
            <w:rStyle w:val="Hyperlink"/>
          </w:rPr>
          <w:t>www.tceq.texas.gov/permitting/air/guidance/titlev/tv_fop_guidance.html</w:t>
        </w:r>
      </w:hyperlink>
      <w:r w:rsidR="00CC2143" w:rsidRPr="00EF0801">
        <w:t>.</w:t>
      </w:r>
    </w:p>
    <w:p w14:paraId="2A4F67EE" w14:textId="6B5B954E" w:rsidR="009764B8" w:rsidRPr="00520489" w:rsidRDefault="009764B8" w:rsidP="00520489">
      <w:pPr>
        <w:pStyle w:val="APDStrong"/>
      </w:pPr>
      <w:r w:rsidRPr="00520489">
        <w:t>Pb-Input:</w:t>
      </w:r>
    </w:p>
    <w:p w14:paraId="4352F1EC" w14:textId="2B144AD1" w:rsidR="009764B8" w:rsidRPr="00565F9A" w:rsidRDefault="009764B8" w:rsidP="00565F9A">
      <w:pPr>
        <w:pStyle w:val="APDBodyText"/>
      </w:pPr>
      <w:r w:rsidRPr="00565F9A">
        <w:t>Enter “</w:t>
      </w:r>
      <w:r w:rsidR="00B42127">
        <w:t>YES</w:t>
      </w:r>
      <w:r w:rsidRPr="00565F9A">
        <w:t>” if a heat input-based limit is used for lead. Otherwise, enter “</w:t>
      </w:r>
      <w:r w:rsidR="00B42127">
        <w:t>NO</w:t>
      </w:r>
      <w:r w:rsidR="00687EF9" w:rsidRPr="00565F9A">
        <w:t>.</w:t>
      </w:r>
      <w:r w:rsidRPr="00565F9A">
        <w:t>”</w:t>
      </w:r>
    </w:p>
    <w:p w14:paraId="6017CA1E" w14:textId="2B400510" w:rsidR="009764B8" w:rsidRPr="00520489" w:rsidRDefault="009764B8" w:rsidP="00520489">
      <w:pPr>
        <w:pStyle w:val="APDStrong"/>
      </w:pPr>
      <w:r w:rsidRPr="00520489">
        <w:t>Mn-Input:</w:t>
      </w:r>
    </w:p>
    <w:p w14:paraId="0BB1C382" w14:textId="09F76319" w:rsidR="009764B8" w:rsidRPr="00565F9A" w:rsidRDefault="009764B8" w:rsidP="00565F9A">
      <w:pPr>
        <w:pStyle w:val="APDBodyText"/>
      </w:pPr>
      <w:r w:rsidRPr="00565F9A">
        <w:t>Enter “</w:t>
      </w:r>
      <w:r w:rsidR="00B42127">
        <w:t>YES</w:t>
      </w:r>
      <w:r w:rsidRPr="00565F9A">
        <w:t>” if a heat input-based limit is used for manganese. Otherwise, enter “</w:t>
      </w:r>
      <w:r w:rsidR="00B42127">
        <w:t>NO</w:t>
      </w:r>
      <w:r w:rsidR="00687EF9" w:rsidRPr="00565F9A">
        <w:t>.</w:t>
      </w:r>
      <w:r w:rsidRPr="00565F9A">
        <w:t>”</w:t>
      </w:r>
    </w:p>
    <w:p w14:paraId="3DA60734" w14:textId="255DDB18" w:rsidR="009764B8" w:rsidRPr="00520489" w:rsidRDefault="009764B8" w:rsidP="00520489">
      <w:pPr>
        <w:pStyle w:val="APDStrong"/>
      </w:pPr>
      <w:r w:rsidRPr="00520489">
        <w:t>Ni-Input:</w:t>
      </w:r>
    </w:p>
    <w:p w14:paraId="256F197A" w14:textId="34FC88E4" w:rsidR="009764B8" w:rsidRPr="00565F9A" w:rsidRDefault="009764B8" w:rsidP="00565F9A">
      <w:pPr>
        <w:pStyle w:val="APDBodyText"/>
      </w:pPr>
      <w:r w:rsidRPr="00565F9A">
        <w:t>Enter “</w:t>
      </w:r>
      <w:r w:rsidR="00B42127">
        <w:t>YES</w:t>
      </w:r>
      <w:r w:rsidRPr="00565F9A">
        <w:t>” if a heat input-based limit is used for nickel. Otherwise, enter “</w:t>
      </w:r>
      <w:r w:rsidR="00B42127">
        <w:t>NO</w:t>
      </w:r>
      <w:r w:rsidR="00687EF9" w:rsidRPr="00565F9A">
        <w:t>.</w:t>
      </w:r>
      <w:r w:rsidRPr="00565F9A">
        <w:t>”</w:t>
      </w:r>
    </w:p>
    <w:p w14:paraId="32313104" w14:textId="64E69975" w:rsidR="009764B8" w:rsidRPr="00520489" w:rsidRDefault="009764B8" w:rsidP="00520489">
      <w:pPr>
        <w:pStyle w:val="APDStrong"/>
      </w:pPr>
      <w:r w:rsidRPr="00520489">
        <w:lastRenderedPageBreak/>
        <w:t>Se-Input:</w:t>
      </w:r>
    </w:p>
    <w:p w14:paraId="24323C2C" w14:textId="75D58C92" w:rsidR="009764B8" w:rsidRPr="00565F9A" w:rsidRDefault="009764B8" w:rsidP="00565F9A">
      <w:pPr>
        <w:pStyle w:val="APDBodyText"/>
      </w:pPr>
      <w:r w:rsidRPr="00565F9A">
        <w:t>Enter “</w:t>
      </w:r>
      <w:r w:rsidR="00B42127">
        <w:t>YES</w:t>
      </w:r>
      <w:r w:rsidRPr="00565F9A">
        <w:t>” if a heat input-based limit is used for selenium. Otherwise, enter “</w:t>
      </w:r>
      <w:r w:rsidR="00B42127">
        <w:t>NO</w:t>
      </w:r>
      <w:r w:rsidR="00687EF9" w:rsidRPr="00565F9A">
        <w:t>.</w:t>
      </w:r>
      <w:r w:rsidRPr="00565F9A">
        <w:t>”</w:t>
      </w:r>
    </w:p>
    <w:p w14:paraId="363B3608" w14:textId="1C1F1E2E" w:rsidR="009764B8" w:rsidRPr="00520489" w:rsidRDefault="009764B8" w:rsidP="00520489">
      <w:pPr>
        <w:pStyle w:val="APDStrong"/>
      </w:pPr>
      <w:r w:rsidRPr="00520489">
        <w:t>Hg-Input-a:</w:t>
      </w:r>
    </w:p>
    <w:p w14:paraId="1894A6C7" w14:textId="429F62C2" w:rsidR="009764B8" w:rsidRPr="00565F9A" w:rsidRDefault="009764B8" w:rsidP="00565F9A">
      <w:pPr>
        <w:pStyle w:val="APDBodyText"/>
      </w:pPr>
      <w:r w:rsidRPr="00565F9A">
        <w:t>Enter “</w:t>
      </w:r>
      <w:r w:rsidR="00B42127">
        <w:t>YES</w:t>
      </w:r>
      <w:r w:rsidRPr="00565F9A">
        <w:t>” if a heat input-based limit is used for mercury. Otherwise, enter “</w:t>
      </w:r>
      <w:r w:rsidR="00B42127">
        <w:t>NO</w:t>
      </w:r>
      <w:r w:rsidR="00687EF9" w:rsidRPr="00565F9A">
        <w:t>.</w:t>
      </w:r>
      <w:r w:rsidRPr="00565F9A">
        <w:t>” (Applicable only if “Unit Fuel” is “LIQ-OIL.”)</w:t>
      </w:r>
    </w:p>
    <w:p w14:paraId="19CED9EA" w14:textId="77777777" w:rsidR="009764B8" w:rsidRPr="00EF0801" w:rsidRDefault="009764B8" w:rsidP="00390EE3">
      <w:pPr>
        <w:pStyle w:val="APDCompleteStar"/>
      </w:pPr>
      <w:r w:rsidRPr="00EF0801">
        <w:t>Complete “Pollutant-b” only if “Construction Status” is “NEW</w:t>
      </w:r>
      <w:r w:rsidR="00245C0E" w:rsidRPr="00EF0801">
        <w:t>”</w:t>
      </w:r>
      <w:r w:rsidRPr="00EF0801">
        <w:t xml:space="preserve"> or “RECON” and “Unit Fuel” is “8300BTU,” “LORANK,” IGCC” or “SO-OIL;” or if “Construction Status” is “EXIST” and “Unit Fuel” is “8300BTU,” “LORANK” or “SO-OIL.”</w:t>
      </w:r>
    </w:p>
    <w:p w14:paraId="2F8AB3A3" w14:textId="49F20220" w:rsidR="009764B8" w:rsidRPr="00565F9A" w:rsidRDefault="009764B8" w:rsidP="00565F9A">
      <w:pPr>
        <w:pStyle w:val="APDStrong"/>
      </w:pPr>
      <w:r w:rsidRPr="00565F9A">
        <w:rPr>
          <w:rStyle w:val="APDQuestion"/>
          <w:b/>
        </w:rPr>
        <w:t>Pollutant-b</w:t>
      </w:r>
      <w:r w:rsidRPr="00565F9A">
        <w:t>:</w:t>
      </w:r>
    </w:p>
    <w:p w14:paraId="771A2E95" w14:textId="77777777" w:rsidR="009764B8" w:rsidRDefault="009764B8" w:rsidP="00565F9A">
      <w:pPr>
        <w:pStyle w:val="APDBodyText"/>
      </w:pPr>
      <w:r w:rsidRPr="00565F9A">
        <w:t>Select one of the following options that describes the pollutant chosen to represent acid gas.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E0143A" w14:paraId="0508686A" w14:textId="77777777" w:rsidTr="00CF18F1">
        <w:tc>
          <w:tcPr>
            <w:tcW w:w="1530" w:type="dxa"/>
          </w:tcPr>
          <w:p w14:paraId="5D5D012B" w14:textId="214E2FF0" w:rsidR="00E0143A" w:rsidRPr="006B14BE" w:rsidRDefault="00E0143A" w:rsidP="00E0143A">
            <w:pPr>
              <w:rPr>
                <w:b/>
                <w:bCs/>
              </w:rPr>
            </w:pPr>
            <w:r w:rsidRPr="006B14BE">
              <w:rPr>
                <w:b/>
                <w:bCs/>
              </w:rPr>
              <w:t>Code</w:t>
            </w:r>
          </w:p>
        </w:tc>
        <w:tc>
          <w:tcPr>
            <w:tcW w:w="8550" w:type="dxa"/>
          </w:tcPr>
          <w:p w14:paraId="5402A889" w14:textId="4F91DD0F" w:rsidR="00E0143A" w:rsidRPr="006B14BE" w:rsidRDefault="00E0143A" w:rsidP="00E0143A">
            <w:pPr>
              <w:rPr>
                <w:b/>
                <w:bCs/>
              </w:rPr>
            </w:pPr>
            <w:r w:rsidRPr="006B14BE">
              <w:rPr>
                <w:b/>
                <w:bCs/>
              </w:rPr>
              <w:t>Description</w:t>
            </w:r>
          </w:p>
        </w:tc>
      </w:tr>
      <w:tr w:rsidR="00E0143A" w14:paraId="28A82868" w14:textId="77777777" w:rsidTr="00CF18F1">
        <w:tc>
          <w:tcPr>
            <w:tcW w:w="1530" w:type="dxa"/>
          </w:tcPr>
          <w:p w14:paraId="2E9A596A" w14:textId="29DA5E3E" w:rsidR="00E0143A" w:rsidRDefault="00E0143A" w:rsidP="00E0143A">
            <w:r w:rsidRPr="00192A66">
              <w:t>HCL</w:t>
            </w:r>
          </w:p>
        </w:tc>
        <w:tc>
          <w:tcPr>
            <w:tcW w:w="8550" w:type="dxa"/>
          </w:tcPr>
          <w:p w14:paraId="7265061B" w14:textId="395E498A" w:rsidR="00E0143A" w:rsidRDefault="00E0143A" w:rsidP="00E0143A">
            <w:r w:rsidRPr="00192A66">
              <w:t>Hydrogen chloride is a surrogate for acid gas HAP.</w:t>
            </w:r>
          </w:p>
        </w:tc>
      </w:tr>
      <w:tr w:rsidR="00E0143A" w14:paraId="7C341601" w14:textId="77777777" w:rsidTr="00CF18F1">
        <w:tc>
          <w:tcPr>
            <w:tcW w:w="1530" w:type="dxa"/>
          </w:tcPr>
          <w:p w14:paraId="5622D527" w14:textId="713804E0" w:rsidR="00E0143A" w:rsidRDefault="00E0143A" w:rsidP="00E0143A">
            <w:r w:rsidRPr="00192A66">
              <w:t>SO</w:t>
            </w:r>
            <w:r w:rsidRPr="00192A66">
              <w:rPr>
                <w:vertAlign w:val="subscript"/>
              </w:rPr>
              <w:t>2</w:t>
            </w:r>
          </w:p>
        </w:tc>
        <w:tc>
          <w:tcPr>
            <w:tcW w:w="8550" w:type="dxa"/>
          </w:tcPr>
          <w:p w14:paraId="11581BED" w14:textId="0D200C19" w:rsidR="00E0143A" w:rsidRDefault="00E0143A" w:rsidP="00E0143A">
            <w:r w:rsidRPr="00192A66">
              <w:t>Sulfur dioxide is a surrogate for acid gas HAP.</w:t>
            </w:r>
          </w:p>
        </w:tc>
      </w:tr>
    </w:tbl>
    <w:p w14:paraId="4C5F5BAA" w14:textId="77777777" w:rsidR="009764B8" w:rsidRPr="00EF0801" w:rsidRDefault="009764B8" w:rsidP="009764B8">
      <w:pPr>
        <w:pBdr>
          <w:bottom w:val="double" w:sz="4" w:space="1" w:color="auto"/>
        </w:pBdr>
      </w:pPr>
    </w:p>
    <w:p w14:paraId="5A102873" w14:textId="10D7534B" w:rsidR="009764B8" w:rsidRPr="006D2479" w:rsidRDefault="009764B8" w:rsidP="002C7C54">
      <w:pPr>
        <w:pStyle w:val="APDChapterTitles"/>
        <w:rPr>
          <w:rStyle w:val="APDTableChapterChar"/>
          <w:b/>
          <w:bCs w:val="0"/>
        </w:rPr>
      </w:pPr>
      <w:hyperlink w:anchor="TBL_13e" w:tooltip="Table 13e" w:history="1">
        <w:bookmarkStart w:id="125" w:name="_Toc180398519"/>
        <w:bookmarkStart w:id="126" w:name="_Toc180398573"/>
        <w:r w:rsidRPr="001179BD">
          <w:rPr>
            <w:rStyle w:val="Hyperlink"/>
            <w:b/>
            <w:bCs w:val="0"/>
          </w:rPr>
          <w:t>Table 13e</w:t>
        </w:r>
      </w:hyperlink>
      <w:r w:rsidRPr="001179BD">
        <w:rPr>
          <w:rStyle w:val="Hyperlink"/>
          <w:b/>
          <w:bCs w:val="0"/>
        </w:rPr>
        <w:t>:</w:t>
      </w:r>
      <w:r w:rsidRPr="00EF0801">
        <w:tab/>
      </w:r>
      <w:r w:rsidRPr="006D2479">
        <w:rPr>
          <w:rStyle w:val="APDTableChapterChar"/>
          <w:b/>
        </w:rPr>
        <w:t>Title 40 Code of Federal Regulations Part 63 (40 CFR Part 63)</w:t>
      </w:r>
      <w:r w:rsidR="00215D7D" w:rsidRPr="006D2479">
        <w:rPr>
          <w:rStyle w:val="APDTableChapterChar"/>
          <w:b/>
        </w:rPr>
        <w:t xml:space="preserve">, </w:t>
      </w:r>
      <w:r w:rsidRPr="006D2479">
        <w:rPr>
          <w:rStyle w:val="APDTableChapterChar"/>
          <w:b/>
        </w:rPr>
        <w:t>Subpart UUUUU: Coal- and Oil</w:t>
      </w:r>
      <w:r w:rsidR="009434D4" w:rsidRPr="006D2479">
        <w:rPr>
          <w:rStyle w:val="APDTableChapterChar"/>
          <w:b/>
        </w:rPr>
        <w:noBreakHyphen/>
      </w:r>
      <w:r w:rsidRPr="006D2479">
        <w:rPr>
          <w:rStyle w:val="APDTableChapterChar"/>
          <w:b/>
        </w:rPr>
        <w:t>Fired Electric Utility Steam Generating Units</w:t>
      </w:r>
      <w:bookmarkEnd w:id="125"/>
      <w:bookmarkEnd w:id="126"/>
    </w:p>
    <w:p w14:paraId="38ECAF4D" w14:textId="1196DE90" w:rsidR="009764B8" w:rsidRPr="00520489" w:rsidRDefault="009764B8" w:rsidP="00520489">
      <w:pPr>
        <w:pStyle w:val="APDStrong"/>
      </w:pPr>
      <w:r w:rsidRPr="00520489">
        <w:t xml:space="preserve">Unit ID </w:t>
      </w:r>
      <w:r w:rsidR="00B42127">
        <w:t>N</w:t>
      </w:r>
      <w:r w:rsidR="008E0159">
        <w:t>o</w:t>
      </w:r>
      <w:r w:rsidR="00433E42" w:rsidRPr="00520489">
        <w:t>.:</w:t>
      </w:r>
    </w:p>
    <w:p w14:paraId="6B0DE98C" w14:textId="3F8B1168" w:rsidR="009764B8" w:rsidRPr="00565F9A" w:rsidRDefault="009764B8" w:rsidP="00565F9A">
      <w:pPr>
        <w:pStyle w:val="APDBodyText"/>
      </w:pPr>
      <w:r w:rsidRPr="00565F9A">
        <w:t xml:space="preserve">Enter the identification number (ID </w:t>
      </w:r>
      <w:r w:rsidR="00B42127">
        <w:t>N</w:t>
      </w:r>
      <w:r w:rsidR="005667BA">
        <w:t>o</w:t>
      </w:r>
      <w:r w:rsidRPr="00565F9A">
        <w:t>.) for the unit (maximum 10 characters) as listed on Form OP SUM (Individual</w:t>
      </w:r>
      <w:r w:rsidR="00EE767E" w:rsidRPr="00565F9A">
        <w:t> </w:t>
      </w:r>
      <w:r w:rsidRPr="00565F9A">
        <w:t>Unit Summary).</w:t>
      </w:r>
    </w:p>
    <w:p w14:paraId="0FC59221" w14:textId="643205A2" w:rsidR="009764B8" w:rsidRPr="00520489" w:rsidRDefault="009764B8" w:rsidP="00520489">
      <w:pPr>
        <w:pStyle w:val="APDStrong"/>
      </w:pPr>
      <w:r w:rsidRPr="00520489">
        <w:t xml:space="preserve">SOP Index </w:t>
      </w:r>
      <w:r w:rsidR="00B42127">
        <w:t>N</w:t>
      </w:r>
      <w:r w:rsidR="008E0159">
        <w:t>o</w:t>
      </w:r>
      <w:r w:rsidR="00433E42" w:rsidRPr="00520489">
        <w:t>.:</w:t>
      </w:r>
    </w:p>
    <w:p w14:paraId="2983AF9E" w14:textId="554C208B" w:rsidR="00215D7D" w:rsidRDefault="009764B8" w:rsidP="00565F9A">
      <w:pPr>
        <w:pStyle w:val="APDBodyText"/>
      </w:pPr>
      <w:r w:rsidRPr="00565F9A">
        <w:t>Site operating permit (SOP) applicants should indicate the SOP index number for the unit or group of units (maximum</w:t>
      </w:r>
      <w:r w:rsidR="00EE767E" w:rsidRPr="00565F9A">
        <w:t> </w:t>
      </w:r>
      <w:r w:rsidRPr="00565F9A">
        <w:t>15</w:t>
      </w:r>
      <w:r w:rsidR="00EE767E" w:rsidRPr="00565F9A">
        <w:t> </w:t>
      </w:r>
      <w:r w:rsidRPr="00565F9A">
        <w:t xml:space="preserve">characters consisting of numeric, alphanumeric characters, and/or dashes prefixed by a code for the applicable regulation [i.e., 60KB-XXXX]). </w:t>
      </w:r>
      <w:r w:rsidR="00CC2143" w:rsidRPr="00565F9A">
        <w:t xml:space="preserve">For additional information relating to SOP index numbers, please see the Completing FOP Applications – Additional Guidance on the TCEQ website at </w:t>
      </w:r>
      <w:hyperlink r:id="rId45" w:tooltip="TCEQ - Completing FOP Applications - Additional Guidance" w:history="1">
        <w:r w:rsidR="00CF580F" w:rsidRPr="00F51613">
          <w:rPr>
            <w:rStyle w:val="Hyperlink"/>
          </w:rPr>
          <w:t>www.tceq.texas.gov/permitting/air/guidance/titlev/tv_fop_guidance.html</w:t>
        </w:r>
      </w:hyperlink>
      <w:r w:rsidR="00CC2143" w:rsidRPr="00EF0801">
        <w:t>.</w:t>
      </w:r>
    </w:p>
    <w:p w14:paraId="3BF4F9A5" w14:textId="77777777" w:rsidR="009764B8" w:rsidRPr="00EF0801" w:rsidRDefault="009764B8" w:rsidP="00390EE3">
      <w:pPr>
        <w:pStyle w:val="APDCompleteStar"/>
      </w:pPr>
      <w:r w:rsidRPr="00EF0801">
        <w:t>Complete “HCl-Input” only if “Construction Status” is “EXIST” and “Unit Fuel” is “IGCC” or “LIQ</w:t>
      </w:r>
      <w:r w:rsidR="00437226" w:rsidRPr="00EF0801">
        <w:noBreakHyphen/>
      </w:r>
      <w:r w:rsidRPr="00EF0801">
        <w:t>OIL;” or if “Construction Status” is “EXIST” and “Pollutant-b” is “HCL.”</w:t>
      </w:r>
    </w:p>
    <w:p w14:paraId="401A0017" w14:textId="591019D8" w:rsidR="009764B8" w:rsidRPr="00D8525E" w:rsidRDefault="009764B8" w:rsidP="00D8525E">
      <w:pPr>
        <w:pStyle w:val="APDStrong"/>
      </w:pPr>
      <w:r w:rsidRPr="00D8525E">
        <w:t>HCl-Input:</w:t>
      </w:r>
    </w:p>
    <w:p w14:paraId="40824155" w14:textId="27889856" w:rsidR="009764B8" w:rsidRPr="0057795C" w:rsidRDefault="009764B8" w:rsidP="0057795C">
      <w:pPr>
        <w:pStyle w:val="APDBodyText"/>
      </w:pPr>
      <w:r w:rsidRPr="0057795C">
        <w:t>Enter “</w:t>
      </w:r>
      <w:r w:rsidR="00B42127">
        <w:t>YES</w:t>
      </w:r>
      <w:r w:rsidRPr="0057795C">
        <w:t>” if a heat input-based limit is used for hydrogen chloride. Otherwise, enter “</w:t>
      </w:r>
      <w:r w:rsidR="00B42127">
        <w:t>NO</w:t>
      </w:r>
      <w:r w:rsidR="00245C0E" w:rsidRPr="0057795C">
        <w:t>.</w:t>
      </w:r>
      <w:r w:rsidRPr="0057795C">
        <w:t>”</w:t>
      </w:r>
    </w:p>
    <w:p w14:paraId="60111E96" w14:textId="62B73CDB" w:rsidR="009764B8" w:rsidRPr="00EF0801" w:rsidRDefault="009764B8" w:rsidP="00390EE3">
      <w:pPr>
        <w:pStyle w:val="APDCompleteStar"/>
      </w:pPr>
      <w:r w:rsidRPr="00EF0801">
        <w:t>Complete “</w:t>
      </w:r>
      <w:r w:rsidR="004F6614">
        <w:t>SO</w:t>
      </w:r>
      <w:r w:rsidR="00021444" w:rsidRPr="00021444">
        <w:rPr>
          <w:vertAlign w:val="subscript"/>
        </w:rPr>
        <w:t>2</w:t>
      </w:r>
      <w:r w:rsidRPr="00EF0801">
        <w:t>-Input” only if “Construction Status” is “EXIST” and “Pollutant-b” is “</w:t>
      </w:r>
      <w:r w:rsidR="004F6614">
        <w:t>SO</w:t>
      </w:r>
      <w:r w:rsidR="00021444" w:rsidRPr="00021444">
        <w:rPr>
          <w:vertAlign w:val="subscript"/>
        </w:rPr>
        <w:t>2</w:t>
      </w:r>
      <w:r w:rsidRPr="00EF0801">
        <w:t>.”</w:t>
      </w:r>
    </w:p>
    <w:p w14:paraId="0BCF4FFD" w14:textId="66D48039" w:rsidR="009764B8" w:rsidRPr="00D8525E" w:rsidRDefault="004F6614" w:rsidP="00D8525E">
      <w:pPr>
        <w:pStyle w:val="APDStrong"/>
      </w:pPr>
      <w:r>
        <w:t>SO</w:t>
      </w:r>
      <w:r w:rsidR="00021444" w:rsidRPr="00021444">
        <w:rPr>
          <w:vertAlign w:val="subscript"/>
        </w:rPr>
        <w:t>2</w:t>
      </w:r>
      <w:r w:rsidR="009764B8" w:rsidRPr="00D8525E">
        <w:t>-Input:</w:t>
      </w:r>
    </w:p>
    <w:p w14:paraId="2B3C5B2D" w14:textId="0E53EACC" w:rsidR="009764B8" w:rsidRPr="0057795C" w:rsidRDefault="009764B8" w:rsidP="0057795C">
      <w:pPr>
        <w:pStyle w:val="APDBodyText"/>
      </w:pPr>
      <w:r w:rsidRPr="0057795C">
        <w:t>Enter “</w:t>
      </w:r>
      <w:r w:rsidR="00B42127">
        <w:t>YES</w:t>
      </w:r>
      <w:r w:rsidRPr="0057795C">
        <w:t>” if a heat input-based limit is used for sulfur dioxide. Otherwise, enter “</w:t>
      </w:r>
      <w:r w:rsidR="00B42127">
        <w:t>NO</w:t>
      </w:r>
      <w:r w:rsidR="00245C0E" w:rsidRPr="0057795C">
        <w:t>.</w:t>
      </w:r>
      <w:r w:rsidRPr="0057795C">
        <w:t>”</w:t>
      </w:r>
    </w:p>
    <w:p w14:paraId="4582A504" w14:textId="7495FAE1" w:rsidR="009764B8" w:rsidRPr="00EF0801" w:rsidRDefault="009764B8" w:rsidP="00390EE3">
      <w:pPr>
        <w:pStyle w:val="APDCompleteStar"/>
      </w:pPr>
      <w:r w:rsidRPr="00EF0801">
        <w:t>Complete “Hg-Input-c” only if “Construction Status” is “EXIST” and “Unit Fuel” is other than “LIQ-OIL;” or if “Construction Status” is “EXIST” and “Unit Fuel” is “LIQ-OIL” and “Pollutant-a” is “INDHAP.”</w:t>
      </w:r>
    </w:p>
    <w:p w14:paraId="400151DC" w14:textId="311B76F9" w:rsidR="009764B8" w:rsidRPr="00D8525E" w:rsidRDefault="009764B8" w:rsidP="00D8525E">
      <w:pPr>
        <w:pStyle w:val="APDStrong"/>
      </w:pPr>
      <w:r w:rsidRPr="00D8525E">
        <w:t>Hg-Input-c:</w:t>
      </w:r>
    </w:p>
    <w:p w14:paraId="0DAE42BC" w14:textId="31C0A004" w:rsidR="009764B8" w:rsidRPr="0057795C" w:rsidRDefault="009764B8" w:rsidP="0057795C">
      <w:pPr>
        <w:pStyle w:val="APDBodyText"/>
      </w:pPr>
      <w:r w:rsidRPr="0057795C">
        <w:t>Enter “</w:t>
      </w:r>
      <w:r w:rsidR="00B42127">
        <w:t>YES</w:t>
      </w:r>
      <w:r w:rsidRPr="0057795C">
        <w:t>” if a heat input-based limit is used for mercury. Otherwise, enter “</w:t>
      </w:r>
      <w:r w:rsidR="00B42127">
        <w:t>NO</w:t>
      </w:r>
      <w:r w:rsidR="00245C0E" w:rsidRPr="0057795C">
        <w:t>.</w:t>
      </w:r>
      <w:r w:rsidRPr="0057795C">
        <w:t>”</w:t>
      </w:r>
    </w:p>
    <w:p w14:paraId="7142E9A8" w14:textId="3A15E243" w:rsidR="009764B8" w:rsidRPr="00EF0801" w:rsidRDefault="009764B8" w:rsidP="00390EE3">
      <w:pPr>
        <w:pStyle w:val="APDCompleteStar"/>
      </w:pPr>
      <w:r w:rsidRPr="00EF0801">
        <w:t>Complete “Hg LEE Test” only if “Construction Status” is “EXIST” and “Unit Fuel” is “8300BTU</w:t>
      </w:r>
      <w:r w:rsidR="001574F4">
        <w:t>.</w:t>
      </w:r>
      <w:r w:rsidRPr="00EF0801">
        <w:t>”</w:t>
      </w:r>
    </w:p>
    <w:p w14:paraId="52F57CA9" w14:textId="77777777" w:rsidR="00C54F5B" w:rsidRDefault="00C54F5B" w:rsidP="00D8525E">
      <w:pPr>
        <w:pStyle w:val="APDStrong"/>
        <w:sectPr w:rsidR="00C54F5B" w:rsidSect="0031268E">
          <w:pgSz w:w="12240" w:h="15840" w:code="1"/>
          <w:pgMar w:top="720" w:right="720" w:bottom="720" w:left="720" w:header="720" w:footer="720" w:gutter="0"/>
          <w:cols w:space="720"/>
          <w:titlePg/>
          <w:docGrid w:linePitch="360"/>
        </w:sectPr>
      </w:pPr>
    </w:p>
    <w:p w14:paraId="2F0AB730" w14:textId="4D4F3C60" w:rsidR="009764B8" w:rsidRPr="00D8525E" w:rsidRDefault="009764B8" w:rsidP="00D8525E">
      <w:pPr>
        <w:pStyle w:val="APDStrong"/>
      </w:pPr>
      <w:r w:rsidRPr="00D8525E">
        <w:lastRenderedPageBreak/>
        <w:t>Hg LEE Test:</w:t>
      </w:r>
    </w:p>
    <w:p w14:paraId="4922684E" w14:textId="77777777" w:rsidR="009764B8" w:rsidRDefault="009764B8" w:rsidP="0057795C">
      <w:pPr>
        <w:pStyle w:val="APDBodyText"/>
      </w:pPr>
      <w:r w:rsidRPr="0057795C">
        <w:t>Select one of the following options that describes the Hg LEE Testing period.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8E09DE" w14:paraId="71DD38C3" w14:textId="77777777" w:rsidTr="00EC6659">
        <w:trPr>
          <w:cantSplit/>
          <w:tblHeader/>
        </w:trPr>
        <w:tc>
          <w:tcPr>
            <w:tcW w:w="1530" w:type="dxa"/>
          </w:tcPr>
          <w:p w14:paraId="2B1B92C8" w14:textId="4C4E4402" w:rsidR="008E09DE" w:rsidRPr="008E09DE" w:rsidRDefault="008E09DE" w:rsidP="008E09DE">
            <w:pPr>
              <w:pStyle w:val="APDBodyText"/>
              <w:rPr>
                <w:b/>
                <w:bCs/>
              </w:rPr>
            </w:pPr>
            <w:r w:rsidRPr="008E09DE">
              <w:rPr>
                <w:b/>
                <w:bCs/>
              </w:rPr>
              <w:t>Code</w:t>
            </w:r>
          </w:p>
        </w:tc>
        <w:tc>
          <w:tcPr>
            <w:tcW w:w="8550" w:type="dxa"/>
          </w:tcPr>
          <w:p w14:paraId="5BDABEF9" w14:textId="7193EF2B" w:rsidR="008E09DE" w:rsidRPr="008E09DE" w:rsidRDefault="008E09DE" w:rsidP="008E09DE">
            <w:pPr>
              <w:pStyle w:val="APDBodyText"/>
              <w:rPr>
                <w:b/>
                <w:bCs/>
              </w:rPr>
            </w:pPr>
            <w:r w:rsidRPr="008E09DE">
              <w:rPr>
                <w:b/>
                <w:bCs/>
              </w:rPr>
              <w:t>Description</w:t>
            </w:r>
          </w:p>
        </w:tc>
      </w:tr>
      <w:tr w:rsidR="008E09DE" w14:paraId="3090D3DE" w14:textId="77777777" w:rsidTr="00EC6659">
        <w:trPr>
          <w:cantSplit/>
          <w:tblHeader/>
        </w:trPr>
        <w:tc>
          <w:tcPr>
            <w:tcW w:w="1530" w:type="dxa"/>
          </w:tcPr>
          <w:p w14:paraId="4ED776AB" w14:textId="534B3AC8" w:rsidR="008E09DE" w:rsidRDefault="008E09DE" w:rsidP="008E09DE">
            <w:pPr>
              <w:pStyle w:val="APDBodyText"/>
            </w:pPr>
            <w:r w:rsidRPr="00C95853">
              <w:t>30</w:t>
            </w:r>
          </w:p>
        </w:tc>
        <w:tc>
          <w:tcPr>
            <w:tcW w:w="8550" w:type="dxa"/>
          </w:tcPr>
          <w:p w14:paraId="3AF05244" w14:textId="081AF5BC" w:rsidR="008E09DE" w:rsidRDefault="008E09DE" w:rsidP="008E09DE">
            <w:pPr>
              <w:pStyle w:val="APDBodyText"/>
            </w:pPr>
            <w:r w:rsidRPr="00C95853">
              <w:t>LEE Testing is conducted for 30 days</w:t>
            </w:r>
          </w:p>
        </w:tc>
      </w:tr>
      <w:tr w:rsidR="008E09DE" w14:paraId="03F0287E" w14:textId="77777777" w:rsidTr="00EC6659">
        <w:trPr>
          <w:cantSplit/>
          <w:tblHeader/>
        </w:trPr>
        <w:tc>
          <w:tcPr>
            <w:tcW w:w="1530" w:type="dxa"/>
          </w:tcPr>
          <w:p w14:paraId="3F1CCB55" w14:textId="0D51D011" w:rsidR="008E09DE" w:rsidRDefault="008E09DE" w:rsidP="008E09DE">
            <w:pPr>
              <w:pStyle w:val="APDBodyText"/>
            </w:pPr>
            <w:r w:rsidRPr="00C95853">
              <w:t>90</w:t>
            </w:r>
          </w:p>
        </w:tc>
        <w:tc>
          <w:tcPr>
            <w:tcW w:w="8550" w:type="dxa"/>
          </w:tcPr>
          <w:p w14:paraId="4EB153FE" w14:textId="16A7DA72" w:rsidR="008E09DE" w:rsidRDefault="008E09DE" w:rsidP="008E09DE">
            <w:pPr>
              <w:pStyle w:val="APDBodyText"/>
            </w:pPr>
            <w:r w:rsidRPr="00C95853">
              <w:t>LEE Testing is conducted for 90 days</w:t>
            </w:r>
          </w:p>
        </w:tc>
      </w:tr>
    </w:tbl>
    <w:p w14:paraId="7299FC10" w14:textId="77777777" w:rsidR="009764B8" w:rsidRPr="00EF0801" w:rsidRDefault="009764B8" w:rsidP="00390EE3">
      <w:pPr>
        <w:pStyle w:val="APDCompleteStar"/>
      </w:pPr>
      <w:r w:rsidRPr="00EF0801">
        <w:t>Complete “HF-Input” only if “Construction Status” is “EXIST” and “Unit Fuel” is “LIQ-OIL.”</w:t>
      </w:r>
    </w:p>
    <w:p w14:paraId="1867F52A" w14:textId="76D2F680" w:rsidR="009764B8" w:rsidRPr="00D8525E" w:rsidRDefault="009764B8" w:rsidP="00D8525E">
      <w:pPr>
        <w:pStyle w:val="APDStrong"/>
      </w:pPr>
      <w:r w:rsidRPr="00D8525E">
        <w:t>HF-Input:</w:t>
      </w:r>
    </w:p>
    <w:p w14:paraId="67350FC4" w14:textId="1308E5D4" w:rsidR="009764B8" w:rsidRPr="0057795C" w:rsidRDefault="009764B8" w:rsidP="0057795C">
      <w:pPr>
        <w:pStyle w:val="APDBodyText"/>
      </w:pPr>
      <w:r w:rsidRPr="0057795C">
        <w:t>Enter “</w:t>
      </w:r>
      <w:r w:rsidR="00B42127">
        <w:t>YES</w:t>
      </w:r>
      <w:r w:rsidRPr="0057795C">
        <w:t>” if a heat input-based limit is used for hydrogen fluoride. Otherwise, enter “</w:t>
      </w:r>
      <w:r w:rsidR="00B42127">
        <w:t>NO</w:t>
      </w:r>
      <w:r w:rsidR="00245C0E" w:rsidRPr="0057795C">
        <w:t>.</w:t>
      </w:r>
      <w:r w:rsidRPr="0057795C">
        <w:t>”</w:t>
      </w:r>
    </w:p>
    <w:p w14:paraId="79AAC54A" w14:textId="77777777" w:rsidR="009764B8" w:rsidRPr="00EF0801" w:rsidRDefault="009764B8" w:rsidP="00390EE3">
      <w:pPr>
        <w:pStyle w:val="APDCompleteStar"/>
      </w:pPr>
      <w:r w:rsidRPr="00EF0801">
        <w:t>Complete “Scrubber/Bypass” only if “Unit Fuel” is “8300BTU,” “LORANK,” “IGCC” or “SO-OIL.”</w:t>
      </w:r>
    </w:p>
    <w:p w14:paraId="275FA816" w14:textId="77777777" w:rsidR="009764B8" w:rsidRPr="00D8525E" w:rsidRDefault="009764B8" w:rsidP="00D8525E">
      <w:pPr>
        <w:pStyle w:val="APDStrong"/>
      </w:pPr>
      <w:r w:rsidRPr="00D8525E">
        <w:t>Scrubber/Bypass</w:t>
      </w:r>
      <w:r w:rsidR="00BE0313" w:rsidRPr="00D8525E">
        <w:t xml:space="preserve">: </w:t>
      </w:r>
    </w:p>
    <w:p w14:paraId="1BC025BE" w14:textId="734C2B1F" w:rsidR="009764B8" w:rsidRPr="0057795C" w:rsidRDefault="009764B8" w:rsidP="0057795C">
      <w:pPr>
        <w:pStyle w:val="APDBodyText"/>
      </w:pPr>
      <w:r w:rsidRPr="0057795C">
        <w:t>Enter “</w:t>
      </w:r>
      <w:r w:rsidR="00B42127">
        <w:t>YES</w:t>
      </w:r>
      <w:r w:rsidRPr="0057795C">
        <w:t xml:space="preserve">” if the EGU is equipped with an acid gas scrubber </w:t>
      </w:r>
      <w:r w:rsidR="00CF4181" w:rsidRPr="0057795C">
        <w:t>and</w:t>
      </w:r>
      <w:r w:rsidRPr="0057795C">
        <w:t xml:space="preserve"> has a main stack and bypass stack exhaust configuration. Otherwise, enter “</w:t>
      </w:r>
      <w:r w:rsidR="00B42127">
        <w:t>NO</w:t>
      </w:r>
      <w:r w:rsidR="00245C0E" w:rsidRPr="0057795C">
        <w:t>.</w:t>
      </w:r>
      <w:r w:rsidRPr="0057795C">
        <w:t xml:space="preserve">” </w:t>
      </w:r>
    </w:p>
    <w:p w14:paraId="3574A405" w14:textId="77777777" w:rsidR="009764B8" w:rsidRPr="00EF0801" w:rsidRDefault="009764B8" w:rsidP="00390EE3">
      <w:pPr>
        <w:pStyle w:val="APDCompleteStar"/>
      </w:pPr>
      <w:r w:rsidRPr="00EF0801">
        <w:t>Complete “PM-LEE” only for the following:</w:t>
      </w:r>
    </w:p>
    <w:p w14:paraId="56C51DEB" w14:textId="66223FF2" w:rsidR="008A4CBC" w:rsidRPr="00EF0801" w:rsidRDefault="009764B8" w:rsidP="00E479D1">
      <w:pPr>
        <w:pStyle w:val="APDBulletListBold"/>
      </w:pPr>
      <w:r w:rsidRPr="00EF0801">
        <w:t>“Unit Fuel” is “8300BTU,” “LORANK,” “IGCC” or “SO-OIL;” “Pollutant-a” is “PM” and “Scrubber/Bypass” is “</w:t>
      </w:r>
      <w:r w:rsidR="00B42127">
        <w:t>NO</w:t>
      </w:r>
      <w:r w:rsidRPr="00EF0801">
        <w:t xml:space="preserve">;” </w:t>
      </w:r>
      <w:r w:rsidR="00C338B2" w:rsidRPr="00EF0801">
        <w:t xml:space="preserve">or </w:t>
      </w:r>
    </w:p>
    <w:p w14:paraId="6319B2DC" w14:textId="77777777" w:rsidR="009764B8" w:rsidRPr="00EF0801" w:rsidRDefault="009764B8" w:rsidP="00A14D21">
      <w:pPr>
        <w:pStyle w:val="APDBulletListBold"/>
        <w:spacing w:after="120"/>
      </w:pPr>
      <w:r w:rsidRPr="00EF0801">
        <w:t>“Unit Fuel” is “LIQ-OIL” and “Pollutant-a” is “PM.”</w:t>
      </w:r>
    </w:p>
    <w:p w14:paraId="6090954C" w14:textId="51E227A7" w:rsidR="009764B8" w:rsidRPr="00D8525E" w:rsidRDefault="009764B8" w:rsidP="00D8525E">
      <w:pPr>
        <w:pStyle w:val="APDStrong"/>
      </w:pPr>
      <w:r w:rsidRPr="00D8525E">
        <w:t>PM-LEE:</w:t>
      </w:r>
    </w:p>
    <w:p w14:paraId="25BC8184" w14:textId="41BB5204" w:rsidR="009764B8" w:rsidRPr="0057795C" w:rsidRDefault="009764B8" w:rsidP="0057795C">
      <w:pPr>
        <w:pStyle w:val="APDBodyText"/>
      </w:pPr>
      <w:r w:rsidRPr="0057795C">
        <w:t>Enter “</w:t>
      </w:r>
      <w:r w:rsidR="00B42127">
        <w:t>YES</w:t>
      </w:r>
      <w:r w:rsidRPr="0057795C">
        <w:t>” if the unit is qualifying as a low emitting EGU (LEE) for filterable PM. Otherwise, enter “</w:t>
      </w:r>
      <w:r w:rsidR="00B42127">
        <w:t>NO</w:t>
      </w:r>
      <w:r w:rsidR="00245C0E" w:rsidRPr="0057795C">
        <w:t>.</w:t>
      </w:r>
      <w:r w:rsidRPr="0057795C">
        <w:t>”</w:t>
      </w:r>
    </w:p>
    <w:p w14:paraId="4BC176ED" w14:textId="77777777" w:rsidR="009764B8" w:rsidRPr="00EF0801" w:rsidRDefault="009764B8" w:rsidP="009764B8">
      <w:pPr>
        <w:pBdr>
          <w:bottom w:val="double" w:sz="4" w:space="1" w:color="auto"/>
        </w:pBdr>
      </w:pPr>
    </w:p>
    <w:p w14:paraId="27076847" w14:textId="2FA31985" w:rsidR="009764B8" w:rsidRPr="00807AE9" w:rsidRDefault="009764B8" w:rsidP="002C7C54">
      <w:pPr>
        <w:pStyle w:val="APDChapterTitles"/>
        <w:rPr>
          <w:rStyle w:val="APDTableChapterChar"/>
          <w:b/>
          <w:bCs w:val="0"/>
        </w:rPr>
      </w:pPr>
      <w:hyperlink w:anchor="TBL_13f" w:tooltip="Table 13f" w:history="1">
        <w:bookmarkStart w:id="127" w:name="_Toc180398520"/>
        <w:bookmarkStart w:id="128" w:name="_Toc180398574"/>
        <w:r w:rsidRPr="00CA2D7D">
          <w:rPr>
            <w:rStyle w:val="Hyperlink"/>
            <w:b/>
            <w:bCs w:val="0"/>
          </w:rPr>
          <w:t>Table 13f</w:t>
        </w:r>
      </w:hyperlink>
      <w:r w:rsidRPr="00CA2D7D">
        <w:rPr>
          <w:rStyle w:val="Hyperlink"/>
          <w:b/>
          <w:bCs w:val="0"/>
        </w:rPr>
        <w:t>:</w:t>
      </w:r>
      <w:r w:rsidRPr="00EF0801">
        <w:tab/>
      </w:r>
      <w:r w:rsidRPr="00807AE9">
        <w:rPr>
          <w:rStyle w:val="APDTableChapterChar"/>
          <w:b/>
        </w:rPr>
        <w:t>Title 40 Code of Federal Regulations Part 63 (40 CFR Part 63)</w:t>
      </w:r>
      <w:r w:rsidR="00215D7D" w:rsidRPr="00807AE9">
        <w:rPr>
          <w:rStyle w:val="APDTableChapterChar"/>
          <w:b/>
        </w:rPr>
        <w:t xml:space="preserve">, </w:t>
      </w:r>
      <w:r w:rsidRPr="00807AE9">
        <w:rPr>
          <w:rStyle w:val="APDTableChapterChar"/>
          <w:b/>
        </w:rPr>
        <w:t>Subpart UUUUU:  Coal- and Oil</w:t>
      </w:r>
      <w:r w:rsidR="007F01F9" w:rsidRPr="00807AE9">
        <w:rPr>
          <w:rStyle w:val="APDTableChapterChar"/>
          <w:b/>
        </w:rPr>
        <w:noBreakHyphen/>
      </w:r>
      <w:r w:rsidRPr="00807AE9">
        <w:rPr>
          <w:rStyle w:val="APDTableChapterChar"/>
          <w:b/>
        </w:rPr>
        <w:t>Fired Electric Utility Steam Generating Units</w:t>
      </w:r>
      <w:bookmarkEnd w:id="127"/>
      <w:bookmarkEnd w:id="128"/>
    </w:p>
    <w:p w14:paraId="623829AF" w14:textId="52B0730D" w:rsidR="009764B8" w:rsidRPr="00D8525E" w:rsidRDefault="009764B8" w:rsidP="00D8525E">
      <w:pPr>
        <w:pStyle w:val="APDStrong"/>
      </w:pPr>
      <w:r w:rsidRPr="00D8525E">
        <w:t xml:space="preserve">Unit ID </w:t>
      </w:r>
      <w:r w:rsidR="00B42127">
        <w:t>N</w:t>
      </w:r>
      <w:r w:rsidR="008E0159">
        <w:t>o</w:t>
      </w:r>
      <w:r w:rsidRPr="00D8525E">
        <w:t>.:</w:t>
      </w:r>
    </w:p>
    <w:p w14:paraId="1FA40544" w14:textId="6B9F1235" w:rsidR="009764B8" w:rsidRPr="0057795C" w:rsidRDefault="009764B8" w:rsidP="0057795C">
      <w:pPr>
        <w:pStyle w:val="APDBodyText"/>
      </w:pPr>
      <w:r w:rsidRPr="0057795C">
        <w:t xml:space="preserve">Enter the identification number (ID </w:t>
      </w:r>
      <w:r w:rsidR="00B42127">
        <w:t>N</w:t>
      </w:r>
      <w:r w:rsidR="005667BA">
        <w:t>o</w:t>
      </w:r>
      <w:r w:rsidRPr="0057795C">
        <w:t>.) for the unit (maximum 10 characters) as listed on Form OP SUM (Individual</w:t>
      </w:r>
      <w:r w:rsidR="00EE767E" w:rsidRPr="0057795C">
        <w:t> </w:t>
      </w:r>
      <w:r w:rsidRPr="0057795C">
        <w:t>Unit Summary).</w:t>
      </w:r>
    </w:p>
    <w:p w14:paraId="726AC609" w14:textId="233E2A54" w:rsidR="009764B8" w:rsidRPr="00D8525E" w:rsidRDefault="009764B8" w:rsidP="00D8525E">
      <w:pPr>
        <w:pStyle w:val="APDStrong"/>
      </w:pPr>
      <w:r w:rsidRPr="00D8525E">
        <w:t xml:space="preserve">SOP Index </w:t>
      </w:r>
      <w:r w:rsidR="00B42127">
        <w:t>N</w:t>
      </w:r>
      <w:r w:rsidR="008E0159">
        <w:t>o</w:t>
      </w:r>
      <w:r w:rsidR="007F22A6" w:rsidRPr="00D8525E">
        <w:t>.:</w:t>
      </w:r>
    </w:p>
    <w:p w14:paraId="779D9C5A" w14:textId="4BC71620" w:rsidR="00215D7D" w:rsidRDefault="009764B8" w:rsidP="0057795C">
      <w:pPr>
        <w:pStyle w:val="APDBodyText"/>
      </w:pPr>
      <w:r w:rsidRPr="0057795C">
        <w:t>Site operating permit (SOP) applicants should indicate the SOP index number for the unit or group of units (maximum</w:t>
      </w:r>
      <w:r w:rsidR="00EE767E" w:rsidRPr="0057795C">
        <w:t> </w:t>
      </w:r>
      <w:r w:rsidRPr="0057795C">
        <w:t>15</w:t>
      </w:r>
      <w:r w:rsidR="00EE767E" w:rsidRPr="0057795C">
        <w:t> </w:t>
      </w:r>
      <w:r w:rsidRPr="0057795C">
        <w:t xml:space="preserve">characters consisting of numeric, alphanumeric characters, and/or dashes prefixed by a code for the applicable regulation [i.e., 60KB-XXXX]). </w:t>
      </w:r>
      <w:r w:rsidR="00CC2143" w:rsidRPr="0057795C">
        <w:t xml:space="preserve">For additional information relating to SOP index numbers, please see the Completing FOP Applications – Additional Guidance on the TCEQ website at </w:t>
      </w:r>
      <w:hyperlink r:id="rId46" w:tooltip="TCEQ - Completing FOP Applications - Additional Guidance" w:history="1">
        <w:r w:rsidR="00CF580F" w:rsidRPr="00F51613">
          <w:rPr>
            <w:rStyle w:val="Hyperlink"/>
          </w:rPr>
          <w:t>www.tceq.texas.gov/permitting/air/guidance/titlev/tv_fop_guidance.html</w:t>
        </w:r>
      </w:hyperlink>
      <w:r w:rsidR="00CC2143" w:rsidRPr="00EF0801">
        <w:t>.</w:t>
      </w:r>
    </w:p>
    <w:p w14:paraId="7294D576" w14:textId="6C6ECE09" w:rsidR="009764B8" w:rsidRPr="00EF0801" w:rsidRDefault="009764B8" w:rsidP="00390EE3">
      <w:pPr>
        <w:pStyle w:val="APDCompleteStar"/>
      </w:pPr>
      <w:r w:rsidRPr="00EF0801">
        <w:t>Complete “T</w:t>
      </w:r>
      <w:r w:rsidR="00527860">
        <w:t>OT</w:t>
      </w:r>
      <w:r w:rsidRPr="00EF0801">
        <w:t>HAP-LEE” only for the following:</w:t>
      </w:r>
    </w:p>
    <w:p w14:paraId="52CE12FE" w14:textId="3CC9FA2D" w:rsidR="008A4CBC" w:rsidRPr="00DE2506" w:rsidRDefault="009764B8" w:rsidP="00DE2506">
      <w:pPr>
        <w:pStyle w:val="APDBulletListBold"/>
      </w:pPr>
      <w:r w:rsidRPr="00DE2506">
        <w:t>“Unit Fuel” is “8300BTU,” “LORANK,” “IGCC” or “SO-OIL;” “Pollutant-a” is “TOTHAP” and “Scrubber/Bypass” is “</w:t>
      </w:r>
      <w:r w:rsidR="00B42127">
        <w:t>NO</w:t>
      </w:r>
      <w:r w:rsidRPr="00DE2506">
        <w:t>;” or</w:t>
      </w:r>
      <w:r w:rsidR="00C338B2" w:rsidRPr="00DE2506">
        <w:t xml:space="preserve"> </w:t>
      </w:r>
    </w:p>
    <w:p w14:paraId="46BB6F51" w14:textId="71E3268D" w:rsidR="009764B8" w:rsidRPr="00DE2506" w:rsidRDefault="009764B8" w:rsidP="00DE2506">
      <w:pPr>
        <w:pStyle w:val="APDBulletListBold"/>
        <w:spacing w:after="120"/>
      </w:pPr>
      <w:r w:rsidRPr="00DE2506">
        <w:t>“Unit Fuel” is “CONT-OIL” and “Pollutant-a” is “TOTHAP.”</w:t>
      </w:r>
    </w:p>
    <w:p w14:paraId="1FAA567C" w14:textId="44501356" w:rsidR="009764B8" w:rsidRPr="005F664C" w:rsidRDefault="009764B8" w:rsidP="005F664C">
      <w:pPr>
        <w:pStyle w:val="APDStrong"/>
      </w:pPr>
      <w:r w:rsidRPr="005F664C">
        <w:t>T</w:t>
      </w:r>
      <w:r w:rsidR="00EE767E" w:rsidRPr="005F664C">
        <w:t>OT</w:t>
      </w:r>
      <w:r w:rsidRPr="005F664C">
        <w:t>HAP-LEE:</w:t>
      </w:r>
    </w:p>
    <w:p w14:paraId="64C4A7A4" w14:textId="38DDF11F" w:rsidR="009764B8" w:rsidRPr="00DE2506" w:rsidRDefault="009764B8" w:rsidP="00DE2506">
      <w:pPr>
        <w:pStyle w:val="APDBodyText"/>
      </w:pPr>
      <w:r w:rsidRPr="00DE2506">
        <w:t>Enter “</w:t>
      </w:r>
      <w:r w:rsidR="00B42127">
        <w:t>YES</w:t>
      </w:r>
      <w:r w:rsidRPr="00DE2506">
        <w:t>” if the unit is qualifying as a low emitting EGU (LEE) for total non-Hg HAP metals or total HAP metals. Otherwise, enter “</w:t>
      </w:r>
      <w:r w:rsidR="00B42127">
        <w:t>NO</w:t>
      </w:r>
      <w:r w:rsidR="00245C0E" w:rsidRPr="00DE2506">
        <w:t>.</w:t>
      </w:r>
      <w:r w:rsidRPr="00DE2506">
        <w:t>”</w:t>
      </w:r>
    </w:p>
    <w:p w14:paraId="67601B30" w14:textId="77777777" w:rsidR="009764B8" w:rsidRPr="00EF0801" w:rsidRDefault="009764B8" w:rsidP="00390EE3">
      <w:pPr>
        <w:pStyle w:val="APDCompleteStar"/>
      </w:pPr>
      <w:r w:rsidRPr="00EF0801">
        <w:t>Complete LEE series below only for the following:</w:t>
      </w:r>
    </w:p>
    <w:p w14:paraId="315105D7" w14:textId="0810B853" w:rsidR="009764B8" w:rsidRPr="00EF0801" w:rsidRDefault="009764B8" w:rsidP="00E7200A">
      <w:pPr>
        <w:pStyle w:val="ListParagraph"/>
        <w:numPr>
          <w:ilvl w:val="0"/>
          <w:numId w:val="43"/>
        </w:numPr>
        <w:tabs>
          <w:tab w:val="left" w:pos="547"/>
          <w:tab w:val="left" w:pos="907"/>
        </w:tabs>
        <w:ind w:left="907"/>
      </w:pPr>
      <w:r w:rsidRPr="00EF0801">
        <w:rPr>
          <w:b/>
        </w:rPr>
        <w:t>Fuel” is “CONT-OIL” and “Pollutant-a” is “INDHAP.”</w:t>
      </w:r>
    </w:p>
    <w:p w14:paraId="0C59E558" w14:textId="30A30ABA" w:rsidR="009764B8" w:rsidRPr="005F664C" w:rsidRDefault="009764B8" w:rsidP="005F664C">
      <w:pPr>
        <w:pStyle w:val="APDStrong"/>
      </w:pPr>
      <w:r w:rsidRPr="005F664C">
        <w:lastRenderedPageBreak/>
        <w:t>Sb-LEE:</w:t>
      </w:r>
    </w:p>
    <w:p w14:paraId="6FC02B72" w14:textId="57476C35" w:rsidR="009764B8" w:rsidRPr="00DE2506" w:rsidRDefault="009764B8" w:rsidP="00DE2506">
      <w:pPr>
        <w:pStyle w:val="APDBodyText"/>
      </w:pPr>
      <w:r w:rsidRPr="00DE2506">
        <w:t>Enter “</w:t>
      </w:r>
      <w:r w:rsidR="00B42127">
        <w:t>YES</w:t>
      </w:r>
      <w:r w:rsidRPr="00DE2506">
        <w:t>” if the unit is qualifying as a low emitting EGU (LEE) for antimony. Otherwise, enter “</w:t>
      </w:r>
      <w:r w:rsidR="00B42127">
        <w:t>NO</w:t>
      </w:r>
      <w:r w:rsidR="00245C0E" w:rsidRPr="00DE2506">
        <w:t>.</w:t>
      </w:r>
      <w:r w:rsidRPr="00DE2506">
        <w:t>”</w:t>
      </w:r>
    </w:p>
    <w:p w14:paraId="3A4FA362" w14:textId="0949B6BE" w:rsidR="009764B8" w:rsidRPr="005F664C" w:rsidRDefault="009764B8" w:rsidP="005F664C">
      <w:pPr>
        <w:pStyle w:val="APDStrong"/>
      </w:pPr>
      <w:r w:rsidRPr="005F664C">
        <w:t>As-LEE:</w:t>
      </w:r>
    </w:p>
    <w:p w14:paraId="1C3BC0E5" w14:textId="5C9300C5" w:rsidR="009764B8" w:rsidRPr="00DE2506" w:rsidRDefault="009764B8" w:rsidP="00DE2506">
      <w:pPr>
        <w:pStyle w:val="APDBodyText"/>
      </w:pPr>
      <w:r w:rsidRPr="00DE2506">
        <w:t>Enter “</w:t>
      </w:r>
      <w:r w:rsidR="00B42127">
        <w:t>YES</w:t>
      </w:r>
      <w:r w:rsidRPr="00DE2506">
        <w:t>” if the unit is qualifying as a low emitting EGU (LEE) for arsenic. Otherwise, enter “</w:t>
      </w:r>
      <w:r w:rsidR="00B42127">
        <w:t>NO</w:t>
      </w:r>
      <w:r w:rsidR="00245C0E" w:rsidRPr="00DE2506">
        <w:t>.</w:t>
      </w:r>
      <w:r w:rsidRPr="00DE2506">
        <w:t>”</w:t>
      </w:r>
    </w:p>
    <w:p w14:paraId="3B63BFF3" w14:textId="1584A60E" w:rsidR="009764B8" w:rsidRPr="005F664C" w:rsidRDefault="009764B8" w:rsidP="005F664C">
      <w:pPr>
        <w:pStyle w:val="APDStrong"/>
      </w:pPr>
      <w:r w:rsidRPr="005F664C">
        <w:t>Be-LEE:</w:t>
      </w:r>
    </w:p>
    <w:p w14:paraId="7CC78DF0" w14:textId="7C8F8D39" w:rsidR="009764B8" w:rsidRPr="00DE2506" w:rsidRDefault="009764B8" w:rsidP="00DE2506">
      <w:pPr>
        <w:pStyle w:val="APDBodyText"/>
      </w:pPr>
      <w:r w:rsidRPr="00DE2506">
        <w:t>Enter “</w:t>
      </w:r>
      <w:r w:rsidR="00B42127">
        <w:t>YES</w:t>
      </w:r>
      <w:r w:rsidRPr="00DE2506">
        <w:t>” if the unit is qualifying as a low emitting EGU (LEE) for beryllium. Otherwise, enter “</w:t>
      </w:r>
      <w:r w:rsidR="00B42127">
        <w:t>NO</w:t>
      </w:r>
      <w:r w:rsidR="00245C0E" w:rsidRPr="00DE2506">
        <w:t>.</w:t>
      </w:r>
      <w:r w:rsidRPr="00DE2506">
        <w:t>”</w:t>
      </w:r>
    </w:p>
    <w:p w14:paraId="0E9D2707" w14:textId="50B54A04" w:rsidR="009764B8" w:rsidRPr="005F664C" w:rsidRDefault="009764B8" w:rsidP="005F664C">
      <w:pPr>
        <w:pStyle w:val="APDStrong"/>
      </w:pPr>
      <w:r w:rsidRPr="005F664C">
        <w:t>Cd-LEE:</w:t>
      </w:r>
    </w:p>
    <w:p w14:paraId="3DEEEE51" w14:textId="1DA42689" w:rsidR="009764B8" w:rsidRPr="00DE2506" w:rsidRDefault="009764B8" w:rsidP="00DE2506">
      <w:pPr>
        <w:pStyle w:val="APDBodyText"/>
      </w:pPr>
      <w:r w:rsidRPr="00DE2506">
        <w:t>Enter “</w:t>
      </w:r>
      <w:r w:rsidR="00B42127">
        <w:t>YES</w:t>
      </w:r>
      <w:r w:rsidRPr="00DE2506">
        <w:t>” if the unit is qualifying as a low emitting EGU (LEE) for cadmium. Otherwise, enter “</w:t>
      </w:r>
      <w:r w:rsidR="00B42127">
        <w:t>NO</w:t>
      </w:r>
      <w:r w:rsidR="00245C0E" w:rsidRPr="00DE2506">
        <w:t>.</w:t>
      </w:r>
      <w:r w:rsidRPr="00DE2506">
        <w:t>”</w:t>
      </w:r>
    </w:p>
    <w:p w14:paraId="12396ACD" w14:textId="5C3F164F" w:rsidR="009764B8" w:rsidRPr="005F664C" w:rsidRDefault="009764B8" w:rsidP="005F664C">
      <w:pPr>
        <w:pStyle w:val="APDStrong"/>
      </w:pPr>
      <w:r w:rsidRPr="005F664C">
        <w:t>Cr-LEE:</w:t>
      </w:r>
    </w:p>
    <w:p w14:paraId="3FC2F7FD" w14:textId="353F2308" w:rsidR="009764B8" w:rsidRPr="00DE2506" w:rsidRDefault="009764B8" w:rsidP="00DE2506">
      <w:pPr>
        <w:pStyle w:val="APDBodyText"/>
      </w:pPr>
      <w:r w:rsidRPr="00DE2506">
        <w:t>Enter “</w:t>
      </w:r>
      <w:r w:rsidR="00B42127">
        <w:t>YES</w:t>
      </w:r>
      <w:r w:rsidRPr="00DE2506">
        <w:t>” if the unit is qualifying as a low emitting EGU (LEE) for chromium. Otherwise, enter “</w:t>
      </w:r>
      <w:r w:rsidR="00B42127">
        <w:t>NO</w:t>
      </w:r>
      <w:r w:rsidR="00245C0E" w:rsidRPr="00DE2506">
        <w:t>.</w:t>
      </w:r>
      <w:r w:rsidRPr="00DE2506">
        <w:t>”</w:t>
      </w:r>
    </w:p>
    <w:p w14:paraId="4FB63504" w14:textId="77777777" w:rsidR="009764B8" w:rsidRPr="00EF0801" w:rsidRDefault="009764B8" w:rsidP="009764B8">
      <w:pPr>
        <w:pBdr>
          <w:bottom w:val="double" w:sz="4" w:space="1" w:color="auto"/>
        </w:pBdr>
      </w:pPr>
    </w:p>
    <w:p w14:paraId="5F41B86E" w14:textId="1F16E2C7" w:rsidR="009764B8" w:rsidRPr="00A46925" w:rsidRDefault="009764B8" w:rsidP="002C7C54">
      <w:pPr>
        <w:pStyle w:val="APDChapterTitles"/>
        <w:rPr>
          <w:rStyle w:val="APDTableChapterChar"/>
          <w:b/>
          <w:bCs w:val="0"/>
        </w:rPr>
      </w:pPr>
      <w:hyperlink w:anchor="TBL_13g" w:tooltip="Table 13g" w:history="1">
        <w:bookmarkStart w:id="129" w:name="_Toc180398521"/>
        <w:bookmarkStart w:id="130" w:name="_Toc180398575"/>
        <w:r w:rsidRPr="006D5D58">
          <w:rPr>
            <w:rStyle w:val="Hyperlink"/>
            <w:b/>
            <w:bCs w:val="0"/>
          </w:rPr>
          <w:t>Table 13g</w:t>
        </w:r>
      </w:hyperlink>
      <w:r w:rsidRPr="006D5D58">
        <w:rPr>
          <w:rStyle w:val="Hyperlink"/>
          <w:b/>
          <w:bCs w:val="0"/>
        </w:rPr>
        <w:t>:</w:t>
      </w:r>
      <w:r w:rsidRPr="00EF0801">
        <w:tab/>
      </w:r>
      <w:r w:rsidRPr="00A46925">
        <w:rPr>
          <w:rStyle w:val="APDTableChapterChar"/>
          <w:b/>
        </w:rPr>
        <w:t>Title 40 Code of Federal Regulations Part 63 (40 CFR Part 63)</w:t>
      </w:r>
      <w:r w:rsidR="00215D7D" w:rsidRPr="00A46925">
        <w:rPr>
          <w:rStyle w:val="APDTableChapterChar"/>
          <w:b/>
        </w:rPr>
        <w:t xml:space="preserve">, </w:t>
      </w:r>
      <w:r w:rsidRPr="00A46925">
        <w:rPr>
          <w:rStyle w:val="APDTableChapterChar"/>
          <w:b/>
        </w:rPr>
        <w:t>Subpart UUUUU:  Coal- and Oil</w:t>
      </w:r>
      <w:r w:rsidR="007F01F9" w:rsidRPr="00A46925">
        <w:rPr>
          <w:rStyle w:val="APDTableChapterChar"/>
          <w:b/>
        </w:rPr>
        <w:noBreakHyphen/>
      </w:r>
      <w:r w:rsidRPr="00A46925">
        <w:rPr>
          <w:rStyle w:val="APDTableChapterChar"/>
          <w:b/>
        </w:rPr>
        <w:t>Fired Electric Utility Steam Generating Units</w:t>
      </w:r>
      <w:bookmarkEnd w:id="129"/>
      <w:bookmarkEnd w:id="130"/>
    </w:p>
    <w:p w14:paraId="774D49AC" w14:textId="30D66762" w:rsidR="009764B8" w:rsidRPr="005F664C" w:rsidRDefault="009764B8" w:rsidP="005F664C">
      <w:pPr>
        <w:pStyle w:val="APDStrong"/>
      </w:pPr>
      <w:r w:rsidRPr="005F664C">
        <w:t xml:space="preserve">Unit ID </w:t>
      </w:r>
      <w:r w:rsidR="00B42127">
        <w:t>N</w:t>
      </w:r>
      <w:r w:rsidR="00786D92">
        <w:t>o</w:t>
      </w:r>
      <w:r w:rsidRPr="005F664C">
        <w:t>.:</w:t>
      </w:r>
    </w:p>
    <w:p w14:paraId="6B103308" w14:textId="6992A190" w:rsidR="009764B8" w:rsidRPr="00DE2506" w:rsidRDefault="009764B8" w:rsidP="00DE2506">
      <w:pPr>
        <w:pStyle w:val="APDBodyText"/>
      </w:pPr>
      <w:r w:rsidRPr="00DE2506">
        <w:t xml:space="preserve">Enter the identification number (ID </w:t>
      </w:r>
      <w:r w:rsidR="00B42127">
        <w:t>N</w:t>
      </w:r>
      <w:r w:rsidR="005667BA">
        <w:t>o</w:t>
      </w:r>
      <w:r w:rsidRPr="00DE2506">
        <w:t>.) for the unit (maximum 10 characters) as listed on Form OP SUM (Individual</w:t>
      </w:r>
      <w:r w:rsidR="00921B63" w:rsidRPr="00DE2506">
        <w:t> </w:t>
      </w:r>
      <w:r w:rsidRPr="00DE2506">
        <w:t>Unit Summary).</w:t>
      </w:r>
    </w:p>
    <w:p w14:paraId="6782BB4E" w14:textId="03DF5B5C" w:rsidR="009764B8" w:rsidRPr="005F664C" w:rsidRDefault="009764B8" w:rsidP="005F664C">
      <w:pPr>
        <w:pStyle w:val="APDStrong"/>
      </w:pPr>
      <w:r w:rsidRPr="005F664C">
        <w:t xml:space="preserve">SOP Index </w:t>
      </w:r>
      <w:r w:rsidR="00B42127">
        <w:t>N</w:t>
      </w:r>
      <w:r w:rsidR="00786D92">
        <w:t>o</w:t>
      </w:r>
      <w:r w:rsidRPr="005F664C">
        <w:t>.:</w:t>
      </w:r>
    </w:p>
    <w:p w14:paraId="1D5893DA" w14:textId="6D40EAAF" w:rsidR="009764B8" w:rsidRPr="00EF0801" w:rsidRDefault="009764B8" w:rsidP="00DE2506">
      <w:pPr>
        <w:pStyle w:val="APDBodyText"/>
      </w:pPr>
      <w:r w:rsidRPr="00DE2506">
        <w:t>Site operating permit (SOP) applicants should indicate the SOP index number for the unit or group of units (maximum</w:t>
      </w:r>
      <w:r w:rsidR="00921B63" w:rsidRPr="00DE2506">
        <w:t> </w:t>
      </w:r>
      <w:r w:rsidRPr="00DE2506">
        <w:t>15</w:t>
      </w:r>
      <w:r w:rsidR="00921B63" w:rsidRPr="00DE2506">
        <w:t> </w:t>
      </w:r>
      <w:r w:rsidRPr="00DE2506">
        <w:t xml:space="preserve">characters consisting of numeric, alphanumeric characters, and/or dashes prefixed by a code for the applicable regulation [i.e., 60KB-XXXX]). </w:t>
      </w:r>
      <w:r w:rsidR="00CC2143" w:rsidRPr="00DE2506">
        <w:t>For additional information relating to SOP index numbers, please see the Completing FOP Applications – Additional Guidance on the TCEQ website at</w:t>
      </w:r>
      <w:r w:rsidR="00CC2143" w:rsidRPr="00EF0801">
        <w:t xml:space="preserve"> </w:t>
      </w:r>
      <w:hyperlink r:id="rId47" w:tooltip="TCEQ - Completing FOP Applications - Additional Guidance" w:history="1">
        <w:r w:rsidR="00CF580F" w:rsidRPr="00F51613">
          <w:rPr>
            <w:rStyle w:val="Hyperlink"/>
          </w:rPr>
          <w:t>www.tceq.texas.gov/permitting/air/guidance/titlev/tv_fop_guidance.html</w:t>
        </w:r>
      </w:hyperlink>
      <w:r w:rsidR="00CC2143" w:rsidRPr="00EF0801">
        <w:t>.</w:t>
      </w:r>
    </w:p>
    <w:p w14:paraId="6A2CD6FA" w14:textId="729BCEA5" w:rsidR="009764B8" w:rsidRPr="005F664C" w:rsidRDefault="009764B8" w:rsidP="005F664C">
      <w:pPr>
        <w:pStyle w:val="APDStrong"/>
      </w:pPr>
      <w:r w:rsidRPr="005F664C">
        <w:t>Co-LEE:</w:t>
      </w:r>
    </w:p>
    <w:p w14:paraId="55402B48" w14:textId="19ED3514" w:rsidR="009764B8" w:rsidRPr="00DE2506" w:rsidRDefault="009764B8" w:rsidP="00DE2506">
      <w:pPr>
        <w:pStyle w:val="APDBodyText"/>
      </w:pPr>
      <w:r w:rsidRPr="00DE2506">
        <w:t>Enter “</w:t>
      </w:r>
      <w:r w:rsidR="00B42127">
        <w:t>YES</w:t>
      </w:r>
      <w:r w:rsidRPr="00DE2506">
        <w:t>” if the unit is qualifying as a low emitting EGU (LEE) for cobalt. Otherwise, enter “</w:t>
      </w:r>
      <w:r w:rsidR="00B42127">
        <w:t>NO</w:t>
      </w:r>
      <w:r w:rsidR="00245C0E" w:rsidRPr="00DE2506">
        <w:t>.</w:t>
      </w:r>
      <w:r w:rsidRPr="00DE2506">
        <w:t>”</w:t>
      </w:r>
    </w:p>
    <w:p w14:paraId="19C949AB" w14:textId="6850707A" w:rsidR="009764B8" w:rsidRPr="005F664C" w:rsidRDefault="009764B8" w:rsidP="005F664C">
      <w:pPr>
        <w:pStyle w:val="APDStrong"/>
      </w:pPr>
      <w:r w:rsidRPr="005F664C">
        <w:t>Pb- LEE:</w:t>
      </w:r>
    </w:p>
    <w:p w14:paraId="5A1BD6CC" w14:textId="4E93C48F" w:rsidR="009764B8" w:rsidRPr="00DE2506" w:rsidRDefault="009764B8" w:rsidP="00DE2506">
      <w:pPr>
        <w:pStyle w:val="APDBodyText"/>
      </w:pPr>
      <w:r w:rsidRPr="00DE2506">
        <w:t>Enter “</w:t>
      </w:r>
      <w:r w:rsidR="00B42127">
        <w:t>YES</w:t>
      </w:r>
      <w:r w:rsidRPr="00DE2506">
        <w:t>” if the unit is qualifying as a low emitting EGU (LEE) for lead. Otherwise, enter “</w:t>
      </w:r>
      <w:r w:rsidR="00B42127">
        <w:t>NO</w:t>
      </w:r>
      <w:r w:rsidR="00245C0E" w:rsidRPr="00DE2506">
        <w:t>.</w:t>
      </w:r>
      <w:r w:rsidRPr="00DE2506">
        <w:t>”</w:t>
      </w:r>
    </w:p>
    <w:p w14:paraId="790C3A5B" w14:textId="14B1EBDC" w:rsidR="009764B8" w:rsidRPr="005F664C" w:rsidRDefault="009764B8" w:rsidP="005F664C">
      <w:pPr>
        <w:pStyle w:val="APDStrong"/>
      </w:pPr>
      <w:r w:rsidRPr="005F664C">
        <w:t>Mn-LEE:</w:t>
      </w:r>
    </w:p>
    <w:p w14:paraId="6527A4A0" w14:textId="15BEC514" w:rsidR="009764B8" w:rsidRPr="00DE2506" w:rsidRDefault="009764B8" w:rsidP="00DE2506">
      <w:pPr>
        <w:pStyle w:val="APDBodyText"/>
      </w:pPr>
      <w:r w:rsidRPr="00DE2506">
        <w:t>Enter “</w:t>
      </w:r>
      <w:r w:rsidR="00B42127">
        <w:t>YES</w:t>
      </w:r>
      <w:r w:rsidRPr="00DE2506">
        <w:t>” if the unit is qualifying as a low emitting EGU (LEE) for manganese. Otherwise, enter “</w:t>
      </w:r>
      <w:r w:rsidR="00B42127">
        <w:t>NO</w:t>
      </w:r>
      <w:r w:rsidR="00245C0E" w:rsidRPr="00DE2506">
        <w:t>.</w:t>
      </w:r>
      <w:r w:rsidRPr="00DE2506">
        <w:t>”</w:t>
      </w:r>
    </w:p>
    <w:p w14:paraId="3CE379CC" w14:textId="64D66593" w:rsidR="009764B8" w:rsidRPr="005F664C" w:rsidRDefault="009764B8" w:rsidP="005F664C">
      <w:pPr>
        <w:pStyle w:val="APDStrong"/>
      </w:pPr>
      <w:r w:rsidRPr="005F664C">
        <w:t>Ni-LEE:</w:t>
      </w:r>
    </w:p>
    <w:p w14:paraId="3F9ED5EA" w14:textId="2CEF5A41" w:rsidR="00215D7D" w:rsidRPr="00DE2506" w:rsidRDefault="009764B8" w:rsidP="00DE2506">
      <w:pPr>
        <w:pStyle w:val="APDBodyText"/>
      </w:pPr>
      <w:r w:rsidRPr="00DE2506">
        <w:t>Enter “</w:t>
      </w:r>
      <w:r w:rsidR="00B42127">
        <w:t>YES</w:t>
      </w:r>
      <w:r w:rsidRPr="00DE2506">
        <w:t>” if the unit is qualifying as a low emitting EGU (LEE) for nickel. Otherwise, enter “</w:t>
      </w:r>
      <w:r w:rsidR="00B42127">
        <w:t>NO</w:t>
      </w:r>
      <w:r w:rsidR="00245C0E" w:rsidRPr="00DE2506">
        <w:t>.</w:t>
      </w:r>
      <w:r w:rsidRPr="00DE2506">
        <w:t>”</w:t>
      </w:r>
    </w:p>
    <w:p w14:paraId="71E1FAC8" w14:textId="76F3C4D4" w:rsidR="009764B8" w:rsidRPr="005F664C" w:rsidRDefault="009764B8" w:rsidP="005F664C">
      <w:pPr>
        <w:pStyle w:val="APDStrong"/>
      </w:pPr>
      <w:r w:rsidRPr="005F664C">
        <w:t>Se-LEE:</w:t>
      </w:r>
    </w:p>
    <w:p w14:paraId="24E9AC5D" w14:textId="77777777" w:rsidR="003F616A" w:rsidRDefault="009764B8" w:rsidP="003F616A">
      <w:pPr>
        <w:pStyle w:val="APDBodyText"/>
      </w:pPr>
      <w:r w:rsidRPr="00DE2506">
        <w:t>Enter “</w:t>
      </w:r>
      <w:r w:rsidR="00B42127">
        <w:t>YES</w:t>
      </w:r>
      <w:r w:rsidRPr="00DE2506">
        <w:t>” if the unit is qualifying as a low emitting EGU (LEE) for selenium. Otherwise, enter “</w:t>
      </w:r>
      <w:r w:rsidR="00B42127">
        <w:t>NO</w:t>
      </w:r>
      <w:r w:rsidR="00245C0E" w:rsidRPr="00DE2506">
        <w:t>.</w:t>
      </w:r>
      <w:r w:rsidRPr="00DE2506">
        <w:t>”</w:t>
      </w:r>
    </w:p>
    <w:p w14:paraId="20BBAA1E" w14:textId="4E04B03B" w:rsidR="009764B8" w:rsidRPr="005F664C" w:rsidRDefault="009764B8" w:rsidP="003F616A">
      <w:pPr>
        <w:pStyle w:val="APDStrong"/>
      </w:pPr>
      <w:r w:rsidRPr="005F664C">
        <w:t>Hg-LEE-a:</w:t>
      </w:r>
    </w:p>
    <w:p w14:paraId="6EE35DAC" w14:textId="77777777" w:rsidR="003F616A" w:rsidRDefault="009764B8" w:rsidP="00DE2506">
      <w:pPr>
        <w:pStyle w:val="APDBodyText"/>
        <w:sectPr w:rsidR="003F616A" w:rsidSect="0031268E">
          <w:pgSz w:w="12240" w:h="15840" w:code="1"/>
          <w:pgMar w:top="720" w:right="720" w:bottom="720" w:left="720" w:header="720" w:footer="720" w:gutter="0"/>
          <w:cols w:space="720"/>
          <w:titlePg/>
          <w:docGrid w:linePitch="360"/>
        </w:sectPr>
      </w:pPr>
      <w:r w:rsidRPr="00DE2506">
        <w:t>Enter “</w:t>
      </w:r>
      <w:r w:rsidR="00B42127">
        <w:t>YES</w:t>
      </w:r>
      <w:r w:rsidRPr="00DE2506">
        <w:t>” if the unit is qualifying as a low emitting EGU (LEE) for mercury. Otherwise, enter “</w:t>
      </w:r>
      <w:r w:rsidR="00B42127">
        <w:t>NO</w:t>
      </w:r>
      <w:r w:rsidR="00245C0E" w:rsidRPr="00DE2506">
        <w:t>.</w:t>
      </w:r>
      <w:r w:rsidRPr="00DE2506">
        <w:t>” (Applicable only if “Construction Status” is “EXIST” and “Unit Fuel” is “LIQ-OIL.”)</w:t>
      </w:r>
    </w:p>
    <w:p w14:paraId="18B13E39" w14:textId="77777777" w:rsidR="009764B8" w:rsidRPr="00EF0801" w:rsidRDefault="009764B8" w:rsidP="009764B8">
      <w:pPr>
        <w:pBdr>
          <w:bottom w:val="double" w:sz="4" w:space="1" w:color="auto"/>
        </w:pBdr>
      </w:pPr>
    </w:p>
    <w:p w14:paraId="7892DC7D" w14:textId="4C06AF81" w:rsidR="009764B8" w:rsidRPr="000D3765" w:rsidRDefault="009764B8" w:rsidP="002C7C54">
      <w:pPr>
        <w:pStyle w:val="APDChapterTitles"/>
        <w:rPr>
          <w:rStyle w:val="APDTableChapterChar"/>
          <w:b/>
          <w:bCs w:val="0"/>
        </w:rPr>
      </w:pPr>
      <w:hyperlink w:anchor="TBL_13h" w:tooltip="Table 13h" w:history="1">
        <w:bookmarkStart w:id="131" w:name="_Toc180398522"/>
        <w:bookmarkStart w:id="132" w:name="_Toc180398576"/>
        <w:r w:rsidRPr="00903C54">
          <w:rPr>
            <w:rStyle w:val="Hyperlink"/>
            <w:b/>
            <w:bCs w:val="0"/>
          </w:rPr>
          <w:t>Table 13h</w:t>
        </w:r>
      </w:hyperlink>
      <w:r w:rsidRPr="00903C54">
        <w:rPr>
          <w:rStyle w:val="Hyperlink"/>
          <w:b/>
          <w:bCs w:val="0"/>
        </w:rPr>
        <w:t>:</w:t>
      </w:r>
      <w:r w:rsidRPr="00EF0801">
        <w:tab/>
      </w:r>
      <w:r w:rsidRPr="000D3765">
        <w:rPr>
          <w:rStyle w:val="APDTableChapterChar"/>
          <w:b/>
        </w:rPr>
        <w:t>Title 40 Code of Federal Regulations Part 63 (40 CFR Part 63)</w:t>
      </w:r>
      <w:r w:rsidR="00215D7D" w:rsidRPr="000D3765">
        <w:rPr>
          <w:rStyle w:val="APDTableChapterChar"/>
          <w:b/>
        </w:rPr>
        <w:t xml:space="preserve">, </w:t>
      </w:r>
      <w:r w:rsidRPr="000D3765">
        <w:rPr>
          <w:rStyle w:val="APDTableChapterChar"/>
          <w:b/>
        </w:rPr>
        <w:t>Subpart UUUUU: Coal- and Oil</w:t>
      </w:r>
      <w:r w:rsidR="00B546AA" w:rsidRPr="000D3765">
        <w:rPr>
          <w:rStyle w:val="APDTableChapterChar"/>
          <w:b/>
        </w:rPr>
        <w:noBreakHyphen/>
      </w:r>
      <w:r w:rsidRPr="000D3765">
        <w:rPr>
          <w:rStyle w:val="APDTableChapterChar"/>
          <w:b/>
        </w:rPr>
        <w:t>Fired Electric Utility Steam Generating Units</w:t>
      </w:r>
      <w:bookmarkEnd w:id="131"/>
      <w:bookmarkEnd w:id="132"/>
    </w:p>
    <w:p w14:paraId="352190AF" w14:textId="368A7653" w:rsidR="009764B8" w:rsidRPr="00E81B0A" w:rsidRDefault="009764B8" w:rsidP="00E81B0A">
      <w:pPr>
        <w:pStyle w:val="APDStrong"/>
      </w:pPr>
      <w:r w:rsidRPr="00E81B0A">
        <w:t xml:space="preserve">Unit ID </w:t>
      </w:r>
      <w:r w:rsidR="00B42127">
        <w:t>N</w:t>
      </w:r>
      <w:r w:rsidR="00786D92">
        <w:t>o</w:t>
      </w:r>
      <w:r w:rsidRPr="00E81B0A">
        <w:t>.:</w:t>
      </w:r>
    </w:p>
    <w:p w14:paraId="63B86B5B" w14:textId="58FF90A8" w:rsidR="009764B8" w:rsidRPr="00897871" w:rsidRDefault="009764B8" w:rsidP="00897871">
      <w:pPr>
        <w:pStyle w:val="APDBodyText"/>
      </w:pPr>
      <w:r w:rsidRPr="00897871">
        <w:t xml:space="preserve">Enter the identification number (ID </w:t>
      </w:r>
      <w:r w:rsidR="00B42127">
        <w:t>N</w:t>
      </w:r>
      <w:r w:rsidR="005667BA">
        <w:t>o</w:t>
      </w:r>
      <w:r w:rsidRPr="00897871">
        <w:t>.) for the unit (maximum 10 characters) as listed on Form OP SUM (Individual</w:t>
      </w:r>
      <w:r w:rsidR="00921B63" w:rsidRPr="00897871">
        <w:t> </w:t>
      </w:r>
      <w:r w:rsidRPr="00897871">
        <w:t>Unit Summary).</w:t>
      </w:r>
    </w:p>
    <w:p w14:paraId="34FB5D79" w14:textId="484F80FE" w:rsidR="009764B8" w:rsidRPr="00E81B0A" w:rsidRDefault="009764B8" w:rsidP="00E81B0A">
      <w:pPr>
        <w:pStyle w:val="APDStrong"/>
      </w:pPr>
      <w:r w:rsidRPr="00E81B0A">
        <w:t xml:space="preserve">SOP Index </w:t>
      </w:r>
      <w:r w:rsidR="00B42127">
        <w:t>N</w:t>
      </w:r>
      <w:r w:rsidR="00786D92">
        <w:t>o</w:t>
      </w:r>
      <w:r w:rsidRPr="00E81B0A">
        <w:t>.:</w:t>
      </w:r>
    </w:p>
    <w:p w14:paraId="2A3DB583" w14:textId="5E41E4B6" w:rsidR="009764B8" w:rsidRPr="00EF0801" w:rsidRDefault="009764B8" w:rsidP="00897871">
      <w:pPr>
        <w:pStyle w:val="APDBodyText"/>
      </w:pPr>
      <w:r w:rsidRPr="00897871">
        <w:t>Site operating permit (SOP) applicants should indicate the SOP index number for the unit or group of units (maximum</w:t>
      </w:r>
      <w:r w:rsidR="00921B63" w:rsidRPr="00897871">
        <w:t> </w:t>
      </w:r>
      <w:r w:rsidRPr="00897871">
        <w:t>15</w:t>
      </w:r>
      <w:r w:rsidR="00921B63" w:rsidRPr="00897871">
        <w:t> </w:t>
      </w:r>
      <w:r w:rsidRPr="00897871">
        <w:t xml:space="preserve">characters consisting of numeric, alphanumeric characters, and/or dashes prefixed by a code for the applicable regulation [i.e., 60KB-XXXX]). </w:t>
      </w:r>
      <w:r w:rsidR="00CC2143" w:rsidRPr="00897871">
        <w:t xml:space="preserve">For additional information relating to SOP index numbers, please see the Completing FOP Applications – Additional Guidance on the TCEQ website at </w:t>
      </w:r>
      <w:hyperlink r:id="rId48" w:tooltip="TCEQ - Completing FOP Applications - Additional Guidance" w:history="1">
        <w:r w:rsidR="00CF580F" w:rsidRPr="00F51613">
          <w:rPr>
            <w:rStyle w:val="Hyperlink"/>
          </w:rPr>
          <w:t>www.tceq.texas.gov/permitting/air/guidance/titlev/tv_fop_guidance.html</w:t>
        </w:r>
      </w:hyperlink>
      <w:r w:rsidR="00CC2143" w:rsidRPr="00EF0801">
        <w:t>.</w:t>
      </w:r>
    </w:p>
    <w:p w14:paraId="1C69322B" w14:textId="77777777" w:rsidR="009764B8" w:rsidRPr="00EF0801" w:rsidRDefault="009764B8" w:rsidP="00390EE3">
      <w:pPr>
        <w:pStyle w:val="APDCompleteStar"/>
      </w:pPr>
      <w:r w:rsidRPr="00EF0801">
        <w:t>Complete “HCl-LEE” only for the following:</w:t>
      </w:r>
    </w:p>
    <w:p w14:paraId="0AB64B5B" w14:textId="6BD720F1" w:rsidR="00A64E4C" w:rsidRPr="00FA7986" w:rsidRDefault="009764B8" w:rsidP="00FA7986">
      <w:pPr>
        <w:pStyle w:val="APDBulletListBold"/>
      </w:pPr>
      <w:r w:rsidRPr="00FA7986">
        <w:t>“Unit Fuel” is “8300BTU,” “LORANK,” “IGCC” or “SO-OIL;” “Pollutant-b” is “HCL” and “Scrubber/Bypass” is “</w:t>
      </w:r>
      <w:r w:rsidR="00B42127">
        <w:t>NO</w:t>
      </w:r>
      <w:r w:rsidRPr="00FA7986">
        <w:t xml:space="preserve">;” </w:t>
      </w:r>
      <w:r w:rsidR="00C338B2" w:rsidRPr="00FA7986">
        <w:t>or</w:t>
      </w:r>
    </w:p>
    <w:p w14:paraId="0E758A39" w14:textId="77777777" w:rsidR="009764B8" w:rsidRPr="00FA7986" w:rsidRDefault="009764B8" w:rsidP="008143DB">
      <w:pPr>
        <w:pStyle w:val="APDBulletListBold"/>
        <w:spacing w:after="120"/>
      </w:pPr>
      <w:r w:rsidRPr="00FA7986">
        <w:t>“Unit Fuel” is “LIQ-OIL” and “Pollutant-b” is “HCL.”</w:t>
      </w:r>
    </w:p>
    <w:p w14:paraId="4E446DF8" w14:textId="6D3576F5" w:rsidR="009764B8" w:rsidRPr="00E81B0A" w:rsidRDefault="009764B8" w:rsidP="00E81B0A">
      <w:pPr>
        <w:pStyle w:val="APDStrong"/>
      </w:pPr>
      <w:r w:rsidRPr="00E81B0A">
        <w:t>HCl-LEE:</w:t>
      </w:r>
    </w:p>
    <w:p w14:paraId="323BA4F4" w14:textId="20B87640" w:rsidR="005866AA" w:rsidRPr="00897871" w:rsidRDefault="009764B8" w:rsidP="00897871">
      <w:pPr>
        <w:pStyle w:val="APDBodyText"/>
      </w:pPr>
      <w:r w:rsidRPr="00897871">
        <w:t>Enter “</w:t>
      </w:r>
      <w:r w:rsidR="00B42127">
        <w:t>YES</w:t>
      </w:r>
      <w:r w:rsidRPr="00897871">
        <w:t>” if the unit is qualifying as a low emitting EGU (LEE) for hydrogen chloride. Otherwise, enter “</w:t>
      </w:r>
      <w:r w:rsidR="00B42127">
        <w:t>NO</w:t>
      </w:r>
      <w:r w:rsidR="00245C0E" w:rsidRPr="00897871">
        <w:t>.</w:t>
      </w:r>
      <w:r w:rsidRPr="00897871">
        <w:t>”</w:t>
      </w:r>
    </w:p>
    <w:p w14:paraId="3533E0A9" w14:textId="173120AF" w:rsidR="009764B8" w:rsidRPr="00EF0801" w:rsidRDefault="009764B8" w:rsidP="00390EE3">
      <w:pPr>
        <w:pStyle w:val="APDCompleteStar"/>
      </w:pPr>
      <w:r w:rsidRPr="00EF0801">
        <w:t>Complete “</w:t>
      </w:r>
      <w:r w:rsidR="004F6614">
        <w:t>SO</w:t>
      </w:r>
      <w:r w:rsidR="00EF0EFC" w:rsidRPr="00EF0EFC">
        <w:rPr>
          <w:vertAlign w:val="subscript"/>
        </w:rPr>
        <w:t>2</w:t>
      </w:r>
      <w:r w:rsidRPr="00EF0801">
        <w:t>-LEE” only for the following:</w:t>
      </w:r>
    </w:p>
    <w:p w14:paraId="223E79D4" w14:textId="2D8EBDF5" w:rsidR="00A64E4C" w:rsidRPr="00FA7986" w:rsidRDefault="009764B8" w:rsidP="00FA7986">
      <w:pPr>
        <w:pStyle w:val="APDBulletListBold"/>
      </w:pPr>
      <w:r w:rsidRPr="00FA7986">
        <w:t>“Unit Fuel” is “8300BTU,” “LORANK,” “IGCC” or “SO-OIL;” “Pollutant-b” is “</w:t>
      </w:r>
      <w:r w:rsidR="004F6614" w:rsidRPr="00FA7986">
        <w:t>SO</w:t>
      </w:r>
      <w:r w:rsidR="00EF0EFC" w:rsidRPr="00FA7986">
        <w:t>2</w:t>
      </w:r>
      <w:r w:rsidRPr="00FA7986">
        <w:t>” and “Scrubber/Bypass” is “</w:t>
      </w:r>
      <w:r w:rsidR="00B42127">
        <w:t>NO</w:t>
      </w:r>
      <w:r w:rsidRPr="00FA7986">
        <w:t xml:space="preserve">;” </w:t>
      </w:r>
      <w:r w:rsidR="00C338B2" w:rsidRPr="00FA7986">
        <w:t>or</w:t>
      </w:r>
      <w:r w:rsidR="008A4CBC" w:rsidRPr="00FA7986">
        <w:t xml:space="preserve"> </w:t>
      </w:r>
    </w:p>
    <w:p w14:paraId="51D489F7" w14:textId="1B36AA84" w:rsidR="009764B8" w:rsidRPr="00FA7986" w:rsidRDefault="009764B8" w:rsidP="008143DB">
      <w:pPr>
        <w:pStyle w:val="APDBulletListBold"/>
        <w:spacing w:after="120"/>
      </w:pPr>
      <w:r w:rsidRPr="00FA7986">
        <w:t>“Unit Fuel” is “LIQ-OIL” and “Pollutant-b” is “</w:t>
      </w:r>
      <w:r w:rsidR="004F6614" w:rsidRPr="00FA7986">
        <w:t>SO</w:t>
      </w:r>
      <w:r w:rsidR="00EF0EFC" w:rsidRPr="00FA7986">
        <w:t>2</w:t>
      </w:r>
      <w:r w:rsidRPr="00FA7986">
        <w:t>.”</w:t>
      </w:r>
    </w:p>
    <w:p w14:paraId="61BD9B4D" w14:textId="1C3387B8" w:rsidR="009764B8" w:rsidRPr="00E81B0A" w:rsidRDefault="004F6614" w:rsidP="00E81B0A">
      <w:pPr>
        <w:pStyle w:val="APDStrong"/>
      </w:pPr>
      <w:r>
        <w:t>SO</w:t>
      </w:r>
      <w:r w:rsidR="00297094" w:rsidRPr="00297094">
        <w:rPr>
          <w:vertAlign w:val="subscript"/>
        </w:rPr>
        <w:t>2</w:t>
      </w:r>
      <w:r w:rsidR="009764B8" w:rsidRPr="00E81B0A">
        <w:t>-LEE:</w:t>
      </w:r>
    </w:p>
    <w:p w14:paraId="41FBB941" w14:textId="7D447203" w:rsidR="009764B8" w:rsidRPr="00897871" w:rsidRDefault="009764B8" w:rsidP="00897871">
      <w:pPr>
        <w:pStyle w:val="APDBodyText"/>
      </w:pPr>
      <w:r w:rsidRPr="00897871">
        <w:t>Enter “</w:t>
      </w:r>
      <w:r w:rsidR="00B42127">
        <w:t>YES</w:t>
      </w:r>
      <w:r w:rsidRPr="00897871">
        <w:t>” if the unit is qualifying as a low emitting EGU (LEE) for hydrogen chloride. Otherwise, enter “</w:t>
      </w:r>
      <w:r w:rsidR="00B42127">
        <w:t>NO</w:t>
      </w:r>
      <w:r w:rsidR="00245C0E" w:rsidRPr="00897871">
        <w:t>.</w:t>
      </w:r>
      <w:r w:rsidRPr="00897871">
        <w:t>”</w:t>
      </w:r>
    </w:p>
    <w:p w14:paraId="70FEDC1C" w14:textId="6078669B" w:rsidR="009764B8" w:rsidRPr="00EF0801" w:rsidRDefault="009764B8" w:rsidP="00E7200A">
      <w:pPr>
        <w:numPr>
          <w:ilvl w:val="0"/>
          <w:numId w:val="37"/>
        </w:numPr>
        <w:tabs>
          <w:tab w:val="left" w:pos="547"/>
        </w:tabs>
        <w:spacing w:after="120"/>
        <w:ind w:left="547" w:hanging="547"/>
      </w:pPr>
      <w:r w:rsidRPr="00491AC5">
        <w:rPr>
          <w:rStyle w:val="APDCompleteStarChar"/>
        </w:rPr>
        <w:t>Complete “Hg-LEE-c” only if “Unit Fuel” is “8300BTU,” “LORANK,” “IGCC” or “SO-OIL;”</w:t>
      </w:r>
      <w:r w:rsidRPr="00EF0801">
        <w:rPr>
          <w:b/>
        </w:rPr>
        <w:t xml:space="preserve"> “Construction Status” is “EXIST”;” and “Scrubber/Bypass” is “</w:t>
      </w:r>
      <w:r w:rsidR="00B42127">
        <w:rPr>
          <w:b/>
        </w:rPr>
        <w:t>NO</w:t>
      </w:r>
      <w:r w:rsidRPr="00EF0801">
        <w:rPr>
          <w:b/>
        </w:rPr>
        <w:t>.”</w:t>
      </w:r>
    </w:p>
    <w:p w14:paraId="7C4F14C8" w14:textId="53EB2714" w:rsidR="009764B8" w:rsidRPr="00E81B0A" w:rsidRDefault="009764B8" w:rsidP="00E81B0A">
      <w:pPr>
        <w:pStyle w:val="APDStrong"/>
      </w:pPr>
      <w:r w:rsidRPr="00E81B0A">
        <w:t>Hg-LEE-c</w:t>
      </w:r>
      <w:r w:rsidR="00EC5E23" w:rsidRPr="00E81B0A">
        <w:t>:</w:t>
      </w:r>
    </w:p>
    <w:p w14:paraId="00DD2B2E" w14:textId="12DE4539" w:rsidR="009764B8" w:rsidRPr="00897871" w:rsidRDefault="009764B8" w:rsidP="00897871">
      <w:pPr>
        <w:pStyle w:val="APDBodyText"/>
      </w:pPr>
      <w:r w:rsidRPr="00897871">
        <w:t>Enter “</w:t>
      </w:r>
      <w:r w:rsidR="00B42127">
        <w:t>YES</w:t>
      </w:r>
      <w:r w:rsidRPr="00897871">
        <w:t>” if the unit is qualifying as a low emitting EGU (LEE) for mercury. Otherwise, enter “</w:t>
      </w:r>
      <w:r w:rsidR="00B42127">
        <w:t>NO</w:t>
      </w:r>
      <w:r w:rsidR="00245C0E" w:rsidRPr="00897871">
        <w:t>.</w:t>
      </w:r>
      <w:r w:rsidRPr="00897871">
        <w:t>”</w:t>
      </w:r>
    </w:p>
    <w:p w14:paraId="3FCE3431" w14:textId="77777777" w:rsidR="009764B8" w:rsidRPr="00EF0801" w:rsidRDefault="009764B8" w:rsidP="00390EE3">
      <w:pPr>
        <w:pStyle w:val="APDCompleteStar"/>
      </w:pPr>
      <w:r w:rsidRPr="00EF0801">
        <w:t>Complete “HF-LEE” only if “Unit Fuel” is “LIQ-OIL” and “Construction Status” is “EXIST.”</w:t>
      </w:r>
    </w:p>
    <w:p w14:paraId="64B50348" w14:textId="5D38A4FC" w:rsidR="009764B8" w:rsidRPr="00E81B0A" w:rsidRDefault="009764B8" w:rsidP="00E81B0A">
      <w:pPr>
        <w:pStyle w:val="APDStrong"/>
      </w:pPr>
      <w:r w:rsidRPr="00E81B0A">
        <w:t>HF-LEE:</w:t>
      </w:r>
    </w:p>
    <w:p w14:paraId="0F4BD167" w14:textId="7EF2DE8B" w:rsidR="009764B8" w:rsidRPr="00897871" w:rsidRDefault="009764B8" w:rsidP="00897871">
      <w:pPr>
        <w:pStyle w:val="APDBodyText"/>
      </w:pPr>
      <w:r w:rsidRPr="00897871">
        <w:t>Enter “</w:t>
      </w:r>
      <w:r w:rsidR="00B42127">
        <w:t>YES</w:t>
      </w:r>
      <w:r w:rsidRPr="00897871">
        <w:t>” if the unit is qualifying as a low emitting EGU (LEE) for hydrogen fluoride. Otherwise, enter “</w:t>
      </w:r>
      <w:r w:rsidR="00B42127">
        <w:t>NO</w:t>
      </w:r>
      <w:r w:rsidR="00245C0E" w:rsidRPr="00897871">
        <w:t>.</w:t>
      </w:r>
      <w:r w:rsidRPr="00897871">
        <w:t>”</w:t>
      </w:r>
    </w:p>
    <w:p w14:paraId="7EE748E4" w14:textId="1E7A032C" w:rsidR="00806FF5" w:rsidRPr="00CE19AF" w:rsidRDefault="009764B8" w:rsidP="00FD7888">
      <w:pPr>
        <w:pStyle w:val="APDContinueTriangle"/>
      </w:pPr>
      <w:r w:rsidRPr="00CE19AF">
        <w:t>Continue only if</w:t>
      </w:r>
      <w:r w:rsidR="00806FF5" w:rsidRPr="00CE19AF">
        <w:t>:</w:t>
      </w:r>
    </w:p>
    <w:p w14:paraId="4CB186D9" w14:textId="324AF605" w:rsidR="00806FF5" w:rsidRPr="00FA7986" w:rsidRDefault="009764B8" w:rsidP="00FA7986">
      <w:pPr>
        <w:pStyle w:val="APDBulletListBold"/>
      </w:pPr>
      <w:r w:rsidRPr="00FA7986">
        <w:t>“Construction Status” is “NEW” or “RECON;” or</w:t>
      </w:r>
    </w:p>
    <w:p w14:paraId="334FA09C" w14:textId="16CB0A6F" w:rsidR="00806FF5" w:rsidRPr="00FA7986" w:rsidRDefault="009764B8" w:rsidP="008143DB">
      <w:pPr>
        <w:pStyle w:val="APDBulletListBold"/>
        <w:spacing w:after="120"/>
      </w:pPr>
      <w:r w:rsidRPr="00FA7986">
        <w:t>“Construction Status” is “EXIST” and at least one of the “-LEE” attributes is “</w:t>
      </w:r>
      <w:r w:rsidR="00B42127">
        <w:t>NO</w:t>
      </w:r>
      <w:r w:rsidRPr="00FA7986">
        <w:t>” (i.e. one or more of the following: PM</w:t>
      </w:r>
      <w:r w:rsidR="00A446D6" w:rsidRPr="00FA7986">
        <w:noBreakHyphen/>
      </w:r>
      <w:r w:rsidRPr="00FA7986">
        <w:t>LEE, T</w:t>
      </w:r>
      <w:r w:rsidR="008506D0" w:rsidRPr="00FA7986">
        <w:t>OT</w:t>
      </w:r>
      <w:r w:rsidRPr="00FA7986">
        <w:t>HAP-LEE, Sb</w:t>
      </w:r>
      <w:r w:rsidR="00921B63" w:rsidRPr="00FA7986">
        <w:noBreakHyphen/>
      </w:r>
      <w:r w:rsidRPr="00FA7986">
        <w:t>LEE, As-LEE, Be-LEE, Cd-LEE, Cr-LEE, Co-LEE, Pb</w:t>
      </w:r>
      <w:r w:rsidR="00A5139E" w:rsidRPr="00FA7986">
        <w:noBreakHyphen/>
      </w:r>
      <w:r w:rsidRPr="00FA7986">
        <w:t>LEE, Mn-LEE, Ni</w:t>
      </w:r>
      <w:r w:rsidR="00A446D6" w:rsidRPr="00FA7986">
        <w:noBreakHyphen/>
      </w:r>
      <w:r w:rsidRPr="00FA7986">
        <w:t xml:space="preserve">LEE, Se-LEE, Hg-LEE-a, HCl-LEE, </w:t>
      </w:r>
      <w:r w:rsidR="004F6614" w:rsidRPr="00FA7986">
        <w:t>SO</w:t>
      </w:r>
      <w:r w:rsidR="00297094" w:rsidRPr="00FA7986">
        <w:t>2</w:t>
      </w:r>
      <w:r w:rsidRPr="00FA7986">
        <w:t>-LEE, Hg-LEE-c and/or HF-LEE).</w:t>
      </w:r>
    </w:p>
    <w:p w14:paraId="0CD74F67" w14:textId="6510C5B5" w:rsidR="00624483" w:rsidRPr="00E81B0A" w:rsidRDefault="00364AA1" w:rsidP="00E81B0A">
      <w:pPr>
        <w:pStyle w:val="APDStrong"/>
      </w:pPr>
      <w:r w:rsidRPr="00E81B0A">
        <w:t>Startup</w:t>
      </w:r>
      <w:r w:rsidR="00624483" w:rsidRPr="00E81B0A">
        <w:t>:</w:t>
      </w:r>
    </w:p>
    <w:p w14:paraId="3A14EA3C" w14:textId="77777777" w:rsidR="00C64412" w:rsidRDefault="00624483" w:rsidP="00897871">
      <w:pPr>
        <w:pStyle w:val="APDBodyText"/>
        <w:sectPr w:rsidR="00C64412" w:rsidSect="0031268E">
          <w:pgSz w:w="12240" w:h="15840" w:code="1"/>
          <w:pgMar w:top="720" w:right="720" w:bottom="720" w:left="720" w:header="720" w:footer="720" w:gutter="0"/>
          <w:cols w:space="720"/>
          <w:titlePg/>
          <w:docGrid w:linePitch="360"/>
        </w:sectPr>
      </w:pPr>
      <w:r w:rsidRPr="00897871">
        <w:t>Enter “</w:t>
      </w:r>
      <w:r w:rsidR="00B42127">
        <w:t>YES</w:t>
      </w:r>
      <w:r w:rsidRPr="00897871">
        <w:t>” if relying on paragraph (2) definit</w:t>
      </w:r>
      <w:r w:rsidR="007F22A6" w:rsidRPr="00897871">
        <w:t xml:space="preserve">ion of “startup” in §63.10042. </w:t>
      </w:r>
      <w:r w:rsidRPr="00897871">
        <w:t>Otherwise enter “</w:t>
      </w:r>
      <w:r w:rsidR="00B42127">
        <w:t>NO</w:t>
      </w:r>
      <w:r w:rsidR="00245C0E" w:rsidRPr="00897871">
        <w:t>.</w:t>
      </w:r>
      <w:r w:rsidRPr="00897871">
        <w:t>”</w:t>
      </w:r>
    </w:p>
    <w:p w14:paraId="6E78C94D" w14:textId="554FB4B3" w:rsidR="009764B8" w:rsidRPr="00EF0801" w:rsidRDefault="009764B8" w:rsidP="009764B8">
      <w:pPr>
        <w:pBdr>
          <w:bottom w:val="double" w:sz="4" w:space="1" w:color="auto"/>
        </w:pBdr>
      </w:pPr>
    </w:p>
    <w:bookmarkStart w:id="133" w:name="Table_13i"/>
    <w:p w14:paraId="7BAA2D54" w14:textId="1DA12C7B" w:rsidR="009764B8" w:rsidRPr="00CC59FA" w:rsidRDefault="005F7C62" w:rsidP="002C7C54">
      <w:pPr>
        <w:pStyle w:val="APDChapterTitles"/>
        <w:rPr>
          <w:rStyle w:val="APDTableChapterChar"/>
          <w:b/>
          <w:bCs w:val="0"/>
        </w:rPr>
      </w:pPr>
      <w:r w:rsidRPr="000B2569">
        <w:rPr>
          <w:rStyle w:val="Hyperlink"/>
          <w:b/>
          <w:bCs w:val="0"/>
        </w:rPr>
        <w:fldChar w:fldCharType="begin"/>
      </w:r>
      <w:r w:rsidR="00176E8C" w:rsidRPr="000B2569">
        <w:rPr>
          <w:rStyle w:val="Hyperlink"/>
          <w:b/>
          <w:bCs w:val="0"/>
        </w:rPr>
        <w:instrText>HYPERLINK  \l "TBL_13i" \o "Table 13i"</w:instrText>
      </w:r>
      <w:r w:rsidRPr="000B2569">
        <w:rPr>
          <w:rStyle w:val="Hyperlink"/>
          <w:b/>
          <w:bCs w:val="0"/>
        </w:rPr>
      </w:r>
      <w:r w:rsidRPr="000B2569">
        <w:rPr>
          <w:rStyle w:val="Hyperlink"/>
          <w:b/>
          <w:bCs w:val="0"/>
        </w:rPr>
        <w:fldChar w:fldCharType="separate"/>
      </w:r>
      <w:bookmarkStart w:id="134" w:name="_Toc180398523"/>
      <w:bookmarkStart w:id="135" w:name="_Toc180398577"/>
      <w:r w:rsidR="009764B8" w:rsidRPr="000B2569">
        <w:rPr>
          <w:rStyle w:val="Hyperlink"/>
          <w:b/>
          <w:bCs w:val="0"/>
        </w:rPr>
        <w:t>Table 13i</w:t>
      </w:r>
      <w:r w:rsidRPr="000B2569">
        <w:rPr>
          <w:rStyle w:val="Hyperlink"/>
          <w:b/>
          <w:bCs w:val="0"/>
        </w:rPr>
        <w:fldChar w:fldCharType="end"/>
      </w:r>
      <w:bookmarkEnd w:id="133"/>
      <w:r w:rsidR="009764B8" w:rsidRPr="000B2569">
        <w:rPr>
          <w:rStyle w:val="Hyperlink"/>
          <w:b/>
          <w:bCs w:val="0"/>
        </w:rPr>
        <w:t>:</w:t>
      </w:r>
      <w:r w:rsidR="009764B8" w:rsidRPr="00EF0801">
        <w:tab/>
      </w:r>
      <w:r w:rsidR="009764B8" w:rsidRPr="00CC59FA">
        <w:rPr>
          <w:rStyle w:val="APDTableChapterChar"/>
          <w:b/>
        </w:rPr>
        <w:t>Title 40 Code of Federal Regulations Part 63 (40 CFR Part 63)</w:t>
      </w:r>
      <w:r w:rsidR="00215D7D" w:rsidRPr="00CC59FA">
        <w:rPr>
          <w:rStyle w:val="APDTableChapterChar"/>
          <w:b/>
        </w:rPr>
        <w:t xml:space="preserve">, </w:t>
      </w:r>
      <w:r w:rsidR="009764B8" w:rsidRPr="00CC59FA">
        <w:rPr>
          <w:rStyle w:val="APDTableChapterChar"/>
          <w:b/>
        </w:rPr>
        <w:t>Subpart UUUUU: Coal- and Oil</w:t>
      </w:r>
      <w:r w:rsidR="00B546AA" w:rsidRPr="00CC59FA">
        <w:rPr>
          <w:rStyle w:val="APDTableChapterChar"/>
          <w:b/>
        </w:rPr>
        <w:noBreakHyphen/>
      </w:r>
      <w:r w:rsidR="009764B8" w:rsidRPr="00CC59FA">
        <w:rPr>
          <w:rStyle w:val="APDTableChapterChar"/>
          <w:b/>
        </w:rPr>
        <w:t>Fired Electric Utility Steam Generating Units</w:t>
      </w:r>
      <w:bookmarkEnd w:id="134"/>
      <w:bookmarkEnd w:id="135"/>
    </w:p>
    <w:p w14:paraId="4A99EC59" w14:textId="0126C402" w:rsidR="009764B8" w:rsidRPr="00E81C24" w:rsidRDefault="009764B8" w:rsidP="00E81C24">
      <w:pPr>
        <w:pStyle w:val="APDStrong"/>
      </w:pPr>
      <w:r w:rsidRPr="00E81C24">
        <w:t xml:space="preserve">Unit ID </w:t>
      </w:r>
      <w:r w:rsidR="00B42127">
        <w:t>N</w:t>
      </w:r>
      <w:r w:rsidR="00786D92">
        <w:t>o</w:t>
      </w:r>
      <w:r w:rsidRPr="00E81C24">
        <w:t>.:</w:t>
      </w:r>
    </w:p>
    <w:p w14:paraId="0E0CDD7D" w14:textId="1A47E148" w:rsidR="009764B8" w:rsidRPr="00167016" w:rsidRDefault="009764B8" w:rsidP="00167016">
      <w:pPr>
        <w:pStyle w:val="APDBodyText"/>
      </w:pPr>
      <w:r w:rsidRPr="00167016">
        <w:t xml:space="preserve">Enter the identification number (ID </w:t>
      </w:r>
      <w:r w:rsidR="00B42127">
        <w:t>N</w:t>
      </w:r>
      <w:r w:rsidR="005667BA">
        <w:t>o</w:t>
      </w:r>
      <w:r w:rsidRPr="00167016">
        <w:t>.) for the unit (maximum 10 characters) as listed on Form OP SUM (Individual</w:t>
      </w:r>
      <w:r w:rsidR="00921B63" w:rsidRPr="00167016">
        <w:t> </w:t>
      </w:r>
      <w:r w:rsidRPr="00167016">
        <w:t>Unit Summary).</w:t>
      </w:r>
    </w:p>
    <w:p w14:paraId="1E99BF02" w14:textId="1D8750DC" w:rsidR="009764B8" w:rsidRPr="00E81C24" w:rsidRDefault="009764B8" w:rsidP="00E81C24">
      <w:pPr>
        <w:pStyle w:val="APDStrong"/>
      </w:pPr>
      <w:r w:rsidRPr="00E81C24">
        <w:t xml:space="preserve">SOP Index </w:t>
      </w:r>
      <w:r w:rsidR="00B42127">
        <w:t>N</w:t>
      </w:r>
      <w:r w:rsidR="00786D92">
        <w:t>o</w:t>
      </w:r>
      <w:r w:rsidRPr="00E81C24">
        <w:t>.:</w:t>
      </w:r>
    </w:p>
    <w:p w14:paraId="0B4164DB" w14:textId="4E5021EE" w:rsidR="009764B8" w:rsidRPr="00EF0801" w:rsidRDefault="009764B8" w:rsidP="00E81C24">
      <w:pPr>
        <w:pStyle w:val="APDBodyText"/>
      </w:pPr>
      <w:r w:rsidRPr="00167016">
        <w:t>Site operating permit (SOP) applicants should indicate the SOP index number for the unit or group of units (maximum</w:t>
      </w:r>
      <w:r w:rsidR="00921B63" w:rsidRPr="00167016">
        <w:t> </w:t>
      </w:r>
      <w:r w:rsidRPr="00167016">
        <w:t>15</w:t>
      </w:r>
      <w:r w:rsidR="00921B63" w:rsidRPr="00167016">
        <w:t> </w:t>
      </w:r>
      <w:r w:rsidRPr="00167016">
        <w:t xml:space="preserve">characters consisting of numeric, alphanumeric characters, and/or dashes prefixed by a code for the applicable regulation [i.e., 60KB-XXXX]). </w:t>
      </w:r>
      <w:r w:rsidR="00CC2143" w:rsidRPr="00167016">
        <w:t>For additional information relating to SOP index numbers, please see the Completing FOP Applications – Additional Guidance on the TCEQ website at</w:t>
      </w:r>
      <w:r w:rsidR="00CC2143" w:rsidRPr="00EF0801">
        <w:t xml:space="preserve"> </w:t>
      </w:r>
      <w:hyperlink r:id="rId49" w:tooltip="TCEQ - Completing FOP Applications - Additional Guidance" w:history="1">
        <w:r w:rsidR="00CF580F" w:rsidRPr="00F51613">
          <w:rPr>
            <w:rStyle w:val="Hyperlink"/>
          </w:rPr>
          <w:t>www.tceq.texas.gov/permitting/air/guidance/titlev/tv_fop_guidance.html</w:t>
        </w:r>
      </w:hyperlink>
      <w:r w:rsidR="00CC2143" w:rsidRPr="00EF0801">
        <w:t>.</w:t>
      </w:r>
    </w:p>
    <w:p w14:paraId="66C6D0B7" w14:textId="03368467" w:rsidR="009764B8" w:rsidRPr="00E81C24" w:rsidRDefault="009764B8" w:rsidP="00E81C24">
      <w:pPr>
        <w:pStyle w:val="APDStrong"/>
      </w:pPr>
      <w:r w:rsidRPr="00E81C24">
        <w:t>Compliance Demo:</w:t>
      </w:r>
    </w:p>
    <w:p w14:paraId="7441EE4B" w14:textId="77777777" w:rsidR="009764B8" w:rsidRDefault="009764B8" w:rsidP="00167016">
      <w:pPr>
        <w:pStyle w:val="APDBodyText"/>
      </w:pPr>
      <w:r w:rsidRPr="00167016">
        <w:t>Select one of the following options that describes how compliance is demonstrated.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66F68" w14:paraId="54BC5729" w14:textId="77777777" w:rsidTr="007765B3">
        <w:trPr>
          <w:cantSplit/>
          <w:tblHeader/>
        </w:trPr>
        <w:tc>
          <w:tcPr>
            <w:tcW w:w="1530" w:type="dxa"/>
          </w:tcPr>
          <w:p w14:paraId="7F582C19" w14:textId="2785D552" w:rsidR="00A66F68" w:rsidRPr="00A66F68" w:rsidRDefault="00A66F68" w:rsidP="00A66F68">
            <w:pPr>
              <w:rPr>
                <w:b/>
                <w:bCs/>
              </w:rPr>
            </w:pPr>
            <w:r w:rsidRPr="00A66F68">
              <w:rPr>
                <w:b/>
                <w:bCs/>
              </w:rPr>
              <w:t>Code</w:t>
            </w:r>
          </w:p>
        </w:tc>
        <w:tc>
          <w:tcPr>
            <w:tcW w:w="8550" w:type="dxa"/>
          </w:tcPr>
          <w:p w14:paraId="74A0B7E9" w14:textId="545572CB" w:rsidR="00A66F68" w:rsidRPr="00A66F68" w:rsidRDefault="00A66F68" w:rsidP="00A66F68">
            <w:pPr>
              <w:rPr>
                <w:b/>
                <w:bCs/>
              </w:rPr>
            </w:pPr>
            <w:r w:rsidRPr="00A66F68">
              <w:rPr>
                <w:b/>
                <w:bCs/>
              </w:rPr>
              <w:t>Description</w:t>
            </w:r>
          </w:p>
        </w:tc>
      </w:tr>
      <w:tr w:rsidR="00A66F68" w14:paraId="3320C2FD" w14:textId="77777777" w:rsidTr="007765B3">
        <w:trPr>
          <w:cantSplit/>
          <w:tblHeader/>
        </w:trPr>
        <w:tc>
          <w:tcPr>
            <w:tcW w:w="1530" w:type="dxa"/>
          </w:tcPr>
          <w:p w14:paraId="5868A0ED" w14:textId="6D21C4F0" w:rsidR="00A66F68" w:rsidRDefault="00A66F68" w:rsidP="00A66F68">
            <w:r w:rsidRPr="008C0AD0">
              <w:t>CPMS</w:t>
            </w:r>
          </w:p>
        </w:tc>
        <w:tc>
          <w:tcPr>
            <w:tcW w:w="8550" w:type="dxa"/>
          </w:tcPr>
          <w:p w14:paraId="40F2868E" w14:textId="438D1A4E" w:rsidR="00A66F68" w:rsidRDefault="00A66F68" w:rsidP="00A66F68">
            <w:r w:rsidRPr="008C0AD0">
              <w:t>A CPMS is used to demonstrate compliance</w:t>
            </w:r>
          </w:p>
        </w:tc>
      </w:tr>
      <w:tr w:rsidR="00A66F68" w14:paraId="67396F11" w14:textId="77777777" w:rsidTr="007765B3">
        <w:trPr>
          <w:cantSplit/>
          <w:tblHeader/>
        </w:trPr>
        <w:tc>
          <w:tcPr>
            <w:tcW w:w="1530" w:type="dxa"/>
          </w:tcPr>
          <w:p w14:paraId="0AE52FBE" w14:textId="17370A90" w:rsidR="00A66F68" w:rsidRDefault="00A66F68" w:rsidP="00A66F68">
            <w:r w:rsidRPr="008C0AD0">
              <w:t>CEMS</w:t>
            </w:r>
          </w:p>
        </w:tc>
        <w:tc>
          <w:tcPr>
            <w:tcW w:w="8550" w:type="dxa"/>
          </w:tcPr>
          <w:p w14:paraId="1565389C" w14:textId="359D0331" w:rsidR="00A66F68" w:rsidRDefault="00A66F68" w:rsidP="00A66F68">
            <w:r w:rsidRPr="008C0AD0">
              <w:t>A CEMS (or sorbent trap) is used to demonstrate compliance</w:t>
            </w:r>
          </w:p>
        </w:tc>
      </w:tr>
      <w:tr w:rsidR="00A66F68" w14:paraId="22BC4041" w14:textId="77777777" w:rsidTr="007765B3">
        <w:trPr>
          <w:cantSplit/>
          <w:tblHeader/>
        </w:trPr>
        <w:tc>
          <w:tcPr>
            <w:tcW w:w="1530" w:type="dxa"/>
          </w:tcPr>
          <w:p w14:paraId="2166DA6F" w14:textId="63903036" w:rsidR="00A66F68" w:rsidRDefault="00A66F68" w:rsidP="00A66F68">
            <w:r w:rsidRPr="008C0AD0">
              <w:t>NONE</w:t>
            </w:r>
          </w:p>
        </w:tc>
        <w:tc>
          <w:tcPr>
            <w:tcW w:w="8550" w:type="dxa"/>
          </w:tcPr>
          <w:p w14:paraId="01D6A673" w14:textId="2D967769" w:rsidR="00A66F68" w:rsidRDefault="00A66F68" w:rsidP="00A66F68">
            <w:r w:rsidRPr="008C0AD0">
              <w:t>None of the above</w:t>
            </w:r>
          </w:p>
        </w:tc>
      </w:tr>
    </w:tbl>
    <w:p w14:paraId="5BDBD962" w14:textId="77777777" w:rsidR="009764B8" w:rsidRPr="00D261BD" w:rsidRDefault="009764B8" w:rsidP="00390EE3">
      <w:pPr>
        <w:pStyle w:val="APDCompleteStar"/>
      </w:pPr>
      <w:r w:rsidRPr="00D261BD">
        <w:t>Do Not Complete “Stack Config” if “Compliance Demo” is “NONE.”</w:t>
      </w:r>
    </w:p>
    <w:p w14:paraId="63DEBD56" w14:textId="2E86624C" w:rsidR="009764B8" w:rsidRPr="00E81C24" w:rsidRDefault="009764B8" w:rsidP="00E81C24">
      <w:pPr>
        <w:pStyle w:val="APDStrong"/>
      </w:pPr>
      <w:r w:rsidRPr="00E81C24">
        <w:t xml:space="preserve">Stack </w:t>
      </w:r>
      <w:r w:rsidR="00285CC8" w:rsidRPr="00E81C24">
        <w:t>Conf</w:t>
      </w:r>
      <w:r w:rsidR="003302FD" w:rsidRPr="00E81C24">
        <w:t>ig</w:t>
      </w:r>
      <w:r w:rsidRPr="00E81C24">
        <w:t>:</w:t>
      </w:r>
    </w:p>
    <w:p w14:paraId="73127D9B" w14:textId="77777777" w:rsidR="009764B8" w:rsidRDefault="009764B8" w:rsidP="00167016">
      <w:pPr>
        <w:pStyle w:val="APDBodyText"/>
      </w:pPr>
      <w:bookmarkStart w:id="136" w:name="_Hlk31013322"/>
      <w:r w:rsidRPr="00167016">
        <w:t>Select one of the following options that describes the exhaust stack configuration.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126B43" w14:paraId="7CF5D3C8" w14:textId="77777777" w:rsidTr="00126B43">
        <w:trPr>
          <w:cantSplit/>
          <w:tblHeader/>
        </w:trPr>
        <w:tc>
          <w:tcPr>
            <w:tcW w:w="1530" w:type="dxa"/>
          </w:tcPr>
          <w:p w14:paraId="6D44452B" w14:textId="7E50F6DD" w:rsidR="00126B43" w:rsidRPr="00126B43" w:rsidRDefault="00126B43" w:rsidP="00126B43">
            <w:pPr>
              <w:rPr>
                <w:b/>
                <w:bCs/>
              </w:rPr>
            </w:pPr>
            <w:r w:rsidRPr="00126B43">
              <w:rPr>
                <w:b/>
                <w:bCs/>
              </w:rPr>
              <w:t>Code</w:t>
            </w:r>
          </w:p>
        </w:tc>
        <w:tc>
          <w:tcPr>
            <w:tcW w:w="8550" w:type="dxa"/>
          </w:tcPr>
          <w:p w14:paraId="6F1E6AD8" w14:textId="031B7573" w:rsidR="00126B43" w:rsidRPr="00126B43" w:rsidRDefault="00126B43" w:rsidP="00126B43">
            <w:pPr>
              <w:rPr>
                <w:b/>
                <w:bCs/>
              </w:rPr>
            </w:pPr>
            <w:r w:rsidRPr="00126B43">
              <w:rPr>
                <w:b/>
                <w:bCs/>
              </w:rPr>
              <w:t>Description</w:t>
            </w:r>
          </w:p>
        </w:tc>
      </w:tr>
      <w:tr w:rsidR="00126B43" w14:paraId="534865EB" w14:textId="77777777" w:rsidTr="00126B43">
        <w:trPr>
          <w:cantSplit/>
          <w:tblHeader/>
        </w:trPr>
        <w:tc>
          <w:tcPr>
            <w:tcW w:w="1530" w:type="dxa"/>
          </w:tcPr>
          <w:p w14:paraId="7DCA8E79" w14:textId="4F756550" w:rsidR="00126B43" w:rsidRDefault="00126B43" w:rsidP="00126B43">
            <w:r w:rsidRPr="002934CF">
              <w:t>CONFIG-1</w:t>
            </w:r>
          </w:p>
        </w:tc>
        <w:tc>
          <w:tcPr>
            <w:tcW w:w="8550" w:type="dxa"/>
          </w:tcPr>
          <w:p w14:paraId="5EC8AAAC" w14:textId="65BC922B" w:rsidR="00126B43" w:rsidRDefault="00126B43" w:rsidP="00126B43">
            <w:r w:rsidRPr="002934CF">
              <w:t>Single unit-single stack configuration</w:t>
            </w:r>
          </w:p>
        </w:tc>
      </w:tr>
      <w:tr w:rsidR="00126B43" w14:paraId="102008F5" w14:textId="77777777" w:rsidTr="00126B43">
        <w:trPr>
          <w:cantSplit/>
          <w:tblHeader/>
        </w:trPr>
        <w:tc>
          <w:tcPr>
            <w:tcW w:w="1530" w:type="dxa"/>
          </w:tcPr>
          <w:p w14:paraId="1B7AD59E" w14:textId="0E405FE1" w:rsidR="00126B43" w:rsidRDefault="00126B43" w:rsidP="00126B43">
            <w:r w:rsidRPr="002934CF">
              <w:t>CONFIG-2</w:t>
            </w:r>
          </w:p>
        </w:tc>
        <w:tc>
          <w:tcPr>
            <w:tcW w:w="8550" w:type="dxa"/>
          </w:tcPr>
          <w:p w14:paraId="5261E1CB" w14:textId="56AAEF90" w:rsidR="00126B43" w:rsidRDefault="00126B43" w:rsidP="00126B43">
            <w:r w:rsidRPr="002934CF">
              <w:t>Unit utilizing common stack with other affected unit(s)</w:t>
            </w:r>
          </w:p>
        </w:tc>
      </w:tr>
      <w:tr w:rsidR="00126B43" w14:paraId="6ACB19C3" w14:textId="77777777" w:rsidTr="00126B43">
        <w:trPr>
          <w:cantSplit/>
          <w:tblHeader/>
        </w:trPr>
        <w:tc>
          <w:tcPr>
            <w:tcW w:w="1530" w:type="dxa"/>
          </w:tcPr>
          <w:p w14:paraId="38045B2C" w14:textId="76B54352" w:rsidR="00126B43" w:rsidRDefault="00126B43" w:rsidP="00126B43">
            <w:r w:rsidRPr="002934CF">
              <w:t>CONFIG-3</w:t>
            </w:r>
          </w:p>
        </w:tc>
        <w:tc>
          <w:tcPr>
            <w:tcW w:w="8550" w:type="dxa"/>
          </w:tcPr>
          <w:p w14:paraId="1A2A7B5B" w14:textId="22E4A317" w:rsidR="00126B43" w:rsidRDefault="00126B43" w:rsidP="00126B43">
            <w:r w:rsidRPr="002934CF">
              <w:t xml:space="preserve">Unit(s) utilizing common stack with non-affected unit(s) </w:t>
            </w:r>
          </w:p>
        </w:tc>
      </w:tr>
      <w:tr w:rsidR="00126B43" w14:paraId="7EDEF605" w14:textId="77777777" w:rsidTr="00126B43">
        <w:trPr>
          <w:cantSplit/>
          <w:tblHeader/>
        </w:trPr>
        <w:tc>
          <w:tcPr>
            <w:tcW w:w="1530" w:type="dxa"/>
          </w:tcPr>
          <w:p w14:paraId="0CA84787" w14:textId="38517E66" w:rsidR="00126B43" w:rsidRDefault="00126B43" w:rsidP="00126B43">
            <w:r w:rsidRPr="002934CF">
              <w:t>CONFIG-4</w:t>
            </w:r>
          </w:p>
        </w:tc>
        <w:tc>
          <w:tcPr>
            <w:tcW w:w="8550" w:type="dxa"/>
          </w:tcPr>
          <w:p w14:paraId="2ECCB8EC" w14:textId="296AEF1D" w:rsidR="00126B43" w:rsidRDefault="00126B43" w:rsidP="00126B43">
            <w:r w:rsidRPr="002934CF">
              <w:t>Unit with a main stack and a bypass stack</w:t>
            </w:r>
          </w:p>
        </w:tc>
      </w:tr>
      <w:tr w:rsidR="00126B43" w14:paraId="6A386C32" w14:textId="77777777" w:rsidTr="00126B43">
        <w:trPr>
          <w:cantSplit/>
          <w:tblHeader/>
        </w:trPr>
        <w:tc>
          <w:tcPr>
            <w:tcW w:w="1530" w:type="dxa"/>
          </w:tcPr>
          <w:p w14:paraId="4A91182D" w14:textId="06640022" w:rsidR="00126B43" w:rsidRDefault="00126B43" w:rsidP="00126B43">
            <w:r w:rsidRPr="002934CF">
              <w:t>CONFIG-5</w:t>
            </w:r>
          </w:p>
        </w:tc>
        <w:tc>
          <w:tcPr>
            <w:tcW w:w="8550" w:type="dxa"/>
          </w:tcPr>
          <w:p w14:paraId="3B5941A7" w14:textId="4565CE9A" w:rsidR="00126B43" w:rsidRDefault="00126B43" w:rsidP="00126B43">
            <w:r w:rsidRPr="002934CF">
              <w:t>Unit with a common control device with multiple stack or duct configuration</w:t>
            </w:r>
          </w:p>
        </w:tc>
      </w:tr>
      <w:tr w:rsidR="00126B43" w14:paraId="1B9EE04D" w14:textId="77777777" w:rsidTr="00126B43">
        <w:trPr>
          <w:cantSplit/>
          <w:tblHeader/>
        </w:trPr>
        <w:tc>
          <w:tcPr>
            <w:tcW w:w="1530" w:type="dxa"/>
          </w:tcPr>
          <w:p w14:paraId="119BB3C7" w14:textId="6DB3B0E6" w:rsidR="00126B43" w:rsidRDefault="00126B43" w:rsidP="00126B43">
            <w:r w:rsidRPr="002934CF">
              <w:t>CONFIG-6</w:t>
            </w:r>
          </w:p>
        </w:tc>
        <w:tc>
          <w:tcPr>
            <w:tcW w:w="8550" w:type="dxa"/>
          </w:tcPr>
          <w:p w14:paraId="1D4C8534" w14:textId="21966849" w:rsidR="00126B43" w:rsidRDefault="00126B43" w:rsidP="00126B43">
            <w:r w:rsidRPr="002934CF">
              <w:t>Unit with multiple parallel control devices with multiple stacks</w:t>
            </w:r>
          </w:p>
        </w:tc>
      </w:tr>
    </w:tbl>
    <w:bookmarkEnd w:id="136"/>
    <w:p w14:paraId="3D006C05" w14:textId="26C0E0F3" w:rsidR="009764B8" w:rsidRPr="00E81C24" w:rsidRDefault="009764B8" w:rsidP="00664161">
      <w:pPr>
        <w:pStyle w:val="APDStrong"/>
        <w:spacing w:before="120"/>
      </w:pPr>
      <w:r w:rsidRPr="00E81C24">
        <w:t>O</w:t>
      </w:r>
      <w:r w:rsidRPr="00167016">
        <w:rPr>
          <w:vertAlign w:val="subscript"/>
        </w:rPr>
        <w:t>2</w:t>
      </w:r>
      <w:r w:rsidRPr="00E81C24">
        <w:t>-CO</w:t>
      </w:r>
      <w:r w:rsidRPr="00167016">
        <w:rPr>
          <w:vertAlign w:val="subscript"/>
        </w:rPr>
        <w:t>2</w:t>
      </w:r>
      <w:r w:rsidRPr="00E81C24">
        <w:t xml:space="preserve"> CEMS:</w:t>
      </w:r>
    </w:p>
    <w:p w14:paraId="543CDC40" w14:textId="0FAED348" w:rsidR="009764B8" w:rsidRPr="00167016" w:rsidRDefault="009764B8" w:rsidP="00167016">
      <w:pPr>
        <w:pStyle w:val="APDBodyText"/>
      </w:pPr>
      <w:r w:rsidRPr="00167016">
        <w:t>Enter “</w:t>
      </w:r>
      <w:r w:rsidR="00B42127">
        <w:t>YES</w:t>
      </w:r>
      <w:r w:rsidRPr="00167016">
        <w:t>” if an oxygen or carbon dioxide CEMS is used to convert measured pollutant concentrations. Otherwise, enter</w:t>
      </w:r>
      <w:r w:rsidR="00921B63" w:rsidRPr="00167016">
        <w:t> </w:t>
      </w:r>
      <w:r w:rsidRPr="00167016">
        <w:t>“</w:t>
      </w:r>
      <w:r w:rsidR="00B42127">
        <w:t>NO</w:t>
      </w:r>
      <w:r w:rsidR="00245C0E" w:rsidRPr="00167016">
        <w:t>.</w:t>
      </w:r>
      <w:r w:rsidRPr="00167016">
        <w:t>”</w:t>
      </w:r>
    </w:p>
    <w:p w14:paraId="3DDA5453" w14:textId="2831CFCB" w:rsidR="009764B8" w:rsidRPr="00E81C24" w:rsidRDefault="009764B8" w:rsidP="00E81C24">
      <w:pPr>
        <w:pStyle w:val="APDStrong"/>
      </w:pPr>
      <w:r w:rsidRPr="00E81C24">
        <w:t>Flow Monitor:</w:t>
      </w:r>
    </w:p>
    <w:p w14:paraId="7BE1BC28" w14:textId="400F37F6" w:rsidR="009764B8" w:rsidRPr="00167016" w:rsidRDefault="009764B8" w:rsidP="00167016">
      <w:pPr>
        <w:pStyle w:val="APDBodyText"/>
      </w:pPr>
      <w:r w:rsidRPr="00167016">
        <w:t>Enter “</w:t>
      </w:r>
      <w:r w:rsidR="00B42127">
        <w:t>YES</w:t>
      </w:r>
      <w:r w:rsidRPr="00167016">
        <w:t>” if a stack gas flow rate monitor is used for routine operation of a sorbent trap monitoring system or to convert measured pollutant concentrations. Otherwise, enter “</w:t>
      </w:r>
      <w:r w:rsidR="00B42127">
        <w:t>NO</w:t>
      </w:r>
      <w:r w:rsidR="00245C0E" w:rsidRPr="00167016">
        <w:t>.</w:t>
      </w:r>
      <w:r w:rsidRPr="00167016">
        <w:t>”</w:t>
      </w:r>
    </w:p>
    <w:p w14:paraId="1DFC39BA" w14:textId="3BDC873B" w:rsidR="009764B8" w:rsidRPr="00E81C24" w:rsidRDefault="009764B8" w:rsidP="00E81C24">
      <w:pPr>
        <w:pStyle w:val="APDStrong"/>
      </w:pPr>
      <w:r w:rsidRPr="00E81C24">
        <w:t>Gas Moisture:</w:t>
      </w:r>
    </w:p>
    <w:p w14:paraId="703F5D53" w14:textId="6D545300" w:rsidR="009764B8" w:rsidRPr="00167016" w:rsidRDefault="009764B8" w:rsidP="00167016">
      <w:pPr>
        <w:pStyle w:val="APDBodyText"/>
      </w:pPr>
      <w:r w:rsidRPr="00167016">
        <w:t>Enter “</w:t>
      </w:r>
      <w:r w:rsidR="00B42127">
        <w:t>YES</w:t>
      </w:r>
      <w:r w:rsidRPr="00167016">
        <w:t>” if you are required to make corrections for stack gas moisture when converting pollutants. Otherwise, enter</w:t>
      </w:r>
      <w:r w:rsidR="00921B63" w:rsidRPr="00167016">
        <w:t> </w:t>
      </w:r>
      <w:r w:rsidRPr="00167016">
        <w:t>“</w:t>
      </w:r>
      <w:r w:rsidR="00B42127">
        <w:t>NO</w:t>
      </w:r>
      <w:r w:rsidR="00245C0E" w:rsidRPr="00167016">
        <w:t>.</w:t>
      </w:r>
      <w:r w:rsidRPr="00167016">
        <w:t>”</w:t>
      </w:r>
    </w:p>
    <w:p w14:paraId="49EC214D" w14:textId="31C7E9D9" w:rsidR="009764B8" w:rsidRPr="00E81C24" w:rsidRDefault="009764B8" w:rsidP="00E81C24">
      <w:pPr>
        <w:pStyle w:val="APDStrong"/>
      </w:pPr>
      <w:r w:rsidRPr="00E81C24">
        <w:t>Direct HAP:</w:t>
      </w:r>
    </w:p>
    <w:p w14:paraId="4F6ACA5A" w14:textId="77777777" w:rsidR="00C64412" w:rsidRDefault="009764B8" w:rsidP="00167016">
      <w:pPr>
        <w:pStyle w:val="APDBodyText"/>
        <w:sectPr w:rsidR="00C64412" w:rsidSect="0031268E">
          <w:pgSz w:w="12240" w:h="15840" w:code="1"/>
          <w:pgMar w:top="720" w:right="720" w:bottom="720" w:left="720" w:header="720" w:footer="720" w:gutter="0"/>
          <w:cols w:space="720"/>
          <w:titlePg/>
          <w:docGrid w:linePitch="360"/>
        </w:sectPr>
      </w:pPr>
      <w:r w:rsidRPr="00167016">
        <w:t>Enter “</w:t>
      </w:r>
      <w:r w:rsidR="00B42127">
        <w:t>YES</w:t>
      </w:r>
      <w:r w:rsidRPr="00167016">
        <w:t xml:space="preserve">” if you use a CEMS or sorbent trap to measure </w:t>
      </w:r>
      <w:r w:rsidR="00527120" w:rsidRPr="00167016">
        <w:t>a</w:t>
      </w:r>
      <w:r w:rsidRPr="00167016">
        <w:t xml:space="preserve"> HAP directly. Otherwise, enter “</w:t>
      </w:r>
      <w:r w:rsidR="00B42127">
        <w:t>NO</w:t>
      </w:r>
      <w:r w:rsidR="00245C0E" w:rsidRPr="00167016">
        <w:t>.</w:t>
      </w:r>
      <w:r w:rsidRPr="00167016">
        <w:t>”</w:t>
      </w:r>
    </w:p>
    <w:p w14:paraId="5C8C6000" w14:textId="77777777" w:rsidR="00495923" w:rsidRPr="00EF0801" w:rsidRDefault="00495923" w:rsidP="00495923">
      <w:pPr>
        <w:pBdr>
          <w:bottom w:val="double" w:sz="4" w:space="1" w:color="auto"/>
        </w:pBdr>
      </w:pPr>
    </w:p>
    <w:bookmarkStart w:id="137" w:name="Table_14a"/>
    <w:p w14:paraId="48B72A24" w14:textId="02F5DBDD" w:rsidR="00495923" w:rsidRPr="00C471B0" w:rsidRDefault="00B73BC6" w:rsidP="002C7C54">
      <w:pPr>
        <w:pStyle w:val="APDChapterTitles"/>
        <w:rPr>
          <w:rStyle w:val="APDTableChapterChar"/>
          <w:b/>
          <w:bCs w:val="0"/>
        </w:rPr>
      </w:pPr>
      <w:r w:rsidRPr="001A118A">
        <w:rPr>
          <w:rStyle w:val="Hyperlink"/>
          <w:b/>
          <w:bCs w:val="0"/>
        </w:rPr>
        <w:fldChar w:fldCharType="begin"/>
      </w:r>
      <w:r w:rsidR="00176E8C" w:rsidRPr="001A118A">
        <w:rPr>
          <w:rStyle w:val="Hyperlink"/>
          <w:b/>
          <w:bCs w:val="0"/>
        </w:rPr>
        <w:instrText>HYPERLINK  \l "TBL_14a" \o "Table 14a"</w:instrText>
      </w:r>
      <w:r w:rsidRPr="001A118A">
        <w:rPr>
          <w:rStyle w:val="Hyperlink"/>
          <w:b/>
          <w:bCs w:val="0"/>
        </w:rPr>
      </w:r>
      <w:r w:rsidRPr="001A118A">
        <w:rPr>
          <w:rStyle w:val="Hyperlink"/>
          <w:b/>
          <w:bCs w:val="0"/>
        </w:rPr>
        <w:fldChar w:fldCharType="separate"/>
      </w:r>
      <w:bookmarkStart w:id="138" w:name="_Toc180398524"/>
      <w:bookmarkStart w:id="139" w:name="_Toc180398578"/>
      <w:r w:rsidR="00495923" w:rsidRPr="001A118A">
        <w:rPr>
          <w:rStyle w:val="Hyperlink"/>
          <w:b/>
          <w:bCs w:val="0"/>
        </w:rPr>
        <w:t>Table 14</w:t>
      </w:r>
      <w:r w:rsidR="001965E4" w:rsidRPr="001A118A">
        <w:rPr>
          <w:rStyle w:val="Hyperlink"/>
          <w:b/>
          <w:bCs w:val="0"/>
        </w:rPr>
        <w:t>a</w:t>
      </w:r>
      <w:r w:rsidRPr="001A118A">
        <w:rPr>
          <w:rStyle w:val="Hyperlink"/>
          <w:b/>
          <w:bCs w:val="0"/>
        </w:rPr>
        <w:fldChar w:fldCharType="end"/>
      </w:r>
      <w:bookmarkEnd w:id="137"/>
      <w:r w:rsidR="00495923" w:rsidRPr="001A118A">
        <w:rPr>
          <w:rStyle w:val="Hyperlink"/>
          <w:b/>
          <w:bCs w:val="0"/>
        </w:rPr>
        <w:t>:</w:t>
      </w:r>
      <w:r w:rsidR="00495923" w:rsidRPr="00EF0801">
        <w:tab/>
      </w:r>
      <w:bookmarkStart w:id="140" w:name="_Hlk71874559"/>
      <w:r w:rsidR="00BD6E0F" w:rsidRPr="00C471B0">
        <w:rPr>
          <w:rStyle w:val="APDTableChapterChar"/>
          <w:b/>
        </w:rPr>
        <w:t>Title 40 Code of Federal Regulations Part 63 (40 CFR Part 63), Subpart DDDDD:</w:t>
      </w:r>
      <w:r w:rsidR="00C87167" w:rsidRPr="00C471B0">
        <w:rPr>
          <w:rStyle w:val="APDTableChapterChar"/>
          <w:b/>
        </w:rPr>
        <w:t xml:space="preserve"> Industrial, Commercial, and Institutional Boilers</w:t>
      </w:r>
      <w:bookmarkEnd w:id="138"/>
      <w:bookmarkEnd w:id="139"/>
      <w:bookmarkEnd w:id="140"/>
    </w:p>
    <w:p w14:paraId="3446A95E" w14:textId="0C1D3349" w:rsidR="005120D0" w:rsidRPr="00A70943" w:rsidRDefault="005120D0" w:rsidP="00A70943">
      <w:pPr>
        <w:pStyle w:val="APDStrong"/>
      </w:pPr>
      <w:r w:rsidRPr="00A70943">
        <w:t xml:space="preserve">Unit ID </w:t>
      </w:r>
      <w:r w:rsidR="00B42127">
        <w:t>N</w:t>
      </w:r>
      <w:r w:rsidR="00786D92">
        <w:t>o</w:t>
      </w:r>
      <w:r w:rsidRPr="00A70943">
        <w:t>.:</w:t>
      </w:r>
    </w:p>
    <w:p w14:paraId="15DC3AFE" w14:textId="04772B9E" w:rsidR="005120D0" w:rsidRPr="00507D40" w:rsidRDefault="005120D0" w:rsidP="00507D40">
      <w:pPr>
        <w:pStyle w:val="APDBodyText"/>
      </w:pPr>
      <w:r w:rsidRPr="00507D40">
        <w:t xml:space="preserve">Enter the identification number (ID </w:t>
      </w:r>
      <w:r w:rsidR="00B42127">
        <w:t>N</w:t>
      </w:r>
      <w:r w:rsidR="005667BA">
        <w:t>o</w:t>
      </w:r>
      <w:r w:rsidRPr="00507D40">
        <w:t>.) for the unit (maximum 10 characters) as listed on Form OP SUM (Individual Unit Summary).</w:t>
      </w:r>
    </w:p>
    <w:p w14:paraId="4F273372" w14:textId="123659D5" w:rsidR="005120D0" w:rsidRPr="00A70943" w:rsidRDefault="001965E4" w:rsidP="00A70943">
      <w:pPr>
        <w:pStyle w:val="APDStrong"/>
      </w:pPr>
      <w:r w:rsidRPr="00A70943">
        <w:t>SOP/</w:t>
      </w:r>
      <w:r w:rsidR="005120D0" w:rsidRPr="00A70943">
        <w:t xml:space="preserve">GOP Index </w:t>
      </w:r>
      <w:r w:rsidR="00B42127">
        <w:t>N</w:t>
      </w:r>
      <w:r w:rsidR="00786D92">
        <w:t>o</w:t>
      </w:r>
      <w:r w:rsidR="005120D0" w:rsidRPr="00A70943">
        <w:t>.:</w:t>
      </w:r>
    </w:p>
    <w:p w14:paraId="6C1954F5" w14:textId="4FA09B51" w:rsidR="009764B8" w:rsidRDefault="001965E4" w:rsidP="00507D40">
      <w:pPr>
        <w:pStyle w:val="APDBodyText"/>
      </w:pPr>
      <w:r w:rsidRPr="00507D40">
        <w:t xml:space="preserve">Site operating permit (SOP) applicants should indicate the SOP index number for the unit or group of units (maximum 15 characters consisting of numeric, alphanumeric characters, and/or dashes prefixed by a code for the applicable regulation [i.e., 60KB-XXXX]). </w:t>
      </w:r>
      <w:r w:rsidR="005120D0" w:rsidRPr="00507D40">
        <w:t xml:space="preserve">General operating permit (GOP) applicants should indicate the appropriate GOP index number in this column from the applicable GOP table (SSS-FF-XXX). Applicants should complete all applicable GOP attribute information before determining the GOP index number. </w:t>
      </w:r>
      <w:r w:rsidR="00CC2143" w:rsidRPr="00507D40">
        <w:t xml:space="preserve">For additional information relating to SOP </w:t>
      </w:r>
      <w:r w:rsidR="005D01DF" w:rsidRPr="00507D40">
        <w:t xml:space="preserve">and GOP </w:t>
      </w:r>
      <w:r w:rsidR="00CC2143" w:rsidRPr="00507D40">
        <w:t>index numbers, please see the Completing FOP Applications – Additional Guidance on the TCEQ website at</w:t>
      </w:r>
      <w:r w:rsidR="00CC2143" w:rsidRPr="00EF0801">
        <w:t xml:space="preserve"> </w:t>
      </w:r>
      <w:hyperlink r:id="rId50" w:tooltip="TCEQ - Completing FOP Applications - Additional Guidance" w:history="1">
        <w:r w:rsidR="00CF580F" w:rsidRPr="00677F90">
          <w:rPr>
            <w:rStyle w:val="Hyperlink"/>
          </w:rPr>
          <w:t>www.tceq.texas.gov/permitting/air/guidance/titlev/tv_fop_guidance.html</w:t>
        </w:r>
      </w:hyperlink>
      <w:r w:rsidR="00CC2143" w:rsidRPr="00EF0801">
        <w:t>.</w:t>
      </w:r>
    </w:p>
    <w:p w14:paraId="1358E7B4" w14:textId="77777777" w:rsidR="001965E4" w:rsidRPr="00A70943" w:rsidRDefault="001965E4" w:rsidP="00A70943">
      <w:pPr>
        <w:pStyle w:val="APDStrong"/>
      </w:pPr>
      <w:r w:rsidRPr="00A70943">
        <w:t>Commence:</w:t>
      </w:r>
    </w:p>
    <w:p w14:paraId="54BD9DDC" w14:textId="77777777" w:rsidR="001965E4" w:rsidRDefault="001965E4" w:rsidP="00507D40">
      <w:pPr>
        <w:pStyle w:val="APDBodyText"/>
      </w:pPr>
      <w:r w:rsidRPr="008D7C89">
        <w:t>Select one of the following construction date options for the source.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352260" w14:paraId="622DCD00" w14:textId="77777777" w:rsidTr="00A25916">
        <w:trPr>
          <w:cantSplit/>
          <w:tblHeader/>
        </w:trPr>
        <w:tc>
          <w:tcPr>
            <w:tcW w:w="1530" w:type="dxa"/>
          </w:tcPr>
          <w:p w14:paraId="020C3F6C" w14:textId="7364A5CB" w:rsidR="00352260" w:rsidRPr="00352260" w:rsidRDefault="00352260" w:rsidP="00352260">
            <w:pPr>
              <w:rPr>
                <w:b/>
                <w:bCs/>
              </w:rPr>
            </w:pPr>
            <w:r w:rsidRPr="00352260">
              <w:rPr>
                <w:b/>
                <w:bCs/>
              </w:rPr>
              <w:t>Code</w:t>
            </w:r>
          </w:p>
        </w:tc>
        <w:tc>
          <w:tcPr>
            <w:tcW w:w="8550" w:type="dxa"/>
          </w:tcPr>
          <w:p w14:paraId="2AE9B0BB" w14:textId="77396317" w:rsidR="00352260" w:rsidRPr="00352260" w:rsidRDefault="00352260" w:rsidP="00352260">
            <w:pPr>
              <w:rPr>
                <w:b/>
                <w:bCs/>
              </w:rPr>
            </w:pPr>
            <w:r w:rsidRPr="00352260">
              <w:rPr>
                <w:b/>
                <w:bCs/>
              </w:rPr>
              <w:t>Description</w:t>
            </w:r>
          </w:p>
        </w:tc>
      </w:tr>
      <w:tr w:rsidR="00352260" w14:paraId="58005F66" w14:textId="77777777" w:rsidTr="00A25916">
        <w:trPr>
          <w:cantSplit/>
          <w:tblHeader/>
        </w:trPr>
        <w:tc>
          <w:tcPr>
            <w:tcW w:w="1530" w:type="dxa"/>
          </w:tcPr>
          <w:p w14:paraId="121E6C65" w14:textId="6F9B5D6B" w:rsidR="00352260" w:rsidRDefault="00352260" w:rsidP="00352260">
            <w:r w:rsidRPr="00E57C9A">
              <w:t>NEW</w:t>
            </w:r>
          </w:p>
        </w:tc>
        <w:tc>
          <w:tcPr>
            <w:tcW w:w="8550" w:type="dxa"/>
          </w:tcPr>
          <w:p w14:paraId="343107AE" w14:textId="365BB9A6" w:rsidR="00352260" w:rsidRDefault="00352260" w:rsidP="00352260">
            <w:r w:rsidRPr="00E57C9A">
              <w:t>Source is new (commenced construction after June 4, 2010)</w:t>
            </w:r>
          </w:p>
        </w:tc>
      </w:tr>
      <w:tr w:rsidR="00352260" w14:paraId="3D9DA925" w14:textId="77777777" w:rsidTr="00A25916">
        <w:trPr>
          <w:cantSplit/>
          <w:tblHeader/>
        </w:trPr>
        <w:tc>
          <w:tcPr>
            <w:tcW w:w="1530" w:type="dxa"/>
          </w:tcPr>
          <w:p w14:paraId="2158A6F2" w14:textId="77EDDECE" w:rsidR="00352260" w:rsidRDefault="00352260" w:rsidP="00352260">
            <w:r w:rsidRPr="00E57C9A">
              <w:t>RECON</w:t>
            </w:r>
          </w:p>
        </w:tc>
        <w:tc>
          <w:tcPr>
            <w:tcW w:w="8550" w:type="dxa"/>
          </w:tcPr>
          <w:p w14:paraId="6109520D" w14:textId="7B898C4E" w:rsidR="00352260" w:rsidRDefault="00352260" w:rsidP="00352260">
            <w:r w:rsidRPr="00E57C9A">
              <w:t>Source is reconstructed (commenced reconstruction after June 4, 2010)</w:t>
            </w:r>
          </w:p>
        </w:tc>
      </w:tr>
      <w:tr w:rsidR="00352260" w14:paraId="327F5EB3" w14:textId="77777777" w:rsidTr="00A25916">
        <w:trPr>
          <w:cantSplit/>
          <w:tblHeader/>
        </w:trPr>
        <w:tc>
          <w:tcPr>
            <w:tcW w:w="1530" w:type="dxa"/>
          </w:tcPr>
          <w:p w14:paraId="646EC3E9" w14:textId="66D875C2" w:rsidR="00352260" w:rsidRDefault="00352260" w:rsidP="00352260">
            <w:r w:rsidRPr="00E57C9A">
              <w:t>EXIST</w:t>
            </w:r>
          </w:p>
        </w:tc>
        <w:tc>
          <w:tcPr>
            <w:tcW w:w="8550" w:type="dxa"/>
          </w:tcPr>
          <w:p w14:paraId="085EA8D3" w14:textId="192A8333" w:rsidR="00352260" w:rsidRDefault="00352260" w:rsidP="00352260">
            <w:r w:rsidRPr="00E57C9A">
              <w:t>Source is existing (commenced construction or reconstruction on or before June 4, 2010)</w:t>
            </w:r>
          </w:p>
        </w:tc>
      </w:tr>
    </w:tbl>
    <w:p w14:paraId="18EC1F59" w14:textId="77777777" w:rsidR="001965E4" w:rsidRPr="00A70943" w:rsidRDefault="001965E4" w:rsidP="004B01E5">
      <w:pPr>
        <w:pStyle w:val="APDStrong"/>
        <w:spacing w:before="120"/>
      </w:pPr>
      <w:r w:rsidRPr="00A70943">
        <w:t>Table Applicability:</w:t>
      </w:r>
    </w:p>
    <w:p w14:paraId="583E1BDA" w14:textId="577572F6" w:rsidR="001965E4" w:rsidRDefault="001965E4" w:rsidP="00507D40">
      <w:pPr>
        <w:pStyle w:val="APDBodyText"/>
      </w:pPr>
      <w:r w:rsidRPr="00507D40">
        <w:t xml:space="preserve">Select one of the following </w:t>
      </w:r>
      <w:r w:rsidR="00CE490C" w:rsidRPr="00507D40">
        <w:t>options that describes the applicability of emission limitations in §63.7500(a)(1)-Tables 1 or 2.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080"/>
        <w:gridCol w:w="9000"/>
      </w:tblGrid>
      <w:tr w:rsidR="00FB3733" w14:paraId="75124A5F" w14:textId="77777777" w:rsidTr="00403964">
        <w:trPr>
          <w:cantSplit/>
          <w:tblHeader/>
        </w:trPr>
        <w:tc>
          <w:tcPr>
            <w:tcW w:w="1080" w:type="dxa"/>
          </w:tcPr>
          <w:p w14:paraId="50EE37A3" w14:textId="72DD2C37" w:rsidR="00FB3733" w:rsidRPr="00FB3733" w:rsidRDefault="00FB3733" w:rsidP="00FB3733">
            <w:pPr>
              <w:rPr>
                <w:b/>
                <w:bCs/>
              </w:rPr>
            </w:pPr>
            <w:r w:rsidRPr="00FB3733">
              <w:rPr>
                <w:b/>
                <w:bCs/>
              </w:rPr>
              <w:lastRenderedPageBreak/>
              <w:t>Code</w:t>
            </w:r>
          </w:p>
        </w:tc>
        <w:tc>
          <w:tcPr>
            <w:tcW w:w="9000" w:type="dxa"/>
          </w:tcPr>
          <w:p w14:paraId="5DD95156" w14:textId="29F6225B" w:rsidR="00FB3733" w:rsidRPr="00FB3733" w:rsidRDefault="00FB3733" w:rsidP="00FB3733">
            <w:pPr>
              <w:rPr>
                <w:b/>
                <w:bCs/>
              </w:rPr>
            </w:pPr>
            <w:r w:rsidRPr="00FB3733">
              <w:rPr>
                <w:b/>
                <w:bCs/>
              </w:rPr>
              <w:t>Description</w:t>
            </w:r>
          </w:p>
        </w:tc>
      </w:tr>
      <w:tr w:rsidR="00FB3733" w14:paraId="09355D47" w14:textId="77777777" w:rsidTr="00403964">
        <w:trPr>
          <w:cantSplit/>
          <w:tblHeader/>
        </w:trPr>
        <w:tc>
          <w:tcPr>
            <w:tcW w:w="1080" w:type="dxa"/>
          </w:tcPr>
          <w:p w14:paraId="59BC218F" w14:textId="6290D7F2" w:rsidR="00FB3733" w:rsidRDefault="00FB3733" w:rsidP="00FB3733">
            <w:r w:rsidRPr="00C22ABE">
              <w:t>SFF10</w:t>
            </w:r>
          </w:p>
        </w:tc>
        <w:tc>
          <w:tcPr>
            <w:tcW w:w="9000" w:type="dxa"/>
          </w:tcPr>
          <w:p w14:paraId="21605F51" w14:textId="69B9456A" w:rsidR="00FB3733" w:rsidRDefault="00FB3733" w:rsidP="00FB3733">
            <w:r w:rsidRPr="00C22ABE">
              <w:t>The unit burns coal/solid fossil fuel AND has heat input equal to or greater than 10 MMBtu/hr (subject to emission limits in Table 1 or 2)</w:t>
            </w:r>
          </w:p>
        </w:tc>
      </w:tr>
      <w:tr w:rsidR="00FB3733" w14:paraId="34438E3D" w14:textId="77777777" w:rsidTr="00403964">
        <w:trPr>
          <w:cantSplit/>
          <w:tblHeader/>
        </w:trPr>
        <w:tc>
          <w:tcPr>
            <w:tcW w:w="1080" w:type="dxa"/>
          </w:tcPr>
          <w:p w14:paraId="5F481EC5" w14:textId="03A8DFEF" w:rsidR="00FB3733" w:rsidRDefault="00FB3733" w:rsidP="00FB3733">
            <w:r w:rsidRPr="00C22ABE">
              <w:t>BM10</w:t>
            </w:r>
          </w:p>
        </w:tc>
        <w:tc>
          <w:tcPr>
            <w:tcW w:w="9000" w:type="dxa"/>
          </w:tcPr>
          <w:p w14:paraId="6CD14B53" w14:textId="00A380EF" w:rsidR="00FB3733" w:rsidRDefault="00FB3733" w:rsidP="00FB3733">
            <w:r w:rsidRPr="00C22ABE">
              <w:t>The unit burns biomass/bio-based solid fuel AND has heat input equal to or greater than 10 MMBtu/hr (subject to emission limits in Table 1 or 2)</w:t>
            </w:r>
          </w:p>
        </w:tc>
      </w:tr>
      <w:tr w:rsidR="00FB3733" w14:paraId="4503B0A5" w14:textId="77777777" w:rsidTr="00403964">
        <w:trPr>
          <w:cantSplit/>
          <w:tblHeader/>
        </w:trPr>
        <w:tc>
          <w:tcPr>
            <w:tcW w:w="1080" w:type="dxa"/>
          </w:tcPr>
          <w:p w14:paraId="1EB480F8" w14:textId="1B9611A4" w:rsidR="00FB3733" w:rsidRDefault="00FB3733" w:rsidP="00FB3733">
            <w:r w:rsidRPr="00C22ABE">
              <w:t>HLIQ10</w:t>
            </w:r>
          </w:p>
        </w:tc>
        <w:tc>
          <w:tcPr>
            <w:tcW w:w="9000" w:type="dxa"/>
          </w:tcPr>
          <w:p w14:paraId="0DC47686" w14:textId="672F78A0" w:rsidR="00FB3733" w:rsidRDefault="00FB3733" w:rsidP="00FB3733">
            <w:r w:rsidRPr="00C22ABE">
              <w:t>The unit burns heavy liquid fuel AND has heat input equal to or greater than 10 MMBtu/hr (subject to emission limits in Table 1 or 2)</w:t>
            </w:r>
          </w:p>
        </w:tc>
      </w:tr>
      <w:tr w:rsidR="00FB3733" w14:paraId="29C296C5" w14:textId="77777777" w:rsidTr="00403964">
        <w:trPr>
          <w:cantSplit/>
          <w:tblHeader/>
        </w:trPr>
        <w:tc>
          <w:tcPr>
            <w:tcW w:w="1080" w:type="dxa"/>
          </w:tcPr>
          <w:p w14:paraId="399C8C19" w14:textId="2333725F" w:rsidR="00FB3733" w:rsidRDefault="00FB3733" w:rsidP="00FB3733">
            <w:r w:rsidRPr="00C22ABE">
              <w:t>LLIQ10</w:t>
            </w:r>
          </w:p>
        </w:tc>
        <w:tc>
          <w:tcPr>
            <w:tcW w:w="9000" w:type="dxa"/>
          </w:tcPr>
          <w:p w14:paraId="45B772F9" w14:textId="07B77963" w:rsidR="00FB3733" w:rsidRDefault="00FB3733" w:rsidP="00FB3733">
            <w:r w:rsidRPr="00C22ABE">
              <w:t>The unit burns light liquid fuel AND has heat input equal to or greater than 10 MMBtu/hr (subject to emission limits in Table 1 or 2)</w:t>
            </w:r>
          </w:p>
        </w:tc>
      </w:tr>
      <w:tr w:rsidR="00FB3733" w14:paraId="624FD7C6" w14:textId="77777777" w:rsidTr="00403964">
        <w:trPr>
          <w:cantSplit/>
          <w:tblHeader/>
        </w:trPr>
        <w:tc>
          <w:tcPr>
            <w:tcW w:w="1080" w:type="dxa"/>
          </w:tcPr>
          <w:p w14:paraId="291ED504" w14:textId="24B87A65" w:rsidR="00FB3733" w:rsidRDefault="00FB3733" w:rsidP="00FB3733">
            <w:r w:rsidRPr="00C22ABE">
              <w:t>GAS210</w:t>
            </w:r>
          </w:p>
        </w:tc>
        <w:tc>
          <w:tcPr>
            <w:tcW w:w="9000" w:type="dxa"/>
          </w:tcPr>
          <w:p w14:paraId="1EDEBEF1" w14:textId="543C4DB5" w:rsidR="00FB3733" w:rsidRDefault="00FB3733" w:rsidP="00FB3733">
            <w:r w:rsidRPr="00C22ABE">
              <w:t>The unit burns Gas 2 fuel AND has heat input equal to or greater than 10 MMBtu/hr (subject to emission limits in Table 1 or 2)</w:t>
            </w:r>
          </w:p>
        </w:tc>
      </w:tr>
      <w:tr w:rsidR="00FB3733" w14:paraId="517A08C4" w14:textId="77777777" w:rsidTr="00403964">
        <w:trPr>
          <w:cantSplit/>
          <w:tblHeader/>
        </w:trPr>
        <w:tc>
          <w:tcPr>
            <w:tcW w:w="1080" w:type="dxa"/>
          </w:tcPr>
          <w:p w14:paraId="2C15B7EC" w14:textId="287DEA81" w:rsidR="00FB3733" w:rsidRDefault="00FB3733" w:rsidP="00FB3733">
            <w:r w:rsidRPr="00C22ABE">
              <w:t>T3.1LTD</w:t>
            </w:r>
          </w:p>
        </w:tc>
        <w:tc>
          <w:tcPr>
            <w:tcW w:w="9000" w:type="dxa"/>
          </w:tcPr>
          <w:p w14:paraId="583DAF47" w14:textId="019A10DD" w:rsidR="00FB3733" w:rsidRDefault="00FB3733" w:rsidP="00FB3733">
            <w:r w:rsidRPr="00C22ABE">
              <w:t>The unit qualifies as a limited use boiler or process heater as defined in §63.7575 (not subject to Table 1 or 2 emission limits but must comply with work practice standards in §63.7500(a)(1)</w:t>
            </w:r>
            <w:r w:rsidRPr="00C22ABE">
              <w:noBreakHyphen/>
              <w:t>Table 3.1)</w:t>
            </w:r>
          </w:p>
        </w:tc>
      </w:tr>
      <w:tr w:rsidR="00FB3733" w14:paraId="3DC73979" w14:textId="77777777" w:rsidTr="00403964">
        <w:trPr>
          <w:cantSplit/>
          <w:tblHeader/>
        </w:trPr>
        <w:tc>
          <w:tcPr>
            <w:tcW w:w="1080" w:type="dxa"/>
          </w:tcPr>
          <w:p w14:paraId="51AF161A" w14:textId="0E859208" w:rsidR="00FB3733" w:rsidRDefault="00FB3733" w:rsidP="00FB3733">
            <w:r w:rsidRPr="00C22ABE">
              <w:t>T3.1TS</w:t>
            </w:r>
          </w:p>
        </w:tc>
        <w:tc>
          <w:tcPr>
            <w:tcW w:w="9000" w:type="dxa"/>
          </w:tcPr>
          <w:p w14:paraId="44EFC78D" w14:textId="353FE2AC" w:rsidR="00FB3733" w:rsidRDefault="00FB3733" w:rsidP="00FB3733">
            <w:r w:rsidRPr="00C22ABE">
              <w:t>The unit is designed to utilize a continuous oxygen trim system (not subject to Table 1 or 2 emission limits but must comply with work practice standards in §63.7500(a)(1)-Table 3.1)</w:t>
            </w:r>
          </w:p>
        </w:tc>
      </w:tr>
      <w:tr w:rsidR="00FB3733" w14:paraId="0EE977DA" w14:textId="77777777" w:rsidTr="00403964">
        <w:trPr>
          <w:cantSplit/>
          <w:tblHeader/>
        </w:trPr>
        <w:tc>
          <w:tcPr>
            <w:tcW w:w="1080" w:type="dxa"/>
          </w:tcPr>
          <w:p w14:paraId="1EF4BB37" w14:textId="6EE7B470" w:rsidR="00FB3733" w:rsidRDefault="00FB3733" w:rsidP="00FB3733">
            <w:r w:rsidRPr="00C22ABE">
              <w:t>T3.1G1</w:t>
            </w:r>
          </w:p>
        </w:tc>
        <w:tc>
          <w:tcPr>
            <w:tcW w:w="9000" w:type="dxa"/>
          </w:tcPr>
          <w:p w14:paraId="2DBEE1CE" w14:textId="4A022DFA" w:rsidR="00FB3733" w:rsidRDefault="00FB3733" w:rsidP="00FB3733">
            <w:r w:rsidRPr="00C22ABE">
              <w:t>The unit is designed to burn Gas 1 fuel AND has no continuous oxygen trim AND has heat input equal to or less than 5 MMBtu/hr (not subject to Table 1 or 2 emission limits but must comply with work practice standards in §63.7500(a)(1)-Table 3.1)</w:t>
            </w:r>
          </w:p>
        </w:tc>
      </w:tr>
      <w:tr w:rsidR="00FB3733" w14:paraId="7DE7C5DB" w14:textId="77777777" w:rsidTr="00403964">
        <w:trPr>
          <w:cantSplit/>
          <w:tblHeader/>
        </w:trPr>
        <w:tc>
          <w:tcPr>
            <w:tcW w:w="1080" w:type="dxa"/>
          </w:tcPr>
          <w:p w14:paraId="2DA79BC5" w14:textId="50AAA6A9" w:rsidR="00FB3733" w:rsidRDefault="00FB3733" w:rsidP="00FB3733">
            <w:r w:rsidRPr="00C22ABE">
              <w:t>T3.1G2</w:t>
            </w:r>
          </w:p>
        </w:tc>
        <w:tc>
          <w:tcPr>
            <w:tcW w:w="9000" w:type="dxa"/>
          </w:tcPr>
          <w:p w14:paraId="120FA98A" w14:textId="3DC88F3D" w:rsidR="00FB3733" w:rsidRDefault="00FB3733" w:rsidP="00FB3733">
            <w:r w:rsidRPr="00C22ABE">
              <w:t>The unit is designed to burn Gas 2 fuel AND has heat input equal to or less than 5 MMBtu/hr (not subject to Table 1 or 2 emission limits but must comply with work practice standards in §63.7500(a)(1)-Table 3.1)</w:t>
            </w:r>
          </w:p>
        </w:tc>
      </w:tr>
      <w:tr w:rsidR="00FB3733" w14:paraId="4076DA9F" w14:textId="77777777" w:rsidTr="00403964">
        <w:trPr>
          <w:cantSplit/>
          <w:tblHeader/>
        </w:trPr>
        <w:tc>
          <w:tcPr>
            <w:tcW w:w="1080" w:type="dxa"/>
          </w:tcPr>
          <w:p w14:paraId="3F9E61A3" w14:textId="522BFBF0" w:rsidR="00FB3733" w:rsidRDefault="00FB3733" w:rsidP="00FB3733">
            <w:r w:rsidRPr="00C22ABE">
              <w:t>T3.1LL</w:t>
            </w:r>
          </w:p>
        </w:tc>
        <w:tc>
          <w:tcPr>
            <w:tcW w:w="9000" w:type="dxa"/>
          </w:tcPr>
          <w:p w14:paraId="3A148674" w14:textId="7C6D0BC9" w:rsidR="00FB3733" w:rsidRDefault="00FB3733" w:rsidP="00FB3733">
            <w:r w:rsidRPr="00C22ABE">
              <w:t>The unit is designed to burn light liquid fuel AND has heat input equal to or less than 5 MMBtu/hr (not subject to Table 1 or 2 emission limits but must comply with work practice standards in §63.7500(a)(1)-Table 3.1)</w:t>
            </w:r>
          </w:p>
        </w:tc>
      </w:tr>
      <w:tr w:rsidR="00FB3733" w14:paraId="195AB1D6" w14:textId="77777777" w:rsidTr="00403964">
        <w:trPr>
          <w:cantSplit/>
          <w:tblHeader/>
        </w:trPr>
        <w:tc>
          <w:tcPr>
            <w:tcW w:w="1080" w:type="dxa"/>
          </w:tcPr>
          <w:p w14:paraId="0FA0DAFA" w14:textId="7E6A29E8" w:rsidR="00FB3733" w:rsidRDefault="00FB3733" w:rsidP="00FB3733">
            <w:r w:rsidRPr="00C22ABE">
              <w:t>T3.2G1</w:t>
            </w:r>
          </w:p>
        </w:tc>
        <w:tc>
          <w:tcPr>
            <w:tcW w:w="9000" w:type="dxa"/>
          </w:tcPr>
          <w:p w14:paraId="28FD52B5" w14:textId="49D6AE47" w:rsidR="00FB3733" w:rsidRDefault="00FB3733" w:rsidP="00FB3733">
            <w:r w:rsidRPr="00C22ABE">
              <w:t>The unit is designed to burn Gas 1 fuel AND has no continuous oxygen trim AND has heat input less than 10 MMBtu/hr but greater than 5 MMBtu/hr (not subject to Table 1 or 2 emission limits but must comply with work practice standards in §63.7500(a)(1)-Table 3.2)</w:t>
            </w:r>
          </w:p>
        </w:tc>
      </w:tr>
      <w:tr w:rsidR="00FB3733" w14:paraId="06638D84" w14:textId="77777777" w:rsidTr="00403964">
        <w:trPr>
          <w:cantSplit/>
          <w:tblHeader/>
        </w:trPr>
        <w:tc>
          <w:tcPr>
            <w:tcW w:w="1080" w:type="dxa"/>
          </w:tcPr>
          <w:p w14:paraId="47652E8A" w14:textId="4BE8C384" w:rsidR="00FB3733" w:rsidRDefault="00FB3733" w:rsidP="00FB3733">
            <w:r w:rsidRPr="00C22ABE">
              <w:t>T3.2G2</w:t>
            </w:r>
          </w:p>
        </w:tc>
        <w:tc>
          <w:tcPr>
            <w:tcW w:w="9000" w:type="dxa"/>
          </w:tcPr>
          <w:p w14:paraId="0FB74F22" w14:textId="3BA1841B" w:rsidR="00FB3733" w:rsidRDefault="00FB3733" w:rsidP="00FB3733">
            <w:r w:rsidRPr="00C22ABE">
              <w:t>The unit is designed to burn Gas 2 fuel AND has heat input less than 10 MMBtu/hr but greater than 5 MMBtu/hr (not subject to Table 1 or 2 emission limits but must comply with work practice standards in §63.7500(a)(1)-Table 3.2)</w:t>
            </w:r>
          </w:p>
        </w:tc>
      </w:tr>
      <w:tr w:rsidR="00FB3733" w14:paraId="305DBD7C" w14:textId="77777777" w:rsidTr="00403964">
        <w:trPr>
          <w:cantSplit/>
          <w:tblHeader/>
        </w:trPr>
        <w:tc>
          <w:tcPr>
            <w:tcW w:w="1080" w:type="dxa"/>
          </w:tcPr>
          <w:p w14:paraId="3438C357" w14:textId="3E55E1E4" w:rsidR="00FB3733" w:rsidRDefault="00FB3733" w:rsidP="00FB3733">
            <w:r w:rsidRPr="00C22ABE">
              <w:t>T3.2LL</w:t>
            </w:r>
          </w:p>
        </w:tc>
        <w:tc>
          <w:tcPr>
            <w:tcW w:w="9000" w:type="dxa"/>
          </w:tcPr>
          <w:p w14:paraId="00AAB7E7" w14:textId="7FC7B8BF" w:rsidR="00FB3733" w:rsidRDefault="00FB3733" w:rsidP="00FB3733">
            <w:r w:rsidRPr="00C22ABE">
              <w:t>The unit is designed to burn light liquid fuel AND has heat input less than 10 MMBtu/hr but greater than 5 MMBtu/hr (not subject to Table 1 or 2 emission limits but must comply with work practice standards in §63.7500(a)(1)-Table 3.2)</w:t>
            </w:r>
          </w:p>
        </w:tc>
      </w:tr>
      <w:tr w:rsidR="00FB3733" w14:paraId="3457055F" w14:textId="77777777" w:rsidTr="00403964">
        <w:trPr>
          <w:cantSplit/>
          <w:tblHeader/>
        </w:trPr>
        <w:tc>
          <w:tcPr>
            <w:tcW w:w="1080" w:type="dxa"/>
          </w:tcPr>
          <w:p w14:paraId="173B0A1A" w14:textId="2C077E2F" w:rsidR="00FB3733" w:rsidRDefault="00FB3733" w:rsidP="00FB3733">
            <w:r w:rsidRPr="00C22ABE">
              <w:t>T3.2HL</w:t>
            </w:r>
          </w:p>
        </w:tc>
        <w:tc>
          <w:tcPr>
            <w:tcW w:w="9000" w:type="dxa"/>
          </w:tcPr>
          <w:p w14:paraId="4EFF546F" w14:textId="3680A239" w:rsidR="00FB3733" w:rsidRDefault="00FB3733" w:rsidP="00FB3733">
            <w:r w:rsidRPr="00C22ABE">
              <w:t>The unit is designed to burn heavy liquid fuel AND has heat input less than 10 MMBtu/hr (not subject to Table 1 or 2 emission limits but must comply with work practice standards in §63.7500(a)(1)-Table 3.2)</w:t>
            </w:r>
          </w:p>
        </w:tc>
      </w:tr>
      <w:tr w:rsidR="00FB3733" w14:paraId="4AFA0775" w14:textId="77777777" w:rsidTr="00403964">
        <w:trPr>
          <w:cantSplit/>
          <w:tblHeader/>
        </w:trPr>
        <w:tc>
          <w:tcPr>
            <w:tcW w:w="1080" w:type="dxa"/>
          </w:tcPr>
          <w:p w14:paraId="0975E3FC" w14:textId="7FDC33AE" w:rsidR="00FB3733" w:rsidRDefault="00FB3733" w:rsidP="00FB3733">
            <w:r w:rsidRPr="00C22ABE">
              <w:t>T3.2S</w:t>
            </w:r>
          </w:p>
        </w:tc>
        <w:tc>
          <w:tcPr>
            <w:tcW w:w="9000" w:type="dxa"/>
          </w:tcPr>
          <w:p w14:paraId="0AB7DF31" w14:textId="3DB78549" w:rsidR="00FB3733" w:rsidRDefault="00FB3733" w:rsidP="00FB3733">
            <w:r w:rsidRPr="00C22ABE">
              <w:t>The unit is designed to burn solid fuel AND has heat input less 10 MMBtu/hr (not subject to Table 1 or 2 emission limits but must comply with work practice standards in §63.7500(a)(1)</w:t>
            </w:r>
            <w:r w:rsidRPr="00C22ABE">
              <w:noBreakHyphen/>
              <w:t>Table 3.2)</w:t>
            </w:r>
          </w:p>
        </w:tc>
      </w:tr>
      <w:tr w:rsidR="00B10D7D" w14:paraId="66360250" w14:textId="77777777" w:rsidTr="00403964">
        <w:trPr>
          <w:cantSplit/>
          <w:tblHeader/>
        </w:trPr>
        <w:tc>
          <w:tcPr>
            <w:tcW w:w="1080" w:type="dxa"/>
          </w:tcPr>
          <w:p w14:paraId="64417C9B" w14:textId="40FA5E2B" w:rsidR="00B10D7D" w:rsidRPr="00C22ABE" w:rsidRDefault="00B10D7D" w:rsidP="00FB3733">
            <w:r>
              <w:t>T3.3G1</w:t>
            </w:r>
          </w:p>
        </w:tc>
        <w:tc>
          <w:tcPr>
            <w:tcW w:w="9000" w:type="dxa"/>
          </w:tcPr>
          <w:p w14:paraId="3F5620D3" w14:textId="162E819C" w:rsidR="00B10D7D" w:rsidRPr="00C22ABE" w:rsidRDefault="00D36E50" w:rsidP="00D36E50">
            <w:pPr>
              <w:pStyle w:val="Indention"/>
              <w:spacing w:after="120"/>
              <w:ind w:left="29" w:hanging="29"/>
            </w:pPr>
            <w:r>
              <w:t xml:space="preserve">The </w:t>
            </w:r>
            <w:r w:rsidRPr="00FE5FD9">
              <w:t xml:space="preserve">unit is designed to burn Gas 1 </w:t>
            </w:r>
            <w:r w:rsidRPr="00FB3059">
              <w:t xml:space="preserve">fuel </w:t>
            </w:r>
            <w:r>
              <w:t>AND</w:t>
            </w:r>
            <w:r w:rsidRPr="00FE5FD9">
              <w:t xml:space="preserve"> has </w:t>
            </w:r>
            <w:r>
              <w:t xml:space="preserve">no </w:t>
            </w:r>
            <w:r w:rsidRPr="00FE5FD9">
              <w:t xml:space="preserve">continuous oxygen trim </w:t>
            </w:r>
            <w:r>
              <w:t xml:space="preserve">AND has </w:t>
            </w:r>
            <w:r w:rsidRPr="00FE5FD9">
              <w:t xml:space="preserve">heat input equal to or greater than 10 </w:t>
            </w:r>
            <w:r>
              <w:t>MMBtu/hr (not subject to Table 1 or 2 emission limits but must comply with work practice standards in §63.7500(a)(1)-Table 3.3</w:t>
            </w:r>
            <w:r w:rsidRPr="00FE5FD9">
              <w:t>)</w:t>
            </w:r>
          </w:p>
        </w:tc>
      </w:tr>
    </w:tbl>
    <w:p w14:paraId="3382FA19" w14:textId="412D7344" w:rsidR="00CE490C" w:rsidRPr="003E7AC0" w:rsidRDefault="00CE490C" w:rsidP="00FD7888">
      <w:pPr>
        <w:pStyle w:val="APDContinueTriangle"/>
      </w:pPr>
      <w:r w:rsidRPr="003E7AC0">
        <w:t>Continue only if “Table Applicability” is “SFF10”, “BM10”, “HLIQ10”, “LLIQ10”, or “GAS210.”</w:t>
      </w:r>
    </w:p>
    <w:p w14:paraId="0F32E84D" w14:textId="77777777" w:rsidR="00CE490C" w:rsidRPr="003E7AC0" w:rsidRDefault="00CE490C" w:rsidP="003E7AC0">
      <w:pPr>
        <w:pStyle w:val="APDStrong"/>
      </w:pPr>
      <w:r w:rsidRPr="003E7AC0">
        <w:t>HCl Emission:</w:t>
      </w:r>
    </w:p>
    <w:p w14:paraId="2F068586" w14:textId="77777777" w:rsidR="00CE490C" w:rsidRDefault="00CE490C" w:rsidP="001103B3">
      <w:pPr>
        <w:pStyle w:val="APDBodyText"/>
      </w:pPr>
      <w:r w:rsidRPr="001103B3">
        <w:lastRenderedPageBreak/>
        <w:t>Select one of the following hydrogen chloride emission limit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4B3928" w14:paraId="5436C0A0" w14:textId="77777777" w:rsidTr="004B3928">
        <w:trPr>
          <w:cantSplit/>
          <w:tblHeader/>
        </w:trPr>
        <w:tc>
          <w:tcPr>
            <w:tcW w:w="1530" w:type="dxa"/>
          </w:tcPr>
          <w:p w14:paraId="6C7532B2" w14:textId="5F076483" w:rsidR="004B3928" w:rsidRPr="004B3928" w:rsidRDefault="004B3928" w:rsidP="004B3928">
            <w:pPr>
              <w:pStyle w:val="APDBodyText"/>
              <w:rPr>
                <w:b/>
                <w:bCs/>
              </w:rPr>
            </w:pPr>
            <w:r w:rsidRPr="004B3928">
              <w:rPr>
                <w:b/>
                <w:bCs/>
              </w:rPr>
              <w:t>Code</w:t>
            </w:r>
          </w:p>
        </w:tc>
        <w:tc>
          <w:tcPr>
            <w:tcW w:w="8550" w:type="dxa"/>
          </w:tcPr>
          <w:p w14:paraId="6726BD3D" w14:textId="39A7EE4D" w:rsidR="004B3928" w:rsidRPr="004B3928" w:rsidRDefault="004B3928" w:rsidP="004B3928">
            <w:pPr>
              <w:pStyle w:val="APDBodyText"/>
              <w:rPr>
                <w:b/>
                <w:bCs/>
              </w:rPr>
            </w:pPr>
            <w:r w:rsidRPr="004B3928">
              <w:rPr>
                <w:b/>
                <w:bCs/>
              </w:rPr>
              <w:t>Description</w:t>
            </w:r>
          </w:p>
        </w:tc>
      </w:tr>
      <w:tr w:rsidR="004B3928" w14:paraId="3AA9A3F2" w14:textId="77777777" w:rsidTr="004B3928">
        <w:trPr>
          <w:cantSplit/>
          <w:tblHeader/>
        </w:trPr>
        <w:tc>
          <w:tcPr>
            <w:tcW w:w="1530" w:type="dxa"/>
          </w:tcPr>
          <w:p w14:paraId="53889071" w14:textId="7A6DCB59" w:rsidR="004B3928" w:rsidRDefault="004B3928" w:rsidP="004B3928">
            <w:pPr>
              <w:pStyle w:val="APDBodyText"/>
            </w:pPr>
            <w:r w:rsidRPr="00197098">
              <w:t>BTU-HCL</w:t>
            </w:r>
          </w:p>
        </w:tc>
        <w:tc>
          <w:tcPr>
            <w:tcW w:w="8550" w:type="dxa"/>
          </w:tcPr>
          <w:p w14:paraId="391A227B" w14:textId="611F0B31" w:rsidR="004B3928" w:rsidRDefault="004B3928" w:rsidP="004B3928">
            <w:pPr>
              <w:pStyle w:val="APDBodyText"/>
            </w:pPr>
            <w:r w:rsidRPr="00197098">
              <w:t>Emission limits for HCl in pounds per MMBtu heat input</w:t>
            </w:r>
          </w:p>
        </w:tc>
      </w:tr>
      <w:tr w:rsidR="004B3928" w14:paraId="7D920C11" w14:textId="77777777" w:rsidTr="004B3928">
        <w:trPr>
          <w:cantSplit/>
          <w:tblHeader/>
        </w:trPr>
        <w:tc>
          <w:tcPr>
            <w:tcW w:w="1530" w:type="dxa"/>
          </w:tcPr>
          <w:p w14:paraId="19035DE6" w14:textId="7EFD4C5C" w:rsidR="004B3928" w:rsidRDefault="004B3928" w:rsidP="004B3928">
            <w:pPr>
              <w:pStyle w:val="APDBodyText"/>
            </w:pPr>
            <w:r w:rsidRPr="00197098">
              <w:t>STM-HCL</w:t>
            </w:r>
          </w:p>
        </w:tc>
        <w:tc>
          <w:tcPr>
            <w:tcW w:w="8550" w:type="dxa"/>
          </w:tcPr>
          <w:p w14:paraId="3135F202" w14:textId="56676566" w:rsidR="004B3928" w:rsidRDefault="004B3928" w:rsidP="004B3928">
            <w:pPr>
              <w:pStyle w:val="APDBodyText"/>
            </w:pPr>
            <w:r w:rsidRPr="00197098">
              <w:t>Emission limits for HCl in pounds per MMBtu steam output (for steam generating units only)</w:t>
            </w:r>
          </w:p>
        </w:tc>
      </w:tr>
      <w:tr w:rsidR="004B3928" w14:paraId="149ECA03" w14:textId="77777777" w:rsidTr="004B3928">
        <w:trPr>
          <w:cantSplit/>
          <w:tblHeader/>
        </w:trPr>
        <w:tc>
          <w:tcPr>
            <w:tcW w:w="1530" w:type="dxa"/>
          </w:tcPr>
          <w:p w14:paraId="66E5E41B" w14:textId="57A9DD2F" w:rsidR="004B3928" w:rsidRDefault="004B3928" w:rsidP="004B3928">
            <w:pPr>
              <w:pStyle w:val="APDBodyText"/>
            </w:pPr>
            <w:r w:rsidRPr="00197098">
              <w:t>MWH-HCL</w:t>
            </w:r>
          </w:p>
        </w:tc>
        <w:tc>
          <w:tcPr>
            <w:tcW w:w="8550" w:type="dxa"/>
          </w:tcPr>
          <w:p w14:paraId="1C6CCA6F" w14:textId="2A9739D4" w:rsidR="004B3928" w:rsidRDefault="004B3928" w:rsidP="004B3928">
            <w:pPr>
              <w:pStyle w:val="APDBodyText"/>
            </w:pPr>
            <w:r w:rsidRPr="00197098">
              <w:t>Emission limits for HCl in pounds per MWh power output (for boilers that generate electricity only)</w:t>
            </w:r>
          </w:p>
        </w:tc>
      </w:tr>
    </w:tbl>
    <w:p w14:paraId="03B740A2" w14:textId="77777777" w:rsidR="00CE490C" w:rsidRPr="00A70943" w:rsidRDefault="00CE490C" w:rsidP="004B3928">
      <w:pPr>
        <w:pStyle w:val="APDStrong"/>
        <w:spacing w:before="120"/>
      </w:pPr>
      <w:r w:rsidRPr="00A70943">
        <w:t>HCl-CMS:</w:t>
      </w:r>
    </w:p>
    <w:p w14:paraId="283749C4" w14:textId="77777777" w:rsidR="00CE490C" w:rsidRDefault="00CE490C" w:rsidP="001103B3">
      <w:pPr>
        <w:pStyle w:val="APDBodyText"/>
      </w:pPr>
      <w:r w:rsidRPr="001103B3">
        <w:t>Select one of the following hydrogen chloride continuous monitoring system (CMS)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D40287" w14:paraId="43396E9E" w14:textId="77777777" w:rsidTr="00057D1A">
        <w:trPr>
          <w:cantSplit/>
          <w:tblHeader/>
        </w:trPr>
        <w:tc>
          <w:tcPr>
            <w:tcW w:w="1530" w:type="dxa"/>
          </w:tcPr>
          <w:p w14:paraId="3C5CB824" w14:textId="00817FC4" w:rsidR="00D40287" w:rsidRPr="00D40287" w:rsidRDefault="00D40287" w:rsidP="00D40287">
            <w:pPr>
              <w:rPr>
                <w:b/>
                <w:bCs/>
              </w:rPr>
            </w:pPr>
            <w:r w:rsidRPr="00D40287">
              <w:rPr>
                <w:b/>
                <w:bCs/>
              </w:rPr>
              <w:t>Code</w:t>
            </w:r>
          </w:p>
        </w:tc>
        <w:tc>
          <w:tcPr>
            <w:tcW w:w="8550" w:type="dxa"/>
          </w:tcPr>
          <w:p w14:paraId="4C10FFFD" w14:textId="030F2D4A" w:rsidR="00D40287" w:rsidRPr="00D40287" w:rsidRDefault="00D40287" w:rsidP="00D40287">
            <w:pPr>
              <w:rPr>
                <w:b/>
                <w:bCs/>
              </w:rPr>
            </w:pPr>
            <w:r w:rsidRPr="00D40287">
              <w:rPr>
                <w:b/>
                <w:bCs/>
              </w:rPr>
              <w:t>Description</w:t>
            </w:r>
          </w:p>
        </w:tc>
      </w:tr>
      <w:tr w:rsidR="00D40287" w14:paraId="091F22A5" w14:textId="77777777" w:rsidTr="00057D1A">
        <w:trPr>
          <w:cantSplit/>
          <w:tblHeader/>
        </w:trPr>
        <w:tc>
          <w:tcPr>
            <w:tcW w:w="1530" w:type="dxa"/>
          </w:tcPr>
          <w:p w14:paraId="0D5577D9" w14:textId="7849345E" w:rsidR="00D40287" w:rsidRDefault="00D40287" w:rsidP="00D40287">
            <w:r w:rsidRPr="00171E21">
              <w:t>NONE</w:t>
            </w:r>
          </w:p>
        </w:tc>
        <w:tc>
          <w:tcPr>
            <w:tcW w:w="8550" w:type="dxa"/>
          </w:tcPr>
          <w:p w14:paraId="22E36825" w14:textId="2B6AE03D" w:rsidR="00D40287" w:rsidRDefault="00D40287" w:rsidP="00D40287">
            <w:r w:rsidRPr="00171E21">
              <w:t>A CMS is not being used</w:t>
            </w:r>
          </w:p>
        </w:tc>
      </w:tr>
      <w:tr w:rsidR="00D40287" w14:paraId="3D2CE137" w14:textId="77777777" w:rsidTr="00057D1A">
        <w:trPr>
          <w:cantSplit/>
          <w:tblHeader/>
        </w:trPr>
        <w:tc>
          <w:tcPr>
            <w:tcW w:w="1530" w:type="dxa"/>
          </w:tcPr>
          <w:p w14:paraId="0A80C732" w14:textId="3E294679" w:rsidR="00D40287" w:rsidRDefault="00D40287" w:rsidP="00D40287">
            <w:r w:rsidRPr="00171E21">
              <w:t>HCL-CEMS</w:t>
            </w:r>
          </w:p>
        </w:tc>
        <w:tc>
          <w:tcPr>
            <w:tcW w:w="8550" w:type="dxa"/>
          </w:tcPr>
          <w:p w14:paraId="096685EF" w14:textId="50816048" w:rsidR="00D40287" w:rsidRDefault="00D40287" w:rsidP="00D40287">
            <w:r w:rsidRPr="00171E21">
              <w:t>An HCl CEMS is used</w:t>
            </w:r>
          </w:p>
        </w:tc>
      </w:tr>
      <w:tr w:rsidR="00D40287" w14:paraId="058E5E59" w14:textId="77777777" w:rsidTr="00057D1A">
        <w:trPr>
          <w:cantSplit/>
          <w:tblHeader/>
        </w:trPr>
        <w:tc>
          <w:tcPr>
            <w:tcW w:w="1530" w:type="dxa"/>
          </w:tcPr>
          <w:p w14:paraId="7DC8C814" w14:textId="0E577935" w:rsidR="00D40287" w:rsidRDefault="00D40287" w:rsidP="00D40287">
            <w:r w:rsidRPr="00171E21">
              <w:t>SO</w:t>
            </w:r>
            <w:r w:rsidRPr="00171E21">
              <w:rPr>
                <w:vertAlign w:val="subscript"/>
              </w:rPr>
              <w:t>2</w:t>
            </w:r>
            <w:r w:rsidRPr="00171E21">
              <w:t>-CEMS</w:t>
            </w:r>
          </w:p>
        </w:tc>
        <w:tc>
          <w:tcPr>
            <w:tcW w:w="8550" w:type="dxa"/>
          </w:tcPr>
          <w:p w14:paraId="1AB0A3F3" w14:textId="4CD1B1EE" w:rsidR="00D40287" w:rsidRDefault="00D40287" w:rsidP="00D40287">
            <w:r w:rsidRPr="00171E21">
              <w:t>An SO</w:t>
            </w:r>
            <w:r w:rsidRPr="00171E21">
              <w:rPr>
                <w:vertAlign w:val="subscript"/>
              </w:rPr>
              <w:t>2</w:t>
            </w:r>
            <w:r w:rsidRPr="00171E21">
              <w:t xml:space="preserve"> CEMS is used</w:t>
            </w:r>
          </w:p>
        </w:tc>
      </w:tr>
    </w:tbl>
    <w:p w14:paraId="2E0664C4" w14:textId="77777777" w:rsidR="00CE490C" w:rsidRPr="00EF0801" w:rsidRDefault="00CE490C" w:rsidP="00CE490C">
      <w:pPr>
        <w:pBdr>
          <w:bottom w:val="double" w:sz="4" w:space="1" w:color="auto"/>
        </w:pBdr>
      </w:pPr>
    </w:p>
    <w:p w14:paraId="46548A7F" w14:textId="3E59EE38" w:rsidR="00CE490C" w:rsidRPr="00913C3A" w:rsidRDefault="00CE490C" w:rsidP="002C7C54">
      <w:pPr>
        <w:pStyle w:val="APDChapterTitles"/>
        <w:rPr>
          <w:rStyle w:val="APDTableChapterChar"/>
          <w:b/>
          <w:bCs w:val="0"/>
        </w:rPr>
      </w:pPr>
      <w:hyperlink w:anchor="TBL_14b" w:tooltip="Table 14b" w:history="1">
        <w:bookmarkStart w:id="141" w:name="_Toc180398525"/>
        <w:bookmarkStart w:id="142" w:name="_Toc180398579"/>
        <w:r w:rsidRPr="008B0C54">
          <w:rPr>
            <w:rStyle w:val="Hyperlink"/>
            <w:b/>
            <w:bCs w:val="0"/>
          </w:rPr>
          <w:t>Table 14b</w:t>
        </w:r>
      </w:hyperlink>
      <w:r w:rsidRPr="008B0C54">
        <w:rPr>
          <w:rStyle w:val="Hyperlink"/>
          <w:b/>
          <w:bCs w:val="0"/>
        </w:rPr>
        <w:t>:</w:t>
      </w:r>
      <w:r w:rsidRPr="00EF0801">
        <w:tab/>
      </w:r>
      <w:r w:rsidRPr="00913C3A">
        <w:rPr>
          <w:rStyle w:val="APDTableChapterChar"/>
          <w:b/>
        </w:rPr>
        <w:t>Title 40 Code of Federal Regulations Part 63 (40 CFR Part 63), Subpart DDDDD:</w:t>
      </w:r>
      <w:r w:rsidR="00C87167" w:rsidRPr="00913C3A">
        <w:rPr>
          <w:rStyle w:val="APDTableChapterChar"/>
          <w:b/>
        </w:rPr>
        <w:t xml:space="preserve"> Industrial, Commercial, and Institutional Boilers</w:t>
      </w:r>
      <w:bookmarkEnd w:id="141"/>
      <w:bookmarkEnd w:id="142"/>
    </w:p>
    <w:p w14:paraId="3451F511" w14:textId="02D78B70" w:rsidR="00CE490C" w:rsidRDefault="00CE490C" w:rsidP="00390EE3">
      <w:pPr>
        <w:pStyle w:val="APDCompleteStar"/>
        <w:rPr>
          <w:bCs/>
        </w:rPr>
      </w:pPr>
      <w:r w:rsidRPr="00494396">
        <w:t>Complete this table</w:t>
      </w:r>
      <w:r>
        <w:t xml:space="preserve"> </w:t>
      </w:r>
      <w:r w:rsidRPr="00A11BC9">
        <w:t>only if “</w:t>
      </w:r>
      <w:r>
        <w:t xml:space="preserve">HCl-CMS” </w:t>
      </w:r>
      <w:r w:rsidRPr="00A11BC9">
        <w:t>is “</w:t>
      </w:r>
      <w:r>
        <w:t>NONE.”</w:t>
      </w:r>
    </w:p>
    <w:p w14:paraId="4733593A" w14:textId="6C85B23F" w:rsidR="00CE490C" w:rsidRPr="00A70943" w:rsidRDefault="00CE490C" w:rsidP="00A70943">
      <w:pPr>
        <w:pStyle w:val="APDStrong"/>
      </w:pPr>
      <w:r w:rsidRPr="00A70943">
        <w:t xml:space="preserve">Unit ID </w:t>
      </w:r>
      <w:r w:rsidR="00B42127">
        <w:t>N</w:t>
      </w:r>
      <w:r w:rsidR="00786D92">
        <w:t>o</w:t>
      </w:r>
      <w:r w:rsidRPr="00A70943">
        <w:t>.:</w:t>
      </w:r>
    </w:p>
    <w:p w14:paraId="17F2EDEC" w14:textId="70C3D139" w:rsidR="00CE490C" w:rsidRPr="001103B3" w:rsidRDefault="00CE490C" w:rsidP="001103B3">
      <w:pPr>
        <w:pStyle w:val="APDBodyText"/>
      </w:pPr>
      <w:r w:rsidRPr="001103B3">
        <w:t xml:space="preserve">Enter the identification number (ID </w:t>
      </w:r>
      <w:r w:rsidR="00B42127">
        <w:t>N</w:t>
      </w:r>
      <w:r w:rsidR="005667BA">
        <w:t>o</w:t>
      </w:r>
      <w:r w:rsidRPr="001103B3">
        <w:t>.) for the unit (maximum 10 characters) as listed on Form OP SUM (Individual Unit Summary).</w:t>
      </w:r>
    </w:p>
    <w:p w14:paraId="015C8AC8" w14:textId="7C5AAA61" w:rsidR="00CE490C" w:rsidRPr="005D6633" w:rsidRDefault="00CE490C" w:rsidP="005D6633">
      <w:pPr>
        <w:pStyle w:val="APDStrong"/>
      </w:pPr>
      <w:r w:rsidRPr="005D6633">
        <w:rPr>
          <w:rStyle w:val="APDQuestion"/>
          <w:b/>
        </w:rPr>
        <w:t>SOP/</w:t>
      </w:r>
      <w:r w:rsidRPr="005D6633">
        <w:t xml:space="preserve">GOP Index </w:t>
      </w:r>
      <w:r w:rsidR="00B42127">
        <w:t>N</w:t>
      </w:r>
      <w:r w:rsidR="00786D92">
        <w:t>o</w:t>
      </w:r>
      <w:r w:rsidRPr="005D6633">
        <w:t>.:</w:t>
      </w:r>
    </w:p>
    <w:p w14:paraId="5644CBCF" w14:textId="4456C3EE" w:rsidR="00684025" w:rsidRDefault="00CE490C" w:rsidP="00A51164">
      <w:pPr>
        <w:pStyle w:val="APDBodyText"/>
      </w:pPr>
      <w:r w:rsidRPr="001103B3">
        <w:t xml:space="preserve">Site operating permit (SOP) applicants should indicate the SOP index number for the unit or group of units (maximum 15 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w:t>
      </w:r>
      <w:r w:rsidR="00CC2143" w:rsidRPr="001103B3">
        <w:t xml:space="preserve">For additional information relating to SOP </w:t>
      </w:r>
      <w:r w:rsidR="007E603F" w:rsidRPr="001103B3">
        <w:t xml:space="preserve">and GOP </w:t>
      </w:r>
      <w:r w:rsidR="00CC2143" w:rsidRPr="001103B3">
        <w:t>index numbers, please see the Completing FOP Applications – Additional Guidance on the TCEQ website at</w:t>
      </w:r>
      <w:r w:rsidR="00CC2143" w:rsidRPr="00EF0801">
        <w:t xml:space="preserve"> </w:t>
      </w:r>
      <w:hyperlink r:id="rId51" w:tooltip="TCEQ - Completing FOP Applications - Additional Guidance" w:history="1">
        <w:r w:rsidR="00CF580F" w:rsidRPr="00677F90">
          <w:rPr>
            <w:rStyle w:val="Hyperlink"/>
          </w:rPr>
          <w:t>www.tceq.texas.gov/permitting/air/guidance/titlev/tv_fop_guidance.html</w:t>
        </w:r>
      </w:hyperlink>
      <w:r w:rsidR="00CC2143" w:rsidRPr="00EF0801">
        <w:t>.</w:t>
      </w:r>
    </w:p>
    <w:p w14:paraId="78E0B86B" w14:textId="77777777" w:rsidR="00CE490C" w:rsidRPr="00A70943" w:rsidRDefault="00CE490C" w:rsidP="00A70943">
      <w:pPr>
        <w:pStyle w:val="APDStrong"/>
      </w:pPr>
      <w:r w:rsidRPr="00A70943">
        <w:t>HCl-CD:</w:t>
      </w:r>
    </w:p>
    <w:p w14:paraId="600FE831" w14:textId="77777777" w:rsidR="00CE490C" w:rsidRDefault="00CE490C" w:rsidP="00624EE4">
      <w:pPr>
        <w:pStyle w:val="APDBodyText"/>
      </w:pPr>
      <w:r w:rsidRPr="00624EE4">
        <w:t>Select one of the following hydrogen chloride control device options. Enter the code on the form.</w:t>
      </w:r>
    </w:p>
    <w:tbl>
      <w:tblPr>
        <w:tblStyle w:val="TableGrid"/>
        <w:tblW w:w="10080" w:type="dxa"/>
        <w:tblInd w:w="720" w:type="dxa"/>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A12F80" w14:paraId="0501C2D9" w14:textId="77777777" w:rsidTr="006D39D6">
        <w:tc>
          <w:tcPr>
            <w:tcW w:w="1530" w:type="dxa"/>
            <w:tcBorders>
              <w:top w:val="nil"/>
              <w:left w:val="nil"/>
              <w:bottom w:val="nil"/>
              <w:right w:val="nil"/>
            </w:tcBorders>
          </w:tcPr>
          <w:p w14:paraId="558814FB" w14:textId="1A51C4BA" w:rsidR="00A12F80" w:rsidRPr="00A12F80" w:rsidRDefault="00A12F80" w:rsidP="00A12F80">
            <w:pPr>
              <w:rPr>
                <w:b/>
                <w:bCs/>
              </w:rPr>
            </w:pPr>
            <w:r w:rsidRPr="00A12F80">
              <w:rPr>
                <w:b/>
                <w:bCs/>
              </w:rPr>
              <w:t>Code</w:t>
            </w:r>
          </w:p>
        </w:tc>
        <w:tc>
          <w:tcPr>
            <w:tcW w:w="8550" w:type="dxa"/>
            <w:tcBorders>
              <w:top w:val="nil"/>
              <w:left w:val="nil"/>
              <w:bottom w:val="nil"/>
              <w:right w:val="nil"/>
            </w:tcBorders>
          </w:tcPr>
          <w:p w14:paraId="6099BD58" w14:textId="4DF4C65F" w:rsidR="00A12F80" w:rsidRPr="00A12F80" w:rsidRDefault="00A12F80" w:rsidP="00A12F80">
            <w:pPr>
              <w:rPr>
                <w:b/>
                <w:bCs/>
              </w:rPr>
            </w:pPr>
            <w:r w:rsidRPr="00A12F80">
              <w:rPr>
                <w:b/>
                <w:bCs/>
              </w:rPr>
              <w:t>Description</w:t>
            </w:r>
          </w:p>
        </w:tc>
      </w:tr>
      <w:tr w:rsidR="00A12F80" w14:paraId="194F7D0A" w14:textId="77777777" w:rsidTr="006D39D6">
        <w:tc>
          <w:tcPr>
            <w:tcW w:w="1530" w:type="dxa"/>
            <w:tcBorders>
              <w:top w:val="nil"/>
              <w:left w:val="nil"/>
              <w:bottom w:val="nil"/>
              <w:right w:val="nil"/>
            </w:tcBorders>
          </w:tcPr>
          <w:p w14:paraId="2F9CA532" w14:textId="0F193002" w:rsidR="00A12F80" w:rsidRDefault="00A12F80" w:rsidP="00A12F80">
            <w:r w:rsidRPr="007F1030">
              <w:t>DS</w:t>
            </w:r>
          </w:p>
        </w:tc>
        <w:tc>
          <w:tcPr>
            <w:tcW w:w="8550" w:type="dxa"/>
            <w:tcBorders>
              <w:top w:val="nil"/>
              <w:left w:val="nil"/>
              <w:bottom w:val="nil"/>
              <w:right w:val="nil"/>
            </w:tcBorders>
          </w:tcPr>
          <w:p w14:paraId="277A4901" w14:textId="54536C88" w:rsidR="00A12F80" w:rsidRDefault="00A12F80" w:rsidP="00A12F80">
            <w:r w:rsidRPr="007F1030">
              <w:t>Dry scrubber is being used</w:t>
            </w:r>
          </w:p>
        </w:tc>
      </w:tr>
      <w:tr w:rsidR="00A12F80" w14:paraId="47294F84" w14:textId="77777777" w:rsidTr="006D39D6">
        <w:tc>
          <w:tcPr>
            <w:tcW w:w="1530" w:type="dxa"/>
            <w:tcBorders>
              <w:top w:val="nil"/>
              <w:left w:val="nil"/>
              <w:bottom w:val="nil"/>
              <w:right w:val="nil"/>
            </w:tcBorders>
          </w:tcPr>
          <w:p w14:paraId="197C9BA9" w14:textId="1F7772E7" w:rsidR="00A12F80" w:rsidRDefault="00A12F80" w:rsidP="00A12F80">
            <w:r w:rsidRPr="007F1030">
              <w:t>WAS</w:t>
            </w:r>
          </w:p>
        </w:tc>
        <w:tc>
          <w:tcPr>
            <w:tcW w:w="8550" w:type="dxa"/>
            <w:tcBorders>
              <w:top w:val="nil"/>
              <w:left w:val="nil"/>
              <w:bottom w:val="nil"/>
              <w:right w:val="nil"/>
            </w:tcBorders>
          </w:tcPr>
          <w:p w14:paraId="5C6C709E" w14:textId="447FC50F" w:rsidR="00A12F80" w:rsidRDefault="00A12F80" w:rsidP="00A12F80">
            <w:r w:rsidRPr="007F1030">
              <w:t>A wet acid scrubber is used</w:t>
            </w:r>
          </w:p>
        </w:tc>
      </w:tr>
      <w:tr w:rsidR="00A12F80" w14:paraId="7CFF797C" w14:textId="77777777" w:rsidTr="006D39D6">
        <w:tc>
          <w:tcPr>
            <w:tcW w:w="1530" w:type="dxa"/>
            <w:tcBorders>
              <w:top w:val="nil"/>
              <w:left w:val="nil"/>
              <w:bottom w:val="nil"/>
              <w:right w:val="nil"/>
            </w:tcBorders>
          </w:tcPr>
          <w:p w14:paraId="16DC46EF" w14:textId="74B7B2AD" w:rsidR="00A12F80" w:rsidRDefault="00A12F80" w:rsidP="00A12F80">
            <w:r w:rsidRPr="007F1030">
              <w:t>PWS-PH</w:t>
            </w:r>
          </w:p>
        </w:tc>
        <w:tc>
          <w:tcPr>
            <w:tcW w:w="8550" w:type="dxa"/>
            <w:tcBorders>
              <w:top w:val="nil"/>
              <w:left w:val="nil"/>
              <w:bottom w:val="nil"/>
              <w:right w:val="nil"/>
            </w:tcBorders>
          </w:tcPr>
          <w:p w14:paraId="1B99F959" w14:textId="464E9C12" w:rsidR="00A12F80" w:rsidRDefault="00A12F80" w:rsidP="00A12F80">
            <w:r w:rsidRPr="007F1030">
              <w:t>A particulate wet scrubber with pH effluent operating limit</w:t>
            </w:r>
          </w:p>
        </w:tc>
      </w:tr>
      <w:tr w:rsidR="00A12F80" w14:paraId="30B20F32" w14:textId="77777777" w:rsidTr="006D39D6">
        <w:tc>
          <w:tcPr>
            <w:tcW w:w="1530" w:type="dxa"/>
            <w:tcBorders>
              <w:top w:val="nil"/>
              <w:left w:val="nil"/>
              <w:bottom w:val="nil"/>
              <w:right w:val="nil"/>
            </w:tcBorders>
          </w:tcPr>
          <w:p w14:paraId="6FE4860D" w14:textId="50C636E1" w:rsidR="00A12F80" w:rsidRDefault="00A12F80" w:rsidP="00A12F80">
            <w:r w:rsidRPr="007F1030">
              <w:t>OTHER</w:t>
            </w:r>
          </w:p>
        </w:tc>
        <w:tc>
          <w:tcPr>
            <w:tcW w:w="8550" w:type="dxa"/>
            <w:tcBorders>
              <w:top w:val="nil"/>
              <w:left w:val="nil"/>
              <w:bottom w:val="nil"/>
              <w:right w:val="nil"/>
            </w:tcBorders>
          </w:tcPr>
          <w:p w14:paraId="2CF7923E" w14:textId="5F34357F" w:rsidR="00A12F80" w:rsidRDefault="00A12F80" w:rsidP="00A12F80">
            <w:r w:rsidRPr="007F1030">
              <w:t>Other control methods are being used</w:t>
            </w:r>
          </w:p>
        </w:tc>
      </w:tr>
      <w:tr w:rsidR="00A12F80" w14:paraId="34857711" w14:textId="77777777" w:rsidTr="006D39D6">
        <w:tc>
          <w:tcPr>
            <w:tcW w:w="1530" w:type="dxa"/>
            <w:tcBorders>
              <w:top w:val="nil"/>
              <w:left w:val="nil"/>
              <w:bottom w:val="nil"/>
              <w:right w:val="nil"/>
            </w:tcBorders>
          </w:tcPr>
          <w:p w14:paraId="39FDAD42" w14:textId="70F52838" w:rsidR="00A12F80" w:rsidRDefault="00A12F80" w:rsidP="00A12F80">
            <w:r w:rsidRPr="007F1030">
              <w:t>NONE</w:t>
            </w:r>
          </w:p>
        </w:tc>
        <w:tc>
          <w:tcPr>
            <w:tcW w:w="8550" w:type="dxa"/>
            <w:tcBorders>
              <w:top w:val="nil"/>
              <w:left w:val="nil"/>
              <w:bottom w:val="nil"/>
              <w:right w:val="nil"/>
            </w:tcBorders>
          </w:tcPr>
          <w:p w14:paraId="53EC8A60" w14:textId="0814D971" w:rsidR="00A12F80" w:rsidRDefault="00A12F80" w:rsidP="00A12F80">
            <w:r w:rsidRPr="007F1030">
              <w:t>A control device is not used</w:t>
            </w:r>
          </w:p>
        </w:tc>
      </w:tr>
    </w:tbl>
    <w:p w14:paraId="4FA75F1F" w14:textId="77777777" w:rsidR="00D40040" w:rsidRDefault="00D40040" w:rsidP="00425B34">
      <w:pPr>
        <w:pStyle w:val="APDStrong"/>
        <w:spacing w:before="120"/>
        <w:sectPr w:rsidR="00D40040" w:rsidSect="0031268E">
          <w:pgSz w:w="12240" w:h="15840" w:code="1"/>
          <w:pgMar w:top="720" w:right="720" w:bottom="720" w:left="720" w:header="720" w:footer="720" w:gutter="0"/>
          <w:cols w:space="720"/>
          <w:titlePg/>
          <w:docGrid w:linePitch="360"/>
        </w:sectPr>
      </w:pPr>
    </w:p>
    <w:p w14:paraId="555A8F2D" w14:textId="77777777" w:rsidR="00CE490C" w:rsidRPr="00A70943" w:rsidRDefault="00CE490C" w:rsidP="00425B34">
      <w:pPr>
        <w:pStyle w:val="APDStrong"/>
        <w:spacing w:before="120"/>
      </w:pPr>
      <w:r w:rsidRPr="00A70943">
        <w:lastRenderedPageBreak/>
        <w:t>HCl-Test:</w:t>
      </w:r>
    </w:p>
    <w:p w14:paraId="0E33924F" w14:textId="77777777" w:rsidR="00CE490C" w:rsidRDefault="00CE490C" w:rsidP="00624EE4">
      <w:pPr>
        <w:pStyle w:val="APDBodyText"/>
      </w:pPr>
      <w:r w:rsidRPr="00624EE4">
        <w:t>Select one of the following hydrogen chloride performance test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425B34" w14:paraId="2F2215D6" w14:textId="77777777" w:rsidTr="00FB5C92">
        <w:trPr>
          <w:cantSplit/>
          <w:tblHeader/>
        </w:trPr>
        <w:tc>
          <w:tcPr>
            <w:tcW w:w="1530" w:type="dxa"/>
          </w:tcPr>
          <w:p w14:paraId="2EE44D87" w14:textId="2DF39C7A" w:rsidR="00425B34" w:rsidRPr="00425B34" w:rsidRDefault="00425B34" w:rsidP="00425B34">
            <w:pPr>
              <w:rPr>
                <w:b/>
                <w:bCs/>
              </w:rPr>
            </w:pPr>
            <w:r w:rsidRPr="00425B34">
              <w:rPr>
                <w:b/>
                <w:bCs/>
              </w:rPr>
              <w:t>Code</w:t>
            </w:r>
          </w:p>
        </w:tc>
        <w:tc>
          <w:tcPr>
            <w:tcW w:w="8550" w:type="dxa"/>
          </w:tcPr>
          <w:p w14:paraId="077F0651" w14:textId="75C6AE3D" w:rsidR="00425B34" w:rsidRPr="00425B34" w:rsidRDefault="00425B34" w:rsidP="00425B34">
            <w:pPr>
              <w:rPr>
                <w:b/>
                <w:bCs/>
              </w:rPr>
            </w:pPr>
            <w:r w:rsidRPr="00425B34">
              <w:rPr>
                <w:b/>
                <w:bCs/>
              </w:rPr>
              <w:t>Description</w:t>
            </w:r>
          </w:p>
        </w:tc>
      </w:tr>
      <w:tr w:rsidR="00425B34" w14:paraId="1D6F99F1" w14:textId="77777777" w:rsidTr="00FB5C92">
        <w:trPr>
          <w:cantSplit/>
          <w:tblHeader/>
        </w:trPr>
        <w:tc>
          <w:tcPr>
            <w:tcW w:w="1530" w:type="dxa"/>
          </w:tcPr>
          <w:p w14:paraId="49AC865D" w14:textId="621743A8" w:rsidR="00425B34" w:rsidRDefault="00425B34" w:rsidP="00425B34">
            <w:r w:rsidRPr="00947AD4">
              <w:t>PT</w:t>
            </w:r>
          </w:p>
        </w:tc>
        <w:tc>
          <w:tcPr>
            <w:tcW w:w="8550" w:type="dxa"/>
          </w:tcPr>
          <w:p w14:paraId="7AAB6C88" w14:textId="318B7AA5" w:rsidR="00425B34" w:rsidRDefault="00425B34" w:rsidP="00425B34">
            <w:r w:rsidRPr="00947AD4">
              <w:t>Compliance is demonstrated by conducting a performance test for HCl</w:t>
            </w:r>
          </w:p>
        </w:tc>
      </w:tr>
      <w:tr w:rsidR="00425B34" w14:paraId="0F02A97F" w14:textId="77777777" w:rsidTr="00FB5C92">
        <w:trPr>
          <w:cantSplit/>
          <w:tblHeader/>
        </w:trPr>
        <w:tc>
          <w:tcPr>
            <w:tcW w:w="1530" w:type="dxa"/>
          </w:tcPr>
          <w:p w14:paraId="5D7161D4" w14:textId="4EECD406" w:rsidR="00425B34" w:rsidRDefault="00425B34" w:rsidP="00425B34">
            <w:r w:rsidRPr="00947AD4">
              <w:t>NPT</w:t>
            </w:r>
          </w:p>
        </w:tc>
        <w:tc>
          <w:tcPr>
            <w:tcW w:w="8550" w:type="dxa"/>
          </w:tcPr>
          <w:p w14:paraId="61C2F375" w14:textId="6E8EB9FA" w:rsidR="00425B34" w:rsidRDefault="00425B34" w:rsidP="00425B34">
            <w:r w:rsidRPr="00947AD4">
              <w:t>A performance test is not being used</w:t>
            </w:r>
          </w:p>
        </w:tc>
      </w:tr>
    </w:tbl>
    <w:p w14:paraId="475B3B70" w14:textId="77777777" w:rsidR="00CE490C" w:rsidRPr="00A70943" w:rsidRDefault="00CE490C" w:rsidP="00F5360C">
      <w:pPr>
        <w:pStyle w:val="APDStrong"/>
        <w:spacing w:before="120"/>
      </w:pPr>
      <w:r w:rsidRPr="00A70943">
        <w:t>HCl-FA:</w:t>
      </w:r>
    </w:p>
    <w:p w14:paraId="12040218" w14:textId="77777777" w:rsidR="00CE490C" w:rsidRDefault="00CE490C" w:rsidP="00624EE4">
      <w:pPr>
        <w:pStyle w:val="APDBodyText"/>
      </w:pPr>
      <w:r w:rsidRPr="00624EE4">
        <w:t>Select one of the following hydrogen chloride fuel analysis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B66060" w14:paraId="2825A7E5" w14:textId="77777777" w:rsidTr="00B66060">
        <w:trPr>
          <w:cantSplit/>
          <w:tblHeader/>
        </w:trPr>
        <w:tc>
          <w:tcPr>
            <w:tcW w:w="1530" w:type="dxa"/>
          </w:tcPr>
          <w:p w14:paraId="475D4F14" w14:textId="0F2EEB18" w:rsidR="00B66060" w:rsidRPr="009E37A9" w:rsidRDefault="00B66060" w:rsidP="00B66060">
            <w:pPr>
              <w:rPr>
                <w:b/>
                <w:bCs/>
              </w:rPr>
            </w:pPr>
            <w:r w:rsidRPr="009E37A9">
              <w:rPr>
                <w:b/>
                <w:bCs/>
              </w:rPr>
              <w:t>Code</w:t>
            </w:r>
          </w:p>
        </w:tc>
        <w:tc>
          <w:tcPr>
            <w:tcW w:w="8550" w:type="dxa"/>
          </w:tcPr>
          <w:p w14:paraId="61AF964B" w14:textId="15FDA820" w:rsidR="00B66060" w:rsidRPr="009E37A9" w:rsidRDefault="00B66060" w:rsidP="00B66060">
            <w:pPr>
              <w:rPr>
                <w:b/>
                <w:bCs/>
              </w:rPr>
            </w:pPr>
            <w:r w:rsidRPr="009E37A9">
              <w:rPr>
                <w:b/>
                <w:bCs/>
              </w:rPr>
              <w:t>Description</w:t>
            </w:r>
          </w:p>
        </w:tc>
      </w:tr>
      <w:tr w:rsidR="00B66060" w14:paraId="2056F7ED" w14:textId="77777777" w:rsidTr="00B66060">
        <w:trPr>
          <w:cantSplit/>
          <w:tblHeader/>
        </w:trPr>
        <w:tc>
          <w:tcPr>
            <w:tcW w:w="1530" w:type="dxa"/>
          </w:tcPr>
          <w:p w14:paraId="47A6BE34" w14:textId="3F279423" w:rsidR="00B66060" w:rsidRDefault="00B66060" w:rsidP="00B66060">
            <w:r w:rsidRPr="00B25FF0">
              <w:t>FA</w:t>
            </w:r>
          </w:p>
        </w:tc>
        <w:tc>
          <w:tcPr>
            <w:tcW w:w="8550" w:type="dxa"/>
          </w:tcPr>
          <w:p w14:paraId="62DBABB4" w14:textId="6C6AEB9D" w:rsidR="00B66060" w:rsidRDefault="00B66060" w:rsidP="00B66060">
            <w:r w:rsidRPr="00B25FF0">
              <w:t>Compliance is demonstrated by conducting fuel analysis for HCl</w:t>
            </w:r>
          </w:p>
        </w:tc>
      </w:tr>
      <w:tr w:rsidR="00B66060" w14:paraId="4A66DE2A" w14:textId="77777777" w:rsidTr="00B66060">
        <w:trPr>
          <w:cantSplit/>
          <w:tblHeader/>
        </w:trPr>
        <w:tc>
          <w:tcPr>
            <w:tcW w:w="1530" w:type="dxa"/>
          </w:tcPr>
          <w:p w14:paraId="43720947" w14:textId="5CDDCB43" w:rsidR="00B66060" w:rsidRDefault="00B66060" w:rsidP="00B66060">
            <w:r w:rsidRPr="00B25FF0">
              <w:t>NFA</w:t>
            </w:r>
          </w:p>
        </w:tc>
        <w:tc>
          <w:tcPr>
            <w:tcW w:w="8550" w:type="dxa"/>
          </w:tcPr>
          <w:p w14:paraId="08DABBE4" w14:textId="43CBB277" w:rsidR="00B66060" w:rsidRDefault="00B66060" w:rsidP="00B66060">
            <w:r w:rsidRPr="00B25FF0">
              <w:t>Fuel analysis is not being used</w:t>
            </w:r>
          </w:p>
        </w:tc>
      </w:tr>
    </w:tbl>
    <w:p w14:paraId="1DF122F6" w14:textId="77777777" w:rsidR="00CE490C" w:rsidRPr="00A70943" w:rsidRDefault="00CE490C" w:rsidP="00B66060">
      <w:pPr>
        <w:pStyle w:val="APDStrong"/>
        <w:spacing w:before="120"/>
      </w:pPr>
      <w:r w:rsidRPr="00A70943">
        <w:t>HCl-FloMon:</w:t>
      </w:r>
    </w:p>
    <w:p w14:paraId="46D6F57C" w14:textId="77777777" w:rsidR="00CE490C" w:rsidRDefault="00CE490C" w:rsidP="00624EE4">
      <w:pPr>
        <w:pStyle w:val="APDBodyText"/>
      </w:pPr>
      <w:r w:rsidRPr="00624EE4">
        <w:t>Select one of the following hydrogen chloride flow monitoring system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9E37A9" w14:paraId="20060D20" w14:textId="77777777" w:rsidTr="00C85EF5">
        <w:tc>
          <w:tcPr>
            <w:tcW w:w="1530" w:type="dxa"/>
          </w:tcPr>
          <w:p w14:paraId="2304D6CB" w14:textId="6A7C7E05" w:rsidR="009E37A9" w:rsidRPr="009E37A9" w:rsidRDefault="009E37A9" w:rsidP="009E37A9">
            <w:pPr>
              <w:rPr>
                <w:b/>
                <w:bCs/>
              </w:rPr>
            </w:pPr>
            <w:r w:rsidRPr="009E37A9">
              <w:rPr>
                <w:b/>
                <w:bCs/>
              </w:rPr>
              <w:t>Code</w:t>
            </w:r>
          </w:p>
        </w:tc>
        <w:tc>
          <w:tcPr>
            <w:tcW w:w="8550" w:type="dxa"/>
          </w:tcPr>
          <w:p w14:paraId="0BB0FDD2" w14:textId="44FB6460" w:rsidR="009E37A9" w:rsidRPr="009E37A9" w:rsidRDefault="009E37A9" w:rsidP="009E37A9">
            <w:pPr>
              <w:rPr>
                <w:b/>
                <w:bCs/>
              </w:rPr>
            </w:pPr>
            <w:r w:rsidRPr="009E37A9">
              <w:rPr>
                <w:b/>
                <w:bCs/>
              </w:rPr>
              <w:t>Description</w:t>
            </w:r>
          </w:p>
        </w:tc>
      </w:tr>
      <w:tr w:rsidR="009E37A9" w14:paraId="33A8CEBF" w14:textId="77777777" w:rsidTr="00C85EF5">
        <w:trPr>
          <w:cantSplit/>
        </w:trPr>
        <w:tc>
          <w:tcPr>
            <w:tcW w:w="1530" w:type="dxa"/>
          </w:tcPr>
          <w:p w14:paraId="23324211" w14:textId="7B46998D" w:rsidR="009E37A9" w:rsidRDefault="009E37A9" w:rsidP="005E75B5">
            <w:r w:rsidRPr="00355CC7">
              <w:t>FMS</w:t>
            </w:r>
          </w:p>
        </w:tc>
        <w:tc>
          <w:tcPr>
            <w:tcW w:w="8550" w:type="dxa"/>
          </w:tcPr>
          <w:p w14:paraId="5A1D5DEA" w14:textId="5E7DBEE4" w:rsidR="009E37A9" w:rsidRDefault="009E37A9" w:rsidP="005E75B5">
            <w:r w:rsidRPr="00355CC7">
              <w:t>Operating limit requires a flow monitoring system for HCl</w:t>
            </w:r>
          </w:p>
        </w:tc>
      </w:tr>
      <w:tr w:rsidR="009E37A9" w14:paraId="2CD9BFA2" w14:textId="77777777" w:rsidTr="00C85EF5">
        <w:trPr>
          <w:cantSplit/>
        </w:trPr>
        <w:tc>
          <w:tcPr>
            <w:tcW w:w="1530" w:type="dxa"/>
          </w:tcPr>
          <w:p w14:paraId="6E104F13" w14:textId="191116A9" w:rsidR="009E37A9" w:rsidRDefault="009E37A9" w:rsidP="005E75B5">
            <w:r w:rsidRPr="00355CC7">
              <w:t>NFMS</w:t>
            </w:r>
          </w:p>
        </w:tc>
        <w:tc>
          <w:tcPr>
            <w:tcW w:w="8550" w:type="dxa"/>
          </w:tcPr>
          <w:p w14:paraId="02B67601" w14:textId="3F9EFF1A" w:rsidR="009E37A9" w:rsidRDefault="009E37A9" w:rsidP="005E75B5">
            <w:r w:rsidRPr="00355CC7">
              <w:t>Flow monitoring system is not required for HCl</w:t>
            </w:r>
          </w:p>
        </w:tc>
      </w:tr>
    </w:tbl>
    <w:p w14:paraId="7D9C8E01" w14:textId="77777777" w:rsidR="009E37A9" w:rsidRPr="009E37A9" w:rsidRDefault="009E37A9" w:rsidP="005E75B5"/>
    <w:p w14:paraId="22BC0435" w14:textId="77777777" w:rsidR="00CE490C" w:rsidRPr="00A70943" w:rsidRDefault="00CE490C" w:rsidP="00A70943">
      <w:pPr>
        <w:pStyle w:val="APDStrong"/>
      </w:pPr>
      <w:bookmarkStart w:id="143" w:name="_Hlk70415182"/>
      <w:r w:rsidRPr="00A70943">
        <w:t>HCl-pHMon:</w:t>
      </w:r>
    </w:p>
    <w:p w14:paraId="21FA2D90" w14:textId="77777777" w:rsidR="00CE490C" w:rsidRDefault="00CE490C" w:rsidP="00624EE4">
      <w:pPr>
        <w:pStyle w:val="APDBodyText"/>
      </w:pPr>
      <w:r w:rsidRPr="00624EE4">
        <w:t>Select one of the following hydrogen chloride pH monitoring system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1E6490" w14:paraId="0EA4CB9B" w14:textId="77777777" w:rsidTr="00A80C5F">
        <w:tc>
          <w:tcPr>
            <w:tcW w:w="1530" w:type="dxa"/>
          </w:tcPr>
          <w:p w14:paraId="1A5D4362" w14:textId="72BDA67F" w:rsidR="001E6490" w:rsidRPr="001E6490" w:rsidRDefault="001E6490" w:rsidP="001E6490">
            <w:pPr>
              <w:rPr>
                <w:b/>
                <w:bCs/>
              </w:rPr>
            </w:pPr>
            <w:r w:rsidRPr="001E6490">
              <w:rPr>
                <w:b/>
                <w:bCs/>
              </w:rPr>
              <w:t>Code</w:t>
            </w:r>
          </w:p>
        </w:tc>
        <w:tc>
          <w:tcPr>
            <w:tcW w:w="8550" w:type="dxa"/>
          </w:tcPr>
          <w:p w14:paraId="06EEB510" w14:textId="70A9445B" w:rsidR="001E6490" w:rsidRPr="001E6490" w:rsidRDefault="001E6490" w:rsidP="001E6490">
            <w:pPr>
              <w:rPr>
                <w:b/>
                <w:bCs/>
              </w:rPr>
            </w:pPr>
            <w:r w:rsidRPr="001E6490">
              <w:rPr>
                <w:b/>
                <w:bCs/>
              </w:rPr>
              <w:t>Description</w:t>
            </w:r>
          </w:p>
        </w:tc>
      </w:tr>
      <w:tr w:rsidR="001E6490" w14:paraId="467FE74E" w14:textId="77777777" w:rsidTr="00A80C5F">
        <w:tc>
          <w:tcPr>
            <w:tcW w:w="1530" w:type="dxa"/>
          </w:tcPr>
          <w:p w14:paraId="6323B3E7" w14:textId="28B03864" w:rsidR="001E6490" w:rsidRDefault="001E6490" w:rsidP="001E6490">
            <w:r w:rsidRPr="0061370B">
              <w:t>PHMON</w:t>
            </w:r>
          </w:p>
        </w:tc>
        <w:tc>
          <w:tcPr>
            <w:tcW w:w="8550" w:type="dxa"/>
          </w:tcPr>
          <w:p w14:paraId="6BB98067" w14:textId="0B702C5F" w:rsidR="001E6490" w:rsidRDefault="001E6490" w:rsidP="001E6490">
            <w:r w:rsidRPr="0061370B">
              <w:t>Operating limit requires a pH monitoring system for HCl</w:t>
            </w:r>
          </w:p>
        </w:tc>
      </w:tr>
      <w:tr w:rsidR="001E6490" w14:paraId="2FD75B33" w14:textId="77777777" w:rsidTr="00A80C5F">
        <w:tc>
          <w:tcPr>
            <w:tcW w:w="1530" w:type="dxa"/>
          </w:tcPr>
          <w:p w14:paraId="33D966CA" w14:textId="6962FC65" w:rsidR="001E6490" w:rsidRDefault="001E6490" w:rsidP="001E6490">
            <w:r w:rsidRPr="0061370B">
              <w:t>NPH</w:t>
            </w:r>
          </w:p>
        </w:tc>
        <w:tc>
          <w:tcPr>
            <w:tcW w:w="8550" w:type="dxa"/>
          </w:tcPr>
          <w:p w14:paraId="364929DA" w14:textId="15799E43" w:rsidR="001E6490" w:rsidRDefault="001E6490" w:rsidP="001E6490">
            <w:r w:rsidRPr="0061370B">
              <w:t>A pH monitoring system is not required for HCl</w:t>
            </w:r>
          </w:p>
        </w:tc>
      </w:tr>
      <w:bookmarkEnd w:id="143"/>
    </w:tbl>
    <w:p w14:paraId="38E643A9" w14:textId="77777777" w:rsidR="00CE490C" w:rsidRPr="00EF0801" w:rsidRDefault="00CE490C" w:rsidP="00CE490C">
      <w:pPr>
        <w:pBdr>
          <w:bottom w:val="double" w:sz="4" w:space="1" w:color="auto"/>
        </w:pBdr>
      </w:pPr>
    </w:p>
    <w:p w14:paraId="143E0D1A" w14:textId="0559BC97" w:rsidR="00E4408A" w:rsidRPr="008363C7" w:rsidRDefault="00CE490C" w:rsidP="002C7C54">
      <w:pPr>
        <w:pStyle w:val="APDChapterTitles"/>
        <w:rPr>
          <w:rStyle w:val="APDTableChapterChar"/>
          <w:b/>
          <w:bCs w:val="0"/>
        </w:rPr>
      </w:pPr>
      <w:hyperlink w:anchor="TBL_14c" w:tooltip="Table 14c" w:history="1">
        <w:bookmarkStart w:id="144" w:name="_Toc180398526"/>
        <w:bookmarkStart w:id="145" w:name="_Toc180398580"/>
        <w:r w:rsidRPr="00E12B8E">
          <w:rPr>
            <w:rStyle w:val="Hyperlink"/>
            <w:b/>
            <w:bCs w:val="0"/>
          </w:rPr>
          <w:t>Table 14c</w:t>
        </w:r>
      </w:hyperlink>
      <w:r w:rsidRPr="00E12B8E">
        <w:rPr>
          <w:rStyle w:val="Hyperlink"/>
          <w:b/>
          <w:bCs w:val="0"/>
        </w:rPr>
        <w:t>:</w:t>
      </w:r>
      <w:r w:rsidRPr="00EF0801">
        <w:tab/>
      </w:r>
      <w:r w:rsidRPr="008363C7">
        <w:rPr>
          <w:rStyle w:val="APDTableChapterChar"/>
          <w:b/>
        </w:rPr>
        <w:t xml:space="preserve">Title 40 Code of Federal Regulations Part 63 (40 CFR Part 63), Subpart DDDDD: </w:t>
      </w:r>
      <w:r w:rsidR="00C87167" w:rsidRPr="008363C7">
        <w:rPr>
          <w:rStyle w:val="APDTableChapterChar"/>
          <w:b/>
        </w:rPr>
        <w:t>Industrial, Commercial, and Institutional Boilers</w:t>
      </w:r>
      <w:bookmarkEnd w:id="144"/>
      <w:bookmarkEnd w:id="145"/>
    </w:p>
    <w:p w14:paraId="4BF502B1" w14:textId="704EC097" w:rsidR="00CE490C" w:rsidRPr="00A70943" w:rsidRDefault="00CE490C" w:rsidP="00A70943">
      <w:pPr>
        <w:pStyle w:val="APDStrong"/>
      </w:pPr>
      <w:r w:rsidRPr="00A70943">
        <w:t xml:space="preserve">Unit ID </w:t>
      </w:r>
      <w:r w:rsidR="00B42127">
        <w:t>N</w:t>
      </w:r>
      <w:r w:rsidR="00786D92">
        <w:t>o</w:t>
      </w:r>
      <w:r w:rsidRPr="00A70943">
        <w:t>.:</w:t>
      </w:r>
    </w:p>
    <w:p w14:paraId="11752755" w14:textId="2CCA8B91" w:rsidR="00CE490C" w:rsidRPr="00624EE4" w:rsidRDefault="00CE490C" w:rsidP="00624EE4">
      <w:pPr>
        <w:pStyle w:val="APDBodyText"/>
      </w:pPr>
      <w:r w:rsidRPr="00624EE4">
        <w:t xml:space="preserve">Enter the identification number (ID </w:t>
      </w:r>
      <w:r w:rsidR="00B42127">
        <w:t>N</w:t>
      </w:r>
      <w:r w:rsidR="005667BA">
        <w:t>o</w:t>
      </w:r>
      <w:r w:rsidRPr="00624EE4">
        <w:t>.) for the unit (maximum 10 characters) as listed on Form OP SUM (Individual Unit Summary).</w:t>
      </w:r>
    </w:p>
    <w:p w14:paraId="045773E6" w14:textId="4FC68D70" w:rsidR="00CE490C" w:rsidRPr="00A70943" w:rsidRDefault="00CE490C" w:rsidP="00DC6809">
      <w:pPr>
        <w:pStyle w:val="APDStrong"/>
      </w:pPr>
      <w:r w:rsidRPr="00DC6809">
        <w:t>SOP/</w:t>
      </w:r>
      <w:r w:rsidRPr="00A70943">
        <w:t xml:space="preserve">GOP Index </w:t>
      </w:r>
      <w:r w:rsidR="00B42127">
        <w:t>N</w:t>
      </w:r>
      <w:r w:rsidR="00786D92">
        <w:t>o</w:t>
      </w:r>
      <w:r w:rsidRPr="00A70943">
        <w:t>.:</w:t>
      </w:r>
    </w:p>
    <w:p w14:paraId="2A0601FE" w14:textId="6CF6B07B" w:rsidR="004A31BA" w:rsidRDefault="00CE490C" w:rsidP="00624EE4">
      <w:pPr>
        <w:pStyle w:val="APDBodyText"/>
      </w:pPr>
      <w:r w:rsidRPr="00624EE4">
        <w:t xml:space="preserve">Site operating permit (SOP) applicants should indicate the SOP index number for the unit or group of units (maximum 15 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w:t>
      </w:r>
      <w:r w:rsidR="00CC2143" w:rsidRPr="00624EE4">
        <w:t xml:space="preserve">For additional information relating to SOP </w:t>
      </w:r>
      <w:r w:rsidR="007E603F" w:rsidRPr="00624EE4">
        <w:t xml:space="preserve">and GOP </w:t>
      </w:r>
      <w:r w:rsidR="00CC2143" w:rsidRPr="00624EE4">
        <w:t>index numbers, please see the Completing FOP Applications – Additional Guidance on the TCEQ website at</w:t>
      </w:r>
      <w:r w:rsidR="00CC2143" w:rsidRPr="00EF0801">
        <w:t xml:space="preserve"> </w:t>
      </w:r>
      <w:hyperlink r:id="rId52" w:tooltip="TCEQ - Completing FOP Applications - Additional Guidance" w:history="1">
        <w:r w:rsidR="00CF580F" w:rsidRPr="00677F90">
          <w:rPr>
            <w:rStyle w:val="Hyperlink"/>
          </w:rPr>
          <w:t>www.tceq.texas.gov/permitting/air/guidance/titlev/tv_fop_guidance.html</w:t>
        </w:r>
      </w:hyperlink>
      <w:r w:rsidR="00CC2143" w:rsidRPr="00EF0801">
        <w:t>.</w:t>
      </w:r>
    </w:p>
    <w:p w14:paraId="62F9126F" w14:textId="77777777" w:rsidR="00D40040" w:rsidRDefault="00D40040" w:rsidP="00A70943">
      <w:pPr>
        <w:pStyle w:val="APDStrong"/>
        <w:sectPr w:rsidR="00D40040" w:rsidSect="0031268E">
          <w:pgSz w:w="12240" w:h="15840" w:code="1"/>
          <w:pgMar w:top="720" w:right="720" w:bottom="720" w:left="720" w:header="720" w:footer="720" w:gutter="0"/>
          <w:cols w:space="720"/>
          <w:titlePg/>
          <w:docGrid w:linePitch="360"/>
        </w:sectPr>
      </w:pPr>
    </w:p>
    <w:p w14:paraId="34BD97DE" w14:textId="77777777" w:rsidR="00CE490C" w:rsidRPr="00A70943" w:rsidRDefault="00CE490C" w:rsidP="00A70943">
      <w:pPr>
        <w:pStyle w:val="APDStrong"/>
      </w:pPr>
      <w:r w:rsidRPr="00A70943">
        <w:lastRenderedPageBreak/>
        <w:t>Hg Emission:</w:t>
      </w:r>
    </w:p>
    <w:p w14:paraId="6877F0F2" w14:textId="77777777" w:rsidR="00CE490C" w:rsidRDefault="00CE490C" w:rsidP="00382DD3">
      <w:pPr>
        <w:pStyle w:val="APDBodyText"/>
      </w:pPr>
      <w:r w:rsidRPr="00382DD3">
        <w:t>Select one of the following hydrogen chloride emission limit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6B509C" w14:paraId="1C9BBA80" w14:textId="77777777" w:rsidTr="0038424D">
        <w:tc>
          <w:tcPr>
            <w:tcW w:w="1530" w:type="dxa"/>
          </w:tcPr>
          <w:p w14:paraId="6F4ADF4D" w14:textId="44749D79" w:rsidR="006B509C" w:rsidRPr="006B509C" w:rsidRDefault="006B509C" w:rsidP="006B509C">
            <w:pPr>
              <w:rPr>
                <w:b/>
                <w:bCs/>
              </w:rPr>
            </w:pPr>
            <w:r w:rsidRPr="006B509C">
              <w:rPr>
                <w:b/>
                <w:bCs/>
              </w:rPr>
              <w:t>Code</w:t>
            </w:r>
          </w:p>
        </w:tc>
        <w:tc>
          <w:tcPr>
            <w:tcW w:w="8550" w:type="dxa"/>
          </w:tcPr>
          <w:p w14:paraId="2665708E" w14:textId="48CA0E9D" w:rsidR="006B509C" w:rsidRPr="006B509C" w:rsidRDefault="006B509C" w:rsidP="006B509C">
            <w:pPr>
              <w:rPr>
                <w:b/>
                <w:bCs/>
              </w:rPr>
            </w:pPr>
            <w:r w:rsidRPr="006B509C">
              <w:rPr>
                <w:b/>
                <w:bCs/>
              </w:rPr>
              <w:t>Description</w:t>
            </w:r>
          </w:p>
        </w:tc>
      </w:tr>
      <w:tr w:rsidR="006B509C" w14:paraId="68749CAE" w14:textId="77777777" w:rsidTr="0038424D">
        <w:tc>
          <w:tcPr>
            <w:tcW w:w="1530" w:type="dxa"/>
          </w:tcPr>
          <w:p w14:paraId="1D4E7BD8" w14:textId="0A9F66D8" w:rsidR="006B509C" w:rsidRDefault="006B509C" w:rsidP="006B509C">
            <w:r w:rsidRPr="005F331A">
              <w:t>BTU-HG</w:t>
            </w:r>
          </w:p>
        </w:tc>
        <w:tc>
          <w:tcPr>
            <w:tcW w:w="8550" w:type="dxa"/>
          </w:tcPr>
          <w:p w14:paraId="66F1E1E9" w14:textId="20391CBA" w:rsidR="006B509C" w:rsidRDefault="006B509C" w:rsidP="006B509C">
            <w:r w:rsidRPr="005F331A">
              <w:t>Emission limits for Hg in pounds per MMBtu heat input</w:t>
            </w:r>
          </w:p>
        </w:tc>
      </w:tr>
      <w:tr w:rsidR="006B509C" w14:paraId="1C065CA1" w14:textId="77777777" w:rsidTr="0038424D">
        <w:tc>
          <w:tcPr>
            <w:tcW w:w="1530" w:type="dxa"/>
          </w:tcPr>
          <w:p w14:paraId="5CABB4C6" w14:textId="4A0FBE26" w:rsidR="006B509C" w:rsidRDefault="006B509C" w:rsidP="006B509C">
            <w:r w:rsidRPr="005F331A">
              <w:t>STM-HG</w:t>
            </w:r>
          </w:p>
        </w:tc>
        <w:tc>
          <w:tcPr>
            <w:tcW w:w="8550" w:type="dxa"/>
          </w:tcPr>
          <w:p w14:paraId="4242E98B" w14:textId="58FE8295" w:rsidR="006B509C" w:rsidRDefault="006B509C" w:rsidP="006B509C">
            <w:r w:rsidRPr="005F331A">
              <w:t>Emission limits for Hg in pounds per MMBtu steam output (for steam generating units only)</w:t>
            </w:r>
          </w:p>
        </w:tc>
      </w:tr>
      <w:tr w:rsidR="006B509C" w14:paraId="2440E56D" w14:textId="77777777" w:rsidTr="0038424D">
        <w:tc>
          <w:tcPr>
            <w:tcW w:w="1530" w:type="dxa"/>
          </w:tcPr>
          <w:p w14:paraId="3B1C4BE1" w14:textId="36E4729C" w:rsidR="006B509C" w:rsidRDefault="006B509C" w:rsidP="006B509C">
            <w:r w:rsidRPr="005F331A">
              <w:t>MWH-HG</w:t>
            </w:r>
          </w:p>
        </w:tc>
        <w:tc>
          <w:tcPr>
            <w:tcW w:w="8550" w:type="dxa"/>
          </w:tcPr>
          <w:p w14:paraId="4797C3D7" w14:textId="750D9466" w:rsidR="006B509C" w:rsidRDefault="006B509C" w:rsidP="006B509C">
            <w:r w:rsidRPr="005F331A">
              <w:t>Emission limits for Hg in pounds per MWh power output (for boilers that generate electricity only)</w:t>
            </w:r>
          </w:p>
        </w:tc>
      </w:tr>
    </w:tbl>
    <w:p w14:paraId="44F363D8" w14:textId="77777777" w:rsidR="00CE490C" w:rsidRPr="00A70943" w:rsidRDefault="00CE490C" w:rsidP="006B509C">
      <w:pPr>
        <w:pStyle w:val="APDStrong"/>
        <w:spacing w:before="120"/>
      </w:pPr>
      <w:r w:rsidRPr="00A70943">
        <w:t>Hg-InjRate:</w:t>
      </w:r>
    </w:p>
    <w:p w14:paraId="484A366D" w14:textId="3C4C3C10" w:rsidR="00CE490C" w:rsidRPr="00382DD3" w:rsidRDefault="00CE490C" w:rsidP="00382DD3">
      <w:pPr>
        <w:pStyle w:val="APDBodyText"/>
      </w:pPr>
      <w:r w:rsidRPr="00382DD3">
        <w:t>Enter “</w:t>
      </w:r>
      <w:r w:rsidR="00B42127">
        <w:t>YES</w:t>
      </w:r>
      <w:r w:rsidRPr="00382DD3">
        <w:t>” if an operating limit requires a monitoring system to measure sorbent injection rate for Hg. Otherwise, enter</w:t>
      </w:r>
      <w:r w:rsidR="008B201F" w:rsidRPr="00382DD3">
        <w:t> </w:t>
      </w:r>
      <w:r w:rsidRPr="00382DD3">
        <w:t>“</w:t>
      </w:r>
      <w:r w:rsidR="00B42127">
        <w:t>NO</w:t>
      </w:r>
      <w:r w:rsidRPr="00382DD3">
        <w:t>.”</w:t>
      </w:r>
    </w:p>
    <w:p w14:paraId="20135084" w14:textId="77777777" w:rsidR="00CE490C" w:rsidRPr="00A70943" w:rsidRDefault="00CE490C" w:rsidP="00A70943">
      <w:pPr>
        <w:pStyle w:val="APDStrong"/>
      </w:pPr>
      <w:r w:rsidRPr="00A70943">
        <w:t>Hg-CMS:</w:t>
      </w:r>
    </w:p>
    <w:p w14:paraId="2004A368" w14:textId="0CEE7600" w:rsidR="00CE490C" w:rsidRDefault="00CE490C" w:rsidP="00382DD3">
      <w:pPr>
        <w:pStyle w:val="APDBodyText"/>
      </w:pPr>
      <w:r w:rsidRPr="00382DD3">
        <w:t>Select one of the following mercury continuous monitoring system (CMS)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38424D" w14:paraId="7155C5E1" w14:textId="77777777" w:rsidTr="00EF0585">
        <w:trPr>
          <w:cantSplit/>
          <w:tblHeader/>
        </w:trPr>
        <w:tc>
          <w:tcPr>
            <w:tcW w:w="1530" w:type="dxa"/>
          </w:tcPr>
          <w:p w14:paraId="5380BD9B" w14:textId="77B500F6" w:rsidR="0038424D" w:rsidRPr="0038424D" w:rsidRDefault="0038424D" w:rsidP="0038424D">
            <w:pPr>
              <w:rPr>
                <w:b/>
                <w:bCs/>
              </w:rPr>
            </w:pPr>
            <w:r w:rsidRPr="0038424D">
              <w:rPr>
                <w:b/>
                <w:bCs/>
              </w:rPr>
              <w:t>Code</w:t>
            </w:r>
          </w:p>
        </w:tc>
        <w:tc>
          <w:tcPr>
            <w:tcW w:w="8550" w:type="dxa"/>
          </w:tcPr>
          <w:p w14:paraId="0CF6C0F9" w14:textId="75F2D087" w:rsidR="0038424D" w:rsidRPr="0038424D" w:rsidRDefault="0038424D" w:rsidP="0038424D">
            <w:pPr>
              <w:rPr>
                <w:b/>
                <w:bCs/>
              </w:rPr>
            </w:pPr>
            <w:r w:rsidRPr="0038424D">
              <w:rPr>
                <w:b/>
                <w:bCs/>
              </w:rPr>
              <w:t>Description</w:t>
            </w:r>
          </w:p>
        </w:tc>
      </w:tr>
      <w:tr w:rsidR="0038424D" w14:paraId="15A9EC8C" w14:textId="77777777" w:rsidTr="00EF0585">
        <w:trPr>
          <w:cantSplit/>
          <w:tblHeader/>
        </w:trPr>
        <w:tc>
          <w:tcPr>
            <w:tcW w:w="1530" w:type="dxa"/>
          </w:tcPr>
          <w:p w14:paraId="02953623" w14:textId="7F36D249" w:rsidR="0038424D" w:rsidRDefault="0038424D" w:rsidP="0038424D">
            <w:r w:rsidRPr="008D5791">
              <w:t>NONE</w:t>
            </w:r>
          </w:p>
        </w:tc>
        <w:tc>
          <w:tcPr>
            <w:tcW w:w="8550" w:type="dxa"/>
          </w:tcPr>
          <w:p w14:paraId="314A97AF" w14:textId="752E3579" w:rsidR="0038424D" w:rsidRDefault="0038424D" w:rsidP="0038424D">
            <w:r w:rsidRPr="008D5791">
              <w:t>A CMS is not being used</w:t>
            </w:r>
          </w:p>
        </w:tc>
      </w:tr>
      <w:tr w:rsidR="0038424D" w14:paraId="6A1CDB08" w14:textId="77777777" w:rsidTr="00EF0585">
        <w:trPr>
          <w:cantSplit/>
          <w:tblHeader/>
        </w:trPr>
        <w:tc>
          <w:tcPr>
            <w:tcW w:w="1530" w:type="dxa"/>
          </w:tcPr>
          <w:p w14:paraId="32E4646B" w14:textId="08C66603" w:rsidR="0038424D" w:rsidRDefault="0038424D" w:rsidP="0038424D">
            <w:r w:rsidRPr="008D5791">
              <w:t>HG-CEMS</w:t>
            </w:r>
          </w:p>
        </w:tc>
        <w:tc>
          <w:tcPr>
            <w:tcW w:w="8550" w:type="dxa"/>
          </w:tcPr>
          <w:p w14:paraId="7EED2121" w14:textId="3E4428BA" w:rsidR="0038424D" w:rsidRDefault="0038424D" w:rsidP="0038424D">
            <w:r w:rsidRPr="008D5791">
              <w:t>An Hg CEMS is used</w:t>
            </w:r>
          </w:p>
        </w:tc>
      </w:tr>
      <w:tr w:rsidR="0038424D" w14:paraId="5A5BBCF1" w14:textId="77777777" w:rsidTr="00EF0585">
        <w:trPr>
          <w:cantSplit/>
          <w:tblHeader/>
        </w:trPr>
        <w:tc>
          <w:tcPr>
            <w:tcW w:w="1530" w:type="dxa"/>
          </w:tcPr>
          <w:p w14:paraId="700BBF69" w14:textId="57DB44C8" w:rsidR="0038424D" w:rsidRDefault="0038424D" w:rsidP="0038424D">
            <w:r w:rsidRPr="008D5791">
              <w:t>HGCMS</w:t>
            </w:r>
          </w:p>
        </w:tc>
        <w:tc>
          <w:tcPr>
            <w:tcW w:w="8550" w:type="dxa"/>
          </w:tcPr>
          <w:p w14:paraId="0DBB0281" w14:textId="11EA8500" w:rsidR="0038424D" w:rsidRDefault="0038424D" w:rsidP="0038424D">
            <w:r w:rsidRPr="008D5791">
              <w:t>A CMS other than an Hg CEMS is used</w:t>
            </w:r>
          </w:p>
        </w:tc>
      </w:tr>
    </w:tbl>
    <w:p w14:paraId="13FC34A2" w14:textId="124D414A" w:rsidR="00CE490C" w:rsidRPr="0021607D" w:rsidRDefault="00CE490C" w:rsidP="00FD7888">
      <w:pPr>
        <w:pStyle w:val="APDContinueTriangle"/>
      </w:pPr>
      <w:r w:rsidRPr="0021607D">
        <w:t>Continue on Table 14c only if “Hg-CMS” is “NONE”. If “Hg-CMS” is HG-CEMS” or “HGCMS</w:t>
      </w:r>
      <w:r w:rsidR="00CF4181" w:rsidRPr="0021607D">
        <w:t>,”</w:t>
      </w:r>
      <w:r w:rsidRPr="0021607D">
        <w:t xml:space="preserve"> skip to Table 14d.</w:t>
      </w:r>
    </w:p>
    <w:p w14:paraId="278B05F8" w14:textId="77777777" w:rsidR="00CE490C" w:rsidRPr="00A70943" w:rsidRDefault="00CE490C" w:rsidP="00A70943">
      <w:pPr>
        <w:pStyle w:val="APDStrong"/>
      </w:pPr>
      <w:r w:rsidRPr="00A70943">
        <w:t>Hg-CD:</w:t>
      </w:r>
    </w:p>
    <w:p w14:paraId="1B70C4D3" w14:textId="77777777" w:rsidR="00CE490C" w:rsidRDefault="00CE490C" w:rsidP="00382DD3">
      <w:pPr>
        <w:pStyle w:val="APDBodyText"/>
      </w:pPr>
      <w:r w:rsidRPr="00382DD3">
        <w:t>Select one of the following mercury control device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36"/>
        <w:gridCol w:w="8644"/>
      </w:tblGrid>
      <w:tr w:rsidR="00EF0585" w14:paraId="2CFEB4E2" w14:textId="77777777" w:rsidTr="00EF0585">
        <w:tc>
          <w:tcPr>
            <w:tcW w:w="1530" w:type="dxa"/>
          </w:tcPr>
          <w:p w14:paraId="40AD471D" w14:textId="53C8122E" w:rsidR="00EF0585" w:rsidRDefault="00EF0585" w:rsidP="00EF0585">
            <w:r w:rsidRPr="003D5F02">
              <w:t>Code</w:t>
            </w:r>
          </w:p>
        </w:tc>
        <w:tc>
          <w:tcPr>
            <w:tcW w:w="9260" w:type="dxa"/>
          </w:tcPr>
          <w:p w14:paraId="528E0265" w14:textId="3D6E3E23" w:rsidR="00EF0585" w:rsidRDefault="00EF0585" w:rsidP="00EF0585">
            <w:r w:rsidRPr="003D5F02">
              <w:t>Description</w:t>
            </w:r>
          </w:p>
        </w:tc>
      </w:tr>
      <w:tr w:rsidR="00EF0585" w14:paraId="3F4A27CC" w14:textId="77777777" w:rsidTr="00EF0585">
        <w:tc>
          <w:tcPr>
            <w:tcW w:w="1530" w:type="dxa"/>
          </w:tcPr>
          <w:p w14:paraId="426E13EC" w14:textId="49528CDF" w:rsidR="00EF0585" w:rsidRDefault="00EF0585" w:rsidP="00EF0585">
            <w:r w:rsidRPr="003D5F02">
              <w:t>DS</w:t>
            </w:r>
          </w:p>
        </w:tc>
        <w:tc>
          <w:tcPr>
            <w:tcW w:w="9260" w:type="dxa"/>
          </w:tcPr>
          <w:p w14:paraId="13FF2C10" w14:textId="7EF31DC6" w:rsidR="00EF0585" w:rsidRDefault="00EF0585" w:rsidP="00EF0585">
            <w:r w:rsidRPr="003D5F02">
              <w:t>Dry scrubber is being used</w:t>
            </w:r>
          </w:p>
        </w:tc>
      </w:tr>
      <w:tr w:rsidR="00EF0585" w14:paraId="25E0D821" w14:textId="77777777" w:rsidTr="00EF0585">
        <w:tc>
          <w:tcPr>
            <w:tcW w:w="1530" w:type="dxa"/>
          </w:tcPr>
          <w:p w14:paraId="1AE5899D" w14:textId="4FCA422B" w:rsidR="00EF0585" w:rsidRDefault="00EF0585" w:rsidP="00EF0585">
            <w:r w:rsidRPr="003D5F02">
              <w:t>WAS</w:t>
            </w:r>
          </w:p>
        </w:tc>
        <w:tc>
          <w:tcPr>
            <w:tcW w:w="9260" w:type="dxa"/>
          </w:tcPr>
          <w:p w14:paraId="72DD10F7" w14:textId="1D595499" w:rsidR="00EF0585" w:rsidRDefault="00EF0585" w:rsidP="00EF0585">
            <w:r w:rsidRPr="003D5F02">
              <w:t>A wet acid scrubber is used</w:t>
            </w:r>
          </w:p>
        </w:tc>
      </w:tr>
      <w:tr w:rsidR="00EF0585" w14:paraId="42190C84" w14:textId="77777777" w:rsidTr="00EF0585">
        <w:tc>
          <w:tcPr>
            <w:tcW w:w="1530" w:type="dxa"/>
          </w:tcPr>
          <w:p w14:paraId="3DD04254" w14:textId="070F376B" w:rsidR="00EF0585" w:rsidRDefault="00EF0585" w:rsidP="00EF0585">
            <w:r w:rsidRPr="003D5F02">
              <w:t>ESP-WS</w:t>
            </w:r>
          </w:p>
        </w:tc>
        <w:tc>
          <w:tcPr>
            <w:tcW w:w="9260" w:type="dxa"/>
          </w:tcPr>
          <w:p w14:paraId="798D7045" w14:textId="6DCDC26F" w:rsidR="00EF0585" w:rsidRDefault="00EF0585" w:rsidP="00EF0585">
            <w:r w:rsidRPr="003D5F02">
              <w:t xml:space="preserve">An electrostatic precipitator with a wet scrubber is used </w:t>
            </w:r>
          </w:p>
        </w:tc>
      </w:tr>
      <w:tr w:rsidR="00EF0585" w14:paraId="3D5BA008" w14:textId="77777777" w:rsidTr="00EF0585">
        <w:tc>
          <w:tcPr>
            <w:tcW w:w="1530" w:type="dxa"/>
          </w:tcPr>
          <w:p w14:paraId="5601EAC2" w14:textId="09A90FDE" w:rsidR="00EF0585" w:rsidRDefault="00EF0585" w:rsidP="00EF0585">
            <w:r w:rsidRPr="003D5F02">
              <w:t>ACI</w:t>
            </w:r>
          </w:p>
        </w:tc>
        <w:tc>
          <w:tcPr>
            <w:tcW w:w="9260" w:type="dxa"/>
          </w:tcPr>
          <w:p w14:paraId="22980745" w14:textId="35D26EB9" w:rsidR="00EF0585" w:rsidRDefault="00EF0585" w:rsidP="00EF0585">
            <w:r w:rsidRPr="003D5F02">
              <w:t>Activated carbon injection is used</w:t>
            </w:r>
          </w:p>
        </w:tc>
      </w:tr>
      <w:tr w:rsidR="00EF0585" w14:paraId="29189BC7" w14:textId="77777777" w:rsidTr="00EF0585">
        <w:tc>
          <w:tcPr>
            <w:tcW w:w="1530" w:type="dxa"/>
          </w:tcPr>
          <w:p w14:paraId="7F17350F" w14:textId="64EE7616" w:rsidR="00EF0585" w:rsidRDefault="00EF0585" w:rsidP="00EF0585">
            <w:r w:rsidRPr="003D5F02">
              <w:t>OTHER</w:t>
            </w:r>
          </w:p>
        </w:tc>
        <w:tc>
          <w:tcPr>
            <w:tcW w:w="9260" w:type="dxa"/>
          </w:tcPr>
          <w:p w14:paraId="385B7EB4" w14:textId="2B3523C1" w:rsidR="00EF0585" w:rsidRDefault="00EF0585" w:rsidP="00EF0585">
            <w:r w:rsidRPr="003D5F02">
              <w:t>Other control methods are being used</w:t>
            </w:r>
          </w:p>
        </w:tc>
      </w:tr>
      <w:tr w:rsidR="00EF0585" w14:paraId="5B21F8A5" w14:textId="77777777" w:rsidTr="00EF0585">
        <w:tc>
          <w:tcPr>
            <w:tcW w:w="1530" w:type="dxa"/>
          </w:tcPr>
          <w:p w14:paraId="301CF9B6" w14:textId="30A95CF6" w:rsidR="00EF0585" w:rsidRDefault="00EF0585" w:rsidP="00EF0585">
            <w:r w:rsidRPr="003D5F02">
              <w:t>NONE</w:t>
            </w:r>
          </w:p>
        </w:tc>
        <w:tc>
          <w:tcPr>
            <w:tcW w:w="9260" w:type="dxa"/>
          </w:tcPr>
          <w:p w14:paraId="62A47B7B" w14:textId="6C600588" w:rsidR="00EF0585" w:rsidRDefault="00EF0585" w:rsidP="00EF0585">
            <w:r w:rsidRPr="003D5F02">
              <w:t>A control device is not used</w:t>
            </w:r>
          </w:p>
        </w:tc>
      </w:tr>
    </w:tbl>
    <w:p w14:paraId="05907B2A" w14:textId="77777777" w:rsidR="00CE490C" w:rsidRPr="00A70943" w:rsidRDefault="00CE490C" w:rsidP="00A70943">
      <w:pPr>
        <w:pStyle w:val="APDStrong"/>
      </w:pPr>
      <w:r w:rsidRPr="00A70943">
        <w:t>Hg-Test:</w:t>
      </w:r>
    </w:p>
    <w:p w14:paraId="12D1BD8C" w14:textId="77777777" w:rsidR="00CE490C" w:rsidRDefault="00CE490C" w:rsidP="00382DD3">
      <w:pPr>
        <w:pStyle w:val="APDBodyText"/>
      </w:pPr>
      <w:bookmarkStart w:id="146" w:name="_Hlk64292477"/>
      <w:r w:rsidRPr="00382DD3">
        <w:t>Select one of the following Hg performance test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256197" w14:paraId="54FC955D" w14:textId="77777777" w:rsidTr="00256197">
        <w:trPr>
          <w:cantSplit/>
          <w:tblHeader/>
        </w:trPr>
        <w:tc>
          <w:tcPr>
            <w:tcW w:w="1530" w:type="dxa"/>
          </w:tcPr>
          <w:p w14:paraId="0A1BA9E2" w14:textId="75BE5DC4" w:rsidR="00256197" w:rsidRPr="00256197" w:rsidRDefault="00256197" w:rsidP="00256197">
            <w:pPr>
              <w:rPr>
                <w:b/>
                <w:bCs/>
              </w:rPr>
            </w:pPr>
            <w:r w:rsidRPr="00256197">
              <w:rPr>
                <w:b/>
                <w:bCs/>
              </w:rPr>
              <w:t>Code</w:t>
            </w:r>
          </w:p>
        </w:tc>
        <w:tc>
          <w:tcPr>
            <w:tcW w:w="8550" w:type="dxa"/>
          </w:tcPr>
          <w:p w14:paraId="6250E8B7" w14:textId="23202170" w:rsidR="00256197" w:rsidRPr="00256197" w:rsidRDefault="00256197" w:rsidP="00256197">
            <w:pPr>
              <w:rPr>
                <w:b/>
                <w:bCs/>
              </w:rPr>
            </w:pPr>
            <w:r w:rsidRPr="00256197">
              <w:rPr>
                <w:b/>
                <w:bCs/>
              </w:rPr>
              <w:t>Description</w:t>
            </w:r>
          </w:p>
        </w:tc>
      </w:tr>
      <w:tr w:rsidR="00256197" w14:paraId="29E78657" w14:textId="77777777" w:rsidTr="00256197">
        <w:trPr>
          <w:cantSplit/>
          <w:tblHeader/>
        </w:trPr>
        <w:tc>
          <w:tcPr>
            <w:tcW w:w="1530" w:type="dxa"/>
          </w:tcPr>
          <w:p w14:paraId="78FAE54D" w14:textId="22AF9BA2" w:rsidR="00256197" w:rsidRDefault="00256197" w:rsidP="00256197">
            <w:r w:rsidRPr="003C2497">
              <w:t>PT</w:t>
            </w:r>
          </w:p>
        </w:tc>
        <w:tc>
          <w:tcPr>
            <w:tcW w:w="8550" w:type="dxa"/>
          </w:tcPr>
          <w:p w14:paraId="4C3BB6FB" w14:textId="45F25671" w:rsidR="00256197" w:rsidRDefault="00256197" w:rsidP="00256197">
            <w:r w:rsidRPr="003C2497">
              <w:t>Compliance is demonstrated by conducting a performance test for Hg</w:t>
            </w:r>
          </w:p>
        </w:tc>
      </w:tr>
      <w:tr w:rsidR="00256197" w14:paraId="29A46CFA" w14:textId="77777777" w:rsidTr="00256197">
        <w:trPr>
          <w:cantSplit/>
          <w:tblHeader/>
        </w:trPr>
        <w:tc>
          <w:tcPr>
            <w:tcW w:w="1530" w:type="dxa"/>
          </w:tcPr>
          <w:p w14:paraId="32197233" w14:textId="7CEAF68D" w:rsidR="00256197" w:rsidRDefault="00256197" w:rsidP="00256197">
            <w:r w:rsidRPr="003C2497">
              <w:t>NPT</w:t>
            </w:r>
          </w:p>
        </w:tc>
        <w:tc>
          <w:tcPr>
            <w:tcW w:w="8550" w:type="dxa"/>
          </w:tcPr>
          <w:p w14:paraId="153EEA05" w14:textId="5D0186B1" w:rsidR="00256197" w:rsidRDefault="00256197" w:rsidP="00256197">
            <w:r w:rsidRPr="003C2497">
              <w:t>A performance test is not being used</w:t>
            </w:r>
          </w:p>
        </w:tc>
      </w:tr>
    </w:tbl>
    <w:bookmarkEnd w:id="146"/>
    <w:p w14:paraId="71ABF89A" w14:textId="77777777" w:rsidR="00CE490C" w:rsidRPr="00A70943" w:rsidRDefault="00CE490C" w:rsidP="00256197">
      <w:pPr>
        <w:pStyle w:val="APDStrong"/>
        <w:spacing w:before="120"/>
      </w:pPr>
      <w:r w:rsidRPr="00A70943">
        <w:t>Hg-FA:</w:t>
      </w:r>
    </w:p>
    <w:p w14:paraId="6D6D0F00" w14:textId="77777777" w:rsidR="00CE490C" w:rsidRDefault="00CE490C" w:rsidP="00382DD3">
      <w:pPr>
        <w:pStyle w:val="APDBodyText"/>
      </w:pPr>
      <w:r w:rsidRPr="00382DD3">
        <w:t>Select one of the following Hg fuel analysis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C228FD" w14:paraId="74D56919" w14:textId="77777777" w:rsidTr="00C228FD">
        <w:trPr>
          <w:cantSplit/>
          <w:tblHeader/>
        </w:trPr>
        <w:tc>
          <w:tcPr>
            <w:tcW w:w="1530" w:type="dxa"/>
          </w:tcPr>
          <w:p w14:paraId="5551143C" w14:textId="677A63A0" w:rsidR="00C228FD" w:rsidRPr="00C228FD" w:rsidRDefault="00C228FD" w:rsidP="00C228FD">
            <w:pPr>
              <w:rPr>
                <w:b/>
                <w:bCs/>
              </w:rPr>
            </w:pPr>
            <w:r w:rsidRPr="00C228FD">
              <w:rPr>
                <w:b/>
                <w:bCs/>
              </w:rPr>
              <w:t>Code</w:t>
            </w:r>
          </w:p>
        </w:tc>
        <w:tc>
          <w:tcPr>
            <w:tcW w:w="8550" w:type="dxa"/>
          </w:tcPr>
          <w:p w14:paraId="22821E69" w14:textId="5D4CEC15" w:rsidR="00C228FD" w:rsidRPr="00C228FD" w:rsidRDefault="00C228FD" w:rsidP="00C228FD">
            <w:pPr>
              <w:rPr>
                <w:b/>
                <w:bCs/>
              </w:rPr>
            </w:pPr>
            <w:r w:rsidRPr="00C228FD">
              <w:rPr>
                <w:b/>
                <w:bCs/>
              </w:rPr>
              <w:t>Description</w:t>
            </w:r>
          </w:p>
        </w:tc>
      </w:tr>
      <w:tr w:rsidR="00C228FD" w14:paraId="28D0542B" w14:textId="77777777" w:rsidTr="00C228FD">
        <w:trPr>
          <w:cantSplit/>
          <w:tblHeader/>
        </w:trPr>
        <w:tc>
          <w:tcPr>
            <w:tcW w:w="1530" w:type="dxa"/>
          </w:tcPr>
          <w:p w14:paraId="3A2DE4CF" w14:textId="6B09BE3D" w:rsidR="00C228FD" w:rsidRDefault="00C228FD" w:rsidP="00C228FD">
            <w:r w:rsidRPr="00E50991">
              <w:t>HGFA</w:t>
            </w:r>
          </w:p>
        </w:tc>
        <w:tc>
          <w:tcPr>
            <w:tcW w:w="8550" w:type="dxa"/>
          </w:tcPr>
          <w:p w14:paraId="0DAFB570" w14:textId="6FD4177A" w:rsidR="00C228FD" w:rsidRDefault="00C228FD" w:rsidP="00C228FD">
            <w:r w:rsidRPr="00E50991">
              <w:t>Compliance is demonstrated by conducting fuel analysis for Hg</w:t>
            </w:r>
          </w:p>
        </w:tc>
      </w:tr>
      <w:tr w:rsidR="00C228FD" w14:paraId="28296BAC" w14:textId="77777777" w:rsidTr="00C228FD">
        <w:trPr>
          <w:cantSplit/>
          <w:tblHeader/>
        </w:trPr>
        <w:tc>
          <w:tcPr>
            <w:tcW w:w="1530" w:type="dxa"/>
          </w:tcPr>
          <w:p w14:paraId="5B39BE3A" w14:textId="3695A41F" w:rsidR="00C228FD" w:rsidRDefault="00C228FD" w:rsidP="00C228FD">
            <w:r w:rsidRPr="00E50991">
              <w:t>NFA</w:t>
            </w:r>
          </w:p>
        </w:tc>
        <w:tc>
          <w:tcPr>
            <w:tcW w:w="8550" w:type="dxa"/>
          </w:tcPr>
          <w:p w14:paraId="51439149" w14:textId="25C61C65" w:rsidR="00C228FD" w:rsidRDefault="00C228FD" w:rsidP="00C228FD">
            <w:r w:rsidRPr="00E50991">
              <w:t>Fuel analysis is not being used</w:t>
            </w:r>
          </w:p>
        </w:tc>
      </w:tr>
    </w:tbl>
    <w:p w14:paraId="084514EE" w14:textId="77777777" w:rsidR="00D40040" w:rsidRDefault="00D40040" w:rsidP="00CE490C">
      <w:pPr>
        <w:pBdr>
          <w:bottom w:val="double" w:sz="4" w:space="1" w:color="auto"/>
        </w:pBdr>
        <w:sectPr w:rsidR="00D40040" w:rsidSect="0031268E">
          <w:pgSz w:w="12240" w:h="15840" w:code="1"/>
          <w:pgMar w:top="720" w:right="720" w:bottom="720" w:left="720" w:header="720" w:footer="720" w:gutter="0"/>
          <w:cols w:space="720"/>
          <w:titlePg/>
          <w:docGrid w:linePitch="360"/>
        </w:sectPr>
      </w:pPr>
    </w:p>
    <w:p w14:paraId="7DF1612E" w14:textId="77777777" w:rsidR="00CE490C" w:rsidRPr="00EF0801" w:rsidRDefault="00CE490C" w:rsidP="00CE490C">
      <w:pPr>
        <w:pBdr>
          <w:bottom w:val="double" w:sz="4" w:space="1" w:color="auto"/>
        </w:pBdr>
      </w:pPr>
    </w:p>
    <w:p w14:paraId="302A2CC7" w14:textId="0148C57F" w:rsidR="00CE490C" w:rsidRPr="008363C7" w:rsidRDefault="00CE490C" w:rsidP="002C7C54">
      <w:pPr>
        <w:pStyle w:val="APDChapterTitles"/>
        <w:rPr>
          <w:rStyle w:val="APDTableChapterChar"/>
          <w:b/>
          <w:bCs w:val="0"/>
        </w:rPr>
      </w:pPr>
      <w:hyperlink w:anchor="TBL_14d" w:tooltip="Table 14d" w:history="1">
        <w:bookmarkStart w:id="147" w:name="_Toc180398527"/>
        <w:bookmarkStart w:id="148" w:name="_Toc180398581"/>
        <w:r w:rsidRPr="00B719DD">
          <w:rPr>
            <w:rStyle w:val="Hyperlink"/>
            <w:b/>
            <w:bCs w:val="0"/>
          </w:rPr>
          <w:t>Table 14d</w:t>
        </w:r>
      </w:hyperlink>
      <w:r w:rsidRPr="00B719DD">
        <w:rPr>
          <w:rStyle w:val="Hyperlink"/>
          <w:b/>
          <w:bCs w:val="0"/>
        </w:rPr>
        <w:t>:</w:t>
      </w:r>
      <w:r w:rsidRPr="00EF0801">
        <w:tab/>
      </w:r>
      <w:r w:rsidRPr="008363C7">
        <w:rPr>
          <w:rStyle w:val="APDTableChapterChar"/>
          <w:b/>
        </w:rPr>
        <w:t xml:space="preserve">Title 40 Code of Federal Regulations Part 63 (40 CFR Part 63), Subpart DDDDD: </w:t>
      </w:r>
      <w:r w:rsidR="00C87167" w:rsidRPr="008363C7">
        <w:rPr>
          <w:rStyle w:val="APDTableChapterChar"/>
          <w:b/>
        </w:rPr>
        <w:t>Industrial, Commercial, and Institutional Boilers</w:t>
      </w:r>
      <w:bookmarkEnd w:id="147"/>
      <w:bookmarkEnd w:id="148"/>
    </w:p>
    <w:p w14:paraId="5D04ACED" w14:textId="48502BCF" w:rsidR="00CE490C" w:rsidRPr="00A70943" w:rsidRDefault="00CE490C" w:rsidP="00A70943">
      <w:pPr>
        <w:pStyle w:val="APDStrong"/>
      </w:pPr>
      <w:r w:rsidRPr="00A70943">
        <w:t xml:space="preserve">Unit ID </w:t>
      </w:r>
      <w:r w:rsidR="00B42127">
        <w:t>N</w:t>
      </w:r>
      <w:r w:rsidR="00786D92">
        <w:t>o</w:t>
      </w:r>
      <w:r w:rsidRPr="00A70943">
        <w:t>.:</w:t>
      </w:r>
    </w:p>
    <w:p w14:paraId="176AE9C0" w14:textId="00E4256A" w:rsidR="00CE490C" w:rsidRPr="00CD1010" w:rsidRDefault="00CE490C" w:rsidP="00CD1010">
      <w:pPr>
        <w:pStyle w:val="APDBodyText"/>
      </w:pPr>
      <w:r w:rsidRPr="00CD1010">
        <w:t xml:space="preserve">Enter the identification number (ID </w:t>
      </w:r>
      <w:r w:rsidR="00B42127">
        <w:t>N</w:t>
      </w:r>
      <w:r w:rsidR="005667BA">
        <w:t>o</w:t>
      </w:r>
      <w:r w:rsidRPr="00CD1010">
        <w:t>.) for the unit (maximum 10 characters) as listed on Form OP SUM (Individual Unit Summary).</w:t>
      </w:r>
    </w:p>
    <w:p w14:paraId="49B9213E" w14:textId="077E862E" w:rsidR="00CE490C" w:rsidRPr="00A70943" w:rsidRDefault="00CE490C" w:rsidP="00A70943">
      <w:pPr>
        <w:pStyle w:val="APDStrong"/>
      </w:pPr>
      <w:r w:rsidRPr="00A70943">
        <w:rPr>
          <w:rStyle w:val="APDQuestion"/>
          <w:b/>
        </w:rPr>
        <w:t>SOP/</w:t>
      </w:r>
      <w:r w:rsidRPr="00A70943">
        <w:t xml:space="preserve">GOP Index </w:t>
      </w:r>
      <w:r w:rsidR="00B42127">
        <w:t>N</w:t>
      </w:r>
      <w:r w:rsidR="00786D92">
        <w:t>o</w:t>
      </w:r>
      <w:r w:rsidRPr="00A70943">
        <w:t>.:</w:t>
      </w:r>
    </w:p>
    <w:p w14:paraId="5E3D1812" w14:textId="6C5A0E97" w:rsidR="00CE490C" w:rsidRDefault="00CE490C" w:rsidP="00CD1010">
      <w:pPr>
        <w:pStyle w:val="APDBodyText"/>
      </w:pPr>
      <w:r w:rsidRPr="00CD1010">
        <w:t xml:space="preserve">Site operating permit (SOP) applicants should indicate the SOP index number for the unit or group of units (maximum 15 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w:t>
      </w:r>
      <w:r w:rsidR="00CC2143" w:rsidRPr="00CD1010">
        <w:t xml:space="preserve">For additional information relating to SOP </w:t>
      </w:r>
      <w:r w:rsidR="007E603F" w:rsidRPr="00CD1010">
        <w:t>and GOP</w:t>
      </w:r>
      <w:r w:rsidR="00F0293E" w:rsidRPr="00CD1010">
        <w:t xml:space="preserve"> </w:t>
      </w:r>
      <w:r w:rsidR="00CC2143" w:rsidRPr="00CD1010">
        <w:t>index numbers, please see the Completing FOP Applications – Additional Guidance on the TCEQ website at</w:t>
      </w:r>
      <w:r w:rsidR="00CC2143" w:rsidRPr="00EF0801">
        <w:t xml:space="preserve"> </w:t>
      </w:r>
      <w:hyperlink r:id="rId53" w:tooltip="TCEQ - Completing FOP Applications - Additional Guidance" w:history="1">
        <w:r w:rsidR="00B22BF4" w:rsidRPr="00677F90">
          <w:rPr>
            <w:rStyle w:val="Hyperlink"/>
          </w:rPr>
          <w:t>www.tceq.texas.gov/permitting/air/guidance/titlev/tv_fop_guidance.html</w:t>
        </w:r>
      </w:hyperlink>
      <w:r w:rsidR="00CC2143" w:rsidRPr="00EF0801">
        <w:t>.</w:t>
      </w:r>
    </w:p>
    <w:p w14:paraId="68D14E7E" w14:textId="77777777" w:rsidR="00CE490C" w:rsidRDefault="00CE490C" w:rsidP="00390EE3">
      <w:pPr>
        <w:pStyle w:val="APDCompleteStar"/>
        <w:rPr>
          <w:bCs/>
        </w:rPr>
      </w:pPr>
      <w:r w:rsidRPr="00494396">
        <w:t xml:space="preserve">Complete </w:t>
      </w:r>
      <w:r>
        <w:t xml:space="preserve">“BM Subcategory” </w:t>
      </w:r>
      <w:r w:rsidRPr="00A60DB3">
        <w:t>only if “</w:t>
      </w:r>
      <w:r>
        <w:t>Table Applicability” is “BM10.”</w:t>
      </w:r>
    </w:p>
    <w:p w14:paraId="40BD1D74" w14:textId="77777777" w:rsidR="00CE490C" w:rsidRPr="00A70943" w:rsidRDefault="00CE490C" w:rsidP="00A70943">
      <w:pPr>
        <w:pStyle w:val="APDStrong"/>
      </w:pPr>
      <w:r w:rsidRPr="00A70943">
        <w:t>BM Subcategory:</w:t>
      </w:r>
    </w:p>
    <w:p w14:paraId="321FB146" w14:textId="77777777" w:rsidR="00CE490C" w:rsidRDefault="00CE490C" w:rsidP="00CD1010">
      <w:pPr>
        <w:pStyle w:val="APDBodyText"/>
      </w:pPr>
      <w:r w:rsidRPr="00CD1010">
        <w:t>Select one of the following options that describes subcategory of the boiler or process heater as listed in §63.7499.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C15AFF" w14:paraId="1E0C8746" w14:textId="77777777" w:rsidTr="00ED0841">
        <w:trPr>
          <w:cantSplit/>
          <w:tblHeader/>
        </w:trPr>
        <w:tc>
          <w:tcPr>
            <w:tcW w:w="1530" w:type="dxa"/>
          </w:tcPr>
          <w:p w14:paraId="0B8BDF30" w14:textId="595AE778" w:rsidR="00C15AFF" w:rsidRPr="00ED0841" w:rsidRDefault="00C15AFF" w:rsidP="00C15AFF">
            <w:pPr>
              <w:rPr>
                <w:b/>
                <w:bCs/>
              </w:rPr>
            </w:pPr>
            <w:r w:rsidRPr="00ED0841">
              <w:rPr>
                <w:b/>
                <w:bCs/>
              </w:rPr>
              <w:t>Code</w:t>
            </w:r>
          </w:p>
        </w:tc>
        <w:tc>
          <w:tcPr>
            <w:tcW w:w="8550" w:type="dxa"/>
          </w:tcPr>
          <w:p w14:paraId="0FFDFE2C" w14:textId="0F6EDB8F" w:rsidR="00C15AFF" w:rsidRPr="00ED0841" w:rsidRDefault="00C15AFF" w:rsidP="00C15AFF">
            <w:pPr>
              <w:rPr>
                <w:b/>
                <w:bCs/>
              </w:rPr>
            </w:pPr>
            <w:r w:rsidRPr="00ED0841">
              <w:rPr>
                <w:b/>
                <w:bCs/>
              </w:rPr>
              <w:t>Description</w:t>
            </w:r>
          </w:p>
        </w:tc>
      </w:tr>
      <w:tr w:rsidR="00C15AFF" w14:paraId="69C7A754" w14:textId="77777777" w:rsidTr="00ED0841">
        <w:trPr>
          <w:cantSplit/>
          <w:tblHeader/>
        </w:trPr>
        <w:tc>
          <w:tcPr>
            <w:tcW w:w="1530" w:type="dxa"/>
          </w:tcPr>
          <w:p w14:paraId="61AE3F20" w14:textId="2AE9C52F" w:rsidR="00C15AFF" w:rsidRDefault="00C15AFF" w:rsidP="00C15AFF">
            <w:r w:rsidRPr="006F4702">
              <w:t>7499(I)</w:t>
            </w:r>
          </w:p>
        </w:tc>
        <w:tc>
          <w:tcPr>
            <w:tcW w:w="8550" w:type="dxa"/>
          </w:tcPr>
          <w:p w14:paraId="74B89F64" w14:textId="653E5372" w:rsidR="00C15AFF" w:rsidRDefault="00C15AFF" w:rsidP="00C15AFF">
            <w:r w:rsidRPr="006F4702">
              <w:t>The unit is a stoker/sloped grate/other unit designed to burn wet biomass/bio-based solid</w:t>
            </w:r>
          </w:p>
        </w:tc>
      </w:tr>
      <w:tr w:rsidR="00C15AFF" w14:paraId="088507C4" w14:textId="77777777" w:rsidTr="00ED0841">
        <w:trPr>
          <w:cantSplit/>
          <w:tblHeader/>
        </w:trPr>
        <w:tc>
          <w:tcPr>
            <w:tcW w:w="1530" w:type="dxa"/>
          </w:tcPr>
          <w:p w14:paraId="2B6B1FDA" w14:textId="23141F2C" w:rsidR="00C15AFF" w:rsidRDefault="00C15AFF" w:rsidP="00C15AFF">
            <w:r w:rsidRPr="006F4702">
              <w:t>7499(D)</w:t>
            </w:r>
          </w:p>
        </w:tc>
        <w:tc>
          <w:tcPr>
            <w:tcW w:w="8550" w:type="dxa"/>
          </w:tcPr>
          <w:p w14:paraId="47B1BBF9" w14:textId="55FC9DE5" w:rsidR="00C15AFF" w:rsidRDefault="00C15AFF" w:rsidP="00C15AFF">
            <w:r w:rsidRPr="006F4702">
              <w:t>The unit is a stoker/sloped grate/other unit designed to burn kiln dried biomass/bio-based solid</w:t>
            </w:r>
          </w:p>
        </w:tc>
      </w:tr>
      <w:tr w:rsidR="00C15AFF" w14:paraId="626CCAB6" w14:textId="77777777" w:rsidTr="00ED0841">
        <w:trPr>
          <w:cantSplit/>
          <w:tblHeader/>
        </w:trPr>
        <w:tc>
          <w:tcPr>
            <w:tcW w:w="1530" w:type="dxa"/>
          </w:tcPr>
          <w:p w14:paraId="7287A88A" w14:textId="57423BE6" w:rsidR="00C15AFF" w:rsidRDefault="00C15AFF" w:rsidP="00C15AFF">
            <w:r w:rsidRPr="006F4702">
              <w:t>7499(E)</w:t>
            </w:r>
          </w:p>
        </w:tc>
        <w:tc>
          <w:tcPr>
            <w:tcW w:w="8550" w:type="dxa"/>
          </w:tcPr>
          <w:p w14:paraId="5959BB21" w14:textId="2300BB00" w:rsidR="00C15AFF" w:rsidRDefault="00C15AFF" w:rsidP="00C15AFF">
            <w:r w:rsidRPr="006F4702">
              <w:t>The unit is a fluidized bed designed to burn biomass/bio-based solid</w:t>
            </w:r>
          </w:p>
        </w:tc>
      </w:tr>
      <w:tr w:rsidR="00C15AFF" w14:paraId="5C30ECBA" w14:textId="77777777" w:rsidTr="00ED0841">
        <w:trPr>
          <w:cantSplit/>
          <w:tblHeader/>
        </w:trPr>
        <w:tc>
          <w:tcPr>
            <w:tcW w:w="1530" w:type="dxa"/>
          </w:tcPr>
          <w:p w14:paraId="02A98D46" w14:textId="6E12BDAC" w:rsidR="00C15AFF" w:rsidRDefault="00C15AFF" w:rsidP="00C15AFF">
            <w:r w:rsidRPr="006F4702">
              <w:t>7499(F)</w:t>
            </w:r>
          </w:p>
        </w:tc>
        <w:tc>
          <w:tcPr>
            <w:tcW w:w="8550" w:type="dxa"/>
          </w:tcPr>
          <w:p w14:paraId="3D9D7226" w14:textId="6003650C" w:rsidR="00C15AFF" w:rsidRDefault="00C15AFF" w:rsidP="00C15AFF">
            <w:r w:rsidRPr="006F4702">
              <w:t>The unit is a suspension burner designed to burn biomass/bio-based solid</w:t>
            </w:r>
          </w:p>
        </w:tc>
      </w:tr>
      <w:tr w:rsidR="00C15AFF" w14:paraId="4C01A420" w14:textId="77777777" w:rsidTr="00ED0841">
        <w:trPr>
          <w:cantSplit/>
          <w:tblHeader/>
        </w:trPr>
        <w:tc>
          <w:tcPr>
            <w:tcW w:w="1530" w:type="dxa"/>
          </w:tcPr>
          <w:p w14:paraId="5BF69301" w14:textId="7D48570C" w:rsidR="00C15AFF" w:rsidRDefault="00C15AFF" w:rsidP="00C15AFF">
            <w:r w:rsidRPr="006F4702">
              <w:t>7499(J)</w:t>
            </w:r>
          </w:p>
        </w:tc>
        <w:tc>
          <w:tcPr>
            <w:tcW w:w="8550" w:type="dxa"/>
          </w:tcPr>
          <w:p w14:paraId="1D727BBC" w14:textId="5B405175" w:rsidR="00C15AFF" w:rsidRDefault="00C15AFF" w:rsidP="00C15AFF">
            <w:r w:rsidRPr="006F4702">
              <w:t>The unit is a Dutch oven/pile burner designed to burn biomass/bio-based solid</w:t>
            </w:r>
          </w:p>
        </w:tc>
      </w:tr>
      <w:tr w:rsidR="00C15AFF" w14:paraId="2AE6FF68" w14:textId="77777777" w:rsidTr="00ED0841">
        <w:trPr>
          <w:cantSplit/>
          <w:tblHeader/>
        </w:trPr>
        <w:tc>
          <w:tcPr>
            <w:tcW w:w="1530" w:type="dxa"/>
          </w:tcPr>
          <w:p w14:paraId="76024EBE" w14:textId="4D81D723" w:rsidR="00C15AFF" w:rsidRDefault="00C15AFF" w:rsidP="00C15AFF">
            <w:r w:rsidRPr="006F4702">
              <w:t>7499(G)</w:t>
            </w:r>
          </w:p>
        </w:tc>
        <w:tc>
          <w:tcPr>
            <w:tcW w:w="8550" w:type="dxa"/>
          </w:tcPr>
          <w:p w14:paraId="5193B72C" w14:textId="09272732" w:rsidR="00C15AFF" w:rsidRDefault="00C15AFF" w:rsidP="00C15AFF">
            <w:r w:rsidRPr="006F4702">
              <w:t>The unit is a fuel cell designed to burn biomass/bio-based solid</w:t>
            </w:r>
          </w:p>
        </w:tc>
      </w:tr>
      <w:tr w:rsidR="00C15AFF" w14:paraId="5D8B6615" w14:textId="77777777" w:rsidTr="00ED0841">
        <w:trPr>
          <w:cantSplit/>
          <w:tblHeader/>
        </w:trPr>
        <w:tc>
          <w:tcPr>
            <w:tcW w:w="1530" w:type="dxa"/>
          </w:tcPr>
          <w:p w14:paraId="7AE10C40" w14:textId="3E175599" w:rsidR="00C15AFF" w:rsidRDefault="00C15AFF" w:rsidP="00C15AFF">
            <w:r w:rsidRPr="006F4702">
              <w:t>7499(H)</w:t>
            </w:r>
          </w:p>
        </w:tc>
        <w:tc>
          <w:tcPr>
            <w:tcW w:w="8550" w:type="dxa"/>
          </w:tcPr>
          <w:p w14:paraId="269FDA6E" w14:textId="203B9D69" w:rsidR="00C15AFF" w:rsidRDefault="00C15AFF" w:rsidP="00C15AFF">
            <w:r w:rsidRPr="006F4702">
              <w:t>The unit is a hybrid suspension/grate burner designed to burn wet biomass/bio-based solid</w:t>
            </w:r>
          </w:p>
        </w:tc>
      </w:tr>
    </w:tbl>
    <w:p w14:paraId="7E21DA75" w14:textId="77777777" w:rsidR="00210AC3" w:rsidRDefault="00210AC3" w:rsidP="00ED0841">
      <w:pPr>
        <w:pStyle w:val="APDStrong"/>
        <w:spacing w:before="120"/>
        <w:sectPr w:rsidR="00210AC3" w:rsidSect="0031268E">
          <w:pgSz w:w="12240" w:h="15840" w:code="1"/>
          <w:pgMar w:top="720" w:right="720" w:bottom="720" w:left="720" w:header="720" w:footer="720" w:gutter="0"/>
          <w:cols w:space="720"/>
          <w:titlePg/>
          <w:docGrid w:linePitch="360"/>
        </w:sectPr>
      </w:pPr>
    </w:p>
    <w:p w14:paraId="2E46F230" w14:textId="77777777" w:rsidR="00CE490C" w:rsidRPr="00A70943" w:rsidRDefault="00CE490C" w:rsidP="00ED0841">
      <w:pPr>
        <w:pStyle w:val="APDStrong"/>
        <w:spacing w:before="120"/>
      </w:pPr>
      <w:r w:rsidRPr="00A70943">
        <w:lastRenderedPageBreak/>
        <w:t>PM/TSM Emission:</w:t>
      </w:r>
    </w:p>
    <w:p w14:paraId="72C5EADC" w14:textId="77777777" w:rsidR="00CE490C" w:rsidRDefault="00CE490C" w:rsidP="00CD1010">
      <w:pPr>
        <w:pStyle w:val="APDBodyText"/>
      </w:pPr>
      <w:r w:rsidRPr="00CD1010">
        <w:t>Select one of the following particulate matter or total selected metals emission limit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A81805" w14:paraId="2A0B180F" w14:textId="77777777" w:rsidTr="00A81805">
        <w:tc>
          <w:tcPr>
            <w:tcW w:w="1530" w:type="dxa"/>
          </w:tcPr>
          <w:p w14:paraId="734EA2EE" w14:textId="32544982" w:rsidR="00A81805" w:rsidRPr="00A81805" w:rsidRDefault="00A81805" w:rsidP="00A81805">
            <w:pPr>
              <w:rPr>
                <w:b/>
                <w:bCs/>
              </w:rPr>
            </w:pPr>
            <w:r w:rsidRPr="00A81805">
              <w:rPr>
                <w:b/>
                <w:bCs/>
              </w:rPr>
              <w:t>Code</w:t>
            </w:r>
          </w:p>
        </w:tc>
        <w:tc>
          <w:tcPr>
            <w:tcW w:w="8550" w:type="dxa"/>
          </w:tcPr>
          <w:p w14:paraId="2ACD88F0" w14:textId="6694CC34" w:rsidR="00A81805" w:rsidRPr="00A81805" w:rsidRDefault="00A81805" w:rsidP="00A81805">
            <w:pPr>
              <w:rPr>
                <w:b/>
                <w:bCs/>
              </w:rPr>
            </w:pPr>
            <w:r w:rsidRPr="00A81805">
              <w:rPr>
                <w:b/>
                <w:bCs/>
              </w:rPr>
              <w:t>Description</w:t>
            </w:r>
          </w:p>
        </w:tc>
      </w:tr>
      <w:tr w:rsidR="00A81805" w14:paraId="168DF786" w14:textId="77777777" w:rsidTr="00A81805">
        <w:tc>
          <w:tcPr>
            <w:tcW w:w="1530" w:type="dxa"/>
          </w:tcPr>
          <w:p w14:paraId="06A6CC1F" w14:textId="756AC7C5" w:rsidR="00A81805" w:rsidRDefault="00A81805" w:rsidP="00A81805">
            <w:r w:rsidRPr="00133907">
              <w:t>BTU-PM</w:t>
            </w:r>
          </w:p>
        </w:tc>
        <w:tc>
          <w:tcPr>
            <w:tcW w:w="8550" w:type="dxa"/>
          </w:tcPr>
          <w:p w14:paraId="47F17E7A" w14:textId="1C7ECB74" w:rsidR="00A81805" w:rsidRDefault="00A81805" w:rsidP="00A81805">
            <w:r w:rsidRPr="00133907">
              <w:t>Emission limits for PM in pounds per MMBtu heat input</w:t>
            </w:r>
          </w:p>
        </w:tc>
      </w:tr>
      <w:tr w:rsidR="00A81805" w14:paraId="0E3A05F9" w14:textId="77777777" w:rsidTr="00A81805">
        <w:tc>
          <w:tcPr>
            <w:tcW w:w="1530" w:type="dxa"/>
          </w:tcPr>
          <w:p w14:paraId="5F5D840E" w14:textId="474FD06C" w:rsidR="00A81805" w:rsidRDefault="00A81805" w:rsidP="00A81805">
            <w:r w:rsidRPr="00133907">
              <w:t>BTU-TSM</w:t>
            </w:r>
          </w:p>
        </w:tc>
        <w:tc>
          <w:tcPr>
            <w:tcW w:w="8550" w:type="dxa"/>
          </w:tcPr>
          <w:p w14:paraId="219FE5A7" w14:textId="5BFB8A50" w:rsidR="00A81805" w:rsidRDefault="00A81805" w:rsidP="00A81805">
            <w:r w:rsidRPr="00133907">
              <w:t>Emission limits for TSM in pounds per MMBtu heat input</w:t>
            </w:r>
          </w:p>
        </w:tc>
      </w:tr>
      <w:tr w:rsidR="00A81805" w14:paraId="053AE3EB" w14:textId="77777777" w:rsidTr="00A81805">
        <w:tc>
          <w:tcPr>
            <w:tcW w:w="1530" w:type="dxa"/>
          </w:tcPr>
          <w:p w14:paraId="6303CDD0" w14:textId="5BF5F90D" w:rsidR="00A81805" w:rsidRDefault="00A81805" w:rsidP="00A81805">
            <w:r w:rsidRPr="00133907">
              <w:t>STM-PM</w:t>
            </w:r>
          </w:p>
        </w:tc>
        <w:tc>
          <w:tcPr>
            <w:tcW w:w="8550" w:type="dxa"/>
          </w:tcPr>
          <w:p w14:paraId="23FB92C9" w14:textId="06604756" w:rsidR="00A81805" w:rsidRDefault="00A81805" w:rsidP="00A81805">
            <w:r w:rsidRPr="00133907">
              <w:t xml:space="preserve">Emission limits for PM in pounds per MMBtu steam output (for steam generating units only) </w:t>
            </w:r>
          </w:p>
        </w:tc>
      </w:tr>
      <w:tr w:rsidR="00A81805" w14:paraId="63C6C627" w14:textId="77777777" w:rsidTr="00A81805">
        <w:tc>
          <w:tcPr>
            <w:tcW w:w="1530" w:type="dxa"/>
          </w:tcPr>
          <w:p w14:paraId="3F465901" w14:textId="369D5907" w:rsidR="00A81805" w:rsidRDefault="00A81805" w:rsidP="00A81805">
            <w:r w:rsidRPr="00133907">
              <w:t>STM-TSM</w:t>
            </w:r>
          </w:p>
        </w:tc>
        <w:tc>
          <w:tcPr>
            <w:tcW w:w="8550" w:type="dxa"/>
          </w:tcPr>
          <w:p w14:paraId="08D162C5" w14:textId="4D6D3084" w:rsidR="00A81805" w:rsidRDefault="00A81805" w:rsidP="00A81805">
            <w:r w:rsidRPr="00133907">
              <w:t>Emission limits for TSM in pounds per MMBtu steam output (for steam generating units only)</w:t>
            </w:r>
          </w:p>
        </w:tc>
      </w:tr>
      <w:tr w:rsidR="00A81805" w14:paraId="5CBB0FF0" w14:textId="77777777" w:rsidTr="00A81805">
        <w:tc>
          <w:tcPr>
            <w:tcW w:w="1530" w:type="dxa"/>
          </w:tcPr>
          <w:p w14:paraId="5BACB4E9" w14:textId="70EB2306" w:rsidR="00A81805" w:rsidRDefault="00A81805" w:rsidP="00A81805">
            <w:r w:rsidRPr="00133907">
              <w:t>MWH-PM</w:t>
            </w:r>
          </w:p>
        </w:tc>
        <w:tc>
          <w:tcPr>
            <w:tcW w:w="8550" w:type="dxa"/>
          </w:tcPr>
          <w:p w14:paraId="0BA53A52" w14:textId="07AB8CAD" w:rsidR="00A81805" w:rsidRDefault="00A81805" w:rsidP="00A81805">
            <w:r w:rsidRPr="00133907">
              <w:t xml:space="preserve">Emission limits for PM in pounds per MWh power output (for boilers that generate electricity only) </w:t>
            </w:r>
          </w:p>
        </w:tc>
      </w:tr>
      <w:tr w:rsidR="00A81805" w14:paraId="2C7C79C1" w14:textId="77777777" w:rsidTr="00A81805">
        <w:tc>
          <w:tcPr>
            <w:tcW w:w="1530" w:type="dxa"/>
          </w:tcPr>
          <w:p w14:paraId="0F5F5437" w14:textId="5B40871D" w:rsidR="00A81805" w:rsidRDefault="00A81805" w:rsidP="00A81805">
            <w:r w:rsidRPr="00133907">
              <w:t>MWH-TSM</w:t>
            </w:r>
          </w:p>
        </w:tc>
        <w:tc>
          <w:tcPr>
            <w:tcW w:w="8550" w:type="dxa"/>
          </w:tcPr>
          <w:p w14:paraId="572E7648" w14:textId="558C3B33" w:rsidR="00A81805" w:rsidRDefault="00A81805" w:rsidP="00A81805">
            <w:r w:rsidRPr="00133907">
              <w:t>Emission limits for TSM in pounds per MWh power output (for boilers that generate electricity only)</w:t>
            </w:r>
          </w:p>
        </w:tc>
      </w:tr>
    </w:tbl>
    <w:p w14:paraId="40F788B3" w14:textId="6456E5F1" w:rsidR="00CE490C" w:rsidRPr="00637A19" w:rsidRDefault="00CE490C" w:rsidP="00FD7888">
      <w:pPr>
        <w:pStyle w:val="APDContinueTriangle"/>
      </w:pPr>
      <w:r w:rsidRPr="00637A19">
        <w:t>Continue on Table 14d only if “PM/TSM-Emission” is “BTU-TSM”, “STM-TSM”, or “MWH-TSM.” If “PM/TSM Emission” is “BTU-PM</w:t>
      </w:r>
      <w:r w:rsidR="00CF4181" w:rsidRPr="00637A19">
        <w:t>,”</w:t>
      </w:r>
      <w:r w:rsidRPr="00637A19">
        <w:t xml:space="preserve"> “STM-PM</w:t>
      </w:r>
      <w:r w:rsidR="00CF4181" w:rsidRPr="00637A19">
        <w:t>,”</w:t>
      </w:r>
      <w:r w:rsidRPr="00637A19">
        <w:t xml:space="preserve"> or “MWH-PM</w:t>
      </w:r>
      <w:r w:rsidR="00CF4181" w:rsidRPr="00637A19">
        <w:t>,”</w:t>
      </w:r>
      <w:r w:rsidRPr="00637A19">
        <w:t xml:space="preserve"> skip to Table 14e.</w:t>
      </w:r>
    </w:p>
    <w:p w14:paraId="155A4067" w14:textId="77777777" w:rsidR="00CE490C" w:rsidRPr="00A70943" w:rsidRDefault="00CE490C" w:rsidP="00A70943">
      <w:pPr>
        <w:pStyle w:val="APDStrong"/>
      </w:pPr>
      <w:r w:rsidRPr="00A70943">
        <w:t>TSM-CMS:</w:t>
      </w:r>
    </w:p>
    <w:p w14:paraId="42656464" w14:textId="33319D9D" w:rsidR="00CE490C" w:rsidRDefault="00CE490C" w:rsidP="00CD1010">
      <w:pPr>
        <w:pStyle w:val="APDBodyText"/>
      </w:pPr>
      <w:r w:rsidRPr="00CD1010">
        <w:t>Select one of the following continuous monitoring system (CMS)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C238F" w14:paraId="3B10E280" w14:textId="77777777" w:rsidTr="008F02AD">
        <w:trPr>
          <w:cantSplit/>
          <w:tblHeader/>
        </w:trPr>
        <w:tc>
          <w:tcPr>
            <w:tcW w:w="1530" w:type="dxa"/>
          </w:tcPr>
          <w:p w14:paraId="49EC02B7" w14:textId="03D07AE1" w:rsidR="00AC238F" w:rsidRPr="00AC238F" w:rsidRDefault="00AC238F" w:rsidP="00AC238F">
            <w:pPr>
              <w:rPr>
                <w:b/>
                <w:bCs/>
              </w:rPr>
            </w:pPr>
            <w:r w:rsidRPr="00AC238F">
              <w:rPr>
                <w:b/>
                <w:bCs/>
              </w:rPr>
              <w:t>Code</w:t>
            </w:r>
          </w:p>
        </w:tc>
        <w:tc>
          <w:tcPr>
            <w:tcW w:w="8550" w:type="dxa"/>
          </w:tcPr>
          <w:p w14:paraId="7E310EC7" w14:textId="7006C335" w:rsidR="00AC238F" w:rsidRPr="00AC238F" w:rsidRDefault="00AC238F" w:rsidP="00AC238F">
            <w:pPr>
              <w:rPr>
                <w:b/>
                <w:bCs/>
              </w:rPr>
            </w:pPr>
            <w:r w:rsidRPr="00AC238F">
              <w:rPr>
                <w:b/>
                <w:bCs/>
              </w:rPr>
              <w:t>Description</w:t>
            </w:r>
          </w:p>
        </w:tc>
      </w:tr>
      <w:tr w:rsidR="00AC238F" w14:paraId="2E3F57C0" w14:textId="77777777" w:rsidTr="008F02AD">
        <w:trPr>
          <w:cantSplit/>
          <w:tblHeader/>
        </w:trPr>
        <w:tc>
          <w:tcPr>
            <w:tcW w:w="1530" w:type="dxa"/>
          </w:tcPr>
          <w:p w14:paraId="11CE2C3C" w14:textId="4E7BAE4E" w:rsidR="00AC238F" w:rsidRDefault="00AC238F" w:rsidP="00AC238F">
            <w:r w:rsidRPr="00B92B51">
              <w:t>TSMCEMS</w:t>
            </w:r>
          </w:p>
        </w:tc>
        <w:tc>
          <w:tcPr>
            <w:tcW w:w="8550" w:type="dxa"/>
          </w:tcPr>
          <w:p w14:paraId="2D83A435" w14:textId="79DACF75" w:rsidR="00AC238F" w:rsidRDefault="00AC238F" w:rsidP="00AC238F">
            <w:r w:rsidRPr="00B92B51">
              <w:t>TSM CEMS is used</w:t>
            </w:r>
          </w:p>
        </w:tc>
      </w:tr>
      <w:tr w:rsidR="00AC238F" w14:paraId="7D462332" w14:textId="77777777" w:rsidTr="008F02AD">
        <w:trPr>
          <w:cantSplit/>
          <w:tblHeader/>
        </w:trPr>
        <w:tc>
          <w:tcPr>
            <w:tcW w:w="1530" w:type="dxa"/>
          </w:tcPr>
          <w:p w14:paraId="4F163A10" w14:textId="5A55B5A3" w:rsidR="00AC238F" w:rsidRDefault="00AC238F" w:rsidP="00AC238F">
            <w:r w:rsidRPr="00B92B51">
              <w:t>TSMCMS</w:t>
            </w:r>
          </w:p>
        </w:tc>
        <w:tc>
          <w:tcPr>
            <w:tcW w:w="8550" w:type="dxa"/>
          </w:tcPr>
          <w:p w14:paraId="22BE656F" w14:textId="25260B0E" w:rsidR="00AC238F" w:rsidRDefault="00AC238F" w:rsidP="00AC238F">
            <w:r w:rsidRPr="00B92B51">
              <w:t>TSM CMS other than a TSM CEMS is used</w:t>
            </w:r>
          </w:p>
        </w:tc>
      </w:tr>
      <w:tr w:rsidR="00AC238F" w14:paraId="16D02253" w14:textId="77777777" w:rsidTr="008F02AD">
        <w:trPr>
          <w:cantSplit/>
          <w:tblHeader/>
        </w:trPr>
        <w:tc>
          <w:tcPr>
            <w:tcW w:w="1530" w:type="dxa"/>
          </w:tcPr>
          <w:p w14:paraId="06C12722" w14:textId="3F82CD96" w:rsidR="00AC238F" w:rsidRDefault="00AC238F" w:rsidP="00AC238F">
            <w:r w:rsidRPr="00B92B51">
              <w:t>NONE</w:t>
            </w:r>
          </w:p>
        </w:tc>
        <w:tc>
          <w:tcPr>
            <w:tcW w:w="8550" w:type="dxa"/>
          </w:tcPr>
          <w:p w14:paraId="3B070178" w14:textId="1815C17F" w:rsidR="00AC238F" w:rsidRDefault="00AC238F" w:rsidP="00AC238F">
            <w:r w:rsidRPr="00B92B51">
              <w:t>CMS is not being used</w:t>
            </w:r>
          </w:p>
        </w:tc>
      </w:tr>
    </w:tbl>
    <w:p w14:paraId="6BD216D0" w14:textId="77777777" w:rsidR="003074F0" w:rsidRDefault="00CE490C" w:rsidP="008B201F">
      <w:pPr>
        <w:numPr>
          <w:ilvl w:val="0"/>
          <w:numId w:val="47"/>
        </w:numPr>
        <w:tabs>
          <w:tab w:val="left" w:pos="547"/>
        </w:tabs>
        <w:spacing w:after="120"/>
        <w:ind w:left="547" w:hanging="547"/>
        <w:rPr>
          <w:b/>
        </w:rPr>
      </w:pPr>
      <w:r w:rsidRPr="00637A19">
        <w:rPr>
          <w:rStyle w:val="APDContinueTriangleChar"/>
        </w:rPr>
        <w:t>Continue on Table 14d only if “TSM-CMS” is “NONE”. If “TSM-CMS” is “TSMCEMS” or “TSMCMS</w:t>
      </w:r>
      <w:r w:rsidR="00F90D6F" w:rsidRPr="00637A19">
        <w:rPr>
          <w:rStyle w:val="APDContinueTriangleChar"/>
        </w:rPr>
        <w:t>,”</w:t>
      </w:r>
      <w:r w:rsidRPr="00637A19">
        <w:rPr>
          <w:rStyle w:val="APDContinueTriangleChar"/>
        </w:rPr>
        <w:t xml:space="preserve"> skip to Table 14e</w:t>
      </w:r>
      <w:r>
        <w:rPr>
          <w:b/>
        </w:rPr>
        <w:t>.</w:t>
      </w:r>
    </w:p>
    <w:p w14:paraId="5A11AA0A" w14:textId="55F8C3BD" w:rsidR="00CE490C" w:rsidRPr="00DC5151" w:rsidRDefault="00CE490C" w:rsidP="00DC5151">
      <w:pPr>
        <w:pStyle w:val="APDStrong"/>
      </w:pPr>
      <w:r w:rsidRPr="00DC5151">
        <w:t>TSM-Test:</w:t>
      </w:r>
    </w:p>
    <w:p w14:paraId="72B52655" w14:textId="77777777" w:rsidR="00CE490C" w:rsidRDefault="00CE490C" w:rsidP="003E56CE">
      <w:pPr>
        <w:pStyle w:val="APDBodyText"/>
      </w:pPr>
      <w:r w:rsidRPr="003E56CE">
        <w:t>Select one of the following TSM performance test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iptions"/>
      </w:tblPr>
      <w:tblGrid>
        <w:gridCol w:w="1530"/>
        <w:gridCol w:w="8550"/>
      </w:tblGrid>
      <w:tr w:rsidR="00E15CF7" w14:paraId="0B0C72C7" w14:textId="77777777" w:rsidTr="00427FA2">
        <w:trPr>
          <w:cantSplit/>
          <w:tblHeader/>
        </w:trPr>
        <w:tc>
          <w:tcPr>
            <w:tcW w:w="1530" w:type="dxa"/>
          </w:tcPr>
          <w:p w14:paraId="52627C50" w14:textId="788682B7" w:rsidR="00E15CF7" w:rsidRPr="00A04189" w:rsidRDefault="00E15CF7" w:rsidP="00E15CF7">
            <w:pPr>
              <w:rPr>
                <w:b/>
                <w:bCs/>
              </w:rPr>
            </w:pPr>
            <w:r w:rsidRPr="00A04189">
              <w:rPr>
                <w:b/>
                <w:bCs/>
              </w:rPr>
              <w:t>Code</w:t>
            </w:r>
          </w:p>
        </w:tc>
        <w:tc>
          <w:tcPr>
            <w:tcW w:w="8550" w:type="dxa"/>
          </w:tcPr>
          <w:p w14:paraId="2747DD95" w14:textId="5B519885" w:rsidR="00E15CF7" w:rsidRPr="00A04189" w:rsidRDefault="00E15CF7" w:rsidP="00E15CF7">
            <w:pPr>
              <w:rPr>
                <w:b/>
                <w:bCs/>
              </w:rPr>
            </w:pPr>
            <w:r w:rsidRPr="00A04189">
              <w:rPr>
                <w:b/>
                <w:bCs/>
              </w:rPr>
              <w:t>Description</w:t>
            </w:r>
          </w:p>
        </w:tc>
      </w:tr>
      <w:tr w:rsidR="00E15CF7" w14:paraId="4013C32A" w14:textId="77777777" w:rsidTr="00427FA2">
        <w:trPr>
          <w:cantSplit/>
          <w:tblHeader/>
        </w:trPr>
        <w:tc>
          <w:tcPr>
            <w:tcW w:w="1530" w:type="dxa"/>
          </w:tcPr>
          <w:p w14:paraId="779BE101" w14:textId="645511D6" w:rsidR="00E15CF7" w:rsidRDefault="00E15CF7" w:rsidP="00E15CF7">
            <w:r w:rsidRPr="00CF36F1">
              <w:t>PT</w:t>
            </w:r>
          </w:p>
        </w:tc>
        <w:tc>
          <w:tcPr>
            <w:tcW w:w="8550" w:type="dxa"/>
          </w:tcPr>
          <w:p w14:paraId="3213E3B7" w14:textId="2E9A31AF" w:rsidR="00E15CF7" w:rsidRDefault="00E15CF7" w:rsidP="00E15CF7">
            <w:r w:rsidRPr="00CF36F1">
              <w:t>Compliance is demonstrated by conducting a performance test for TSM</w:t>
            </w:r>
          </w:p>
        </w:tc>
      </w:tr>
      <w:tr w:rsidR="00E15CF7" w14:paraId="664E6E04" w14:textId="77777777" w:rsidTr="00427FA2">
        <w:trPr>
          <w:cantSplit/>
          <w:tblHeader/>
        </w:trPr>
        <w:tc>
          <w:tcPr>
            <w:tcW w:w="1530" w:type="dxa"/>
          </w:tcPr>
          <w:p w14:paraId="5132FA5F" w14:textId="6C70D279" w:rsidR="00E15CF7" w:rsidRDefault="00E15CF7" w:rsidP="00E15CF7">
            <w:r w:rsidRPr="00CF36F1">
              <w:t>NPT</w:t>
            </w:r>
          </w:p>
        </w:tc>
        <w:tc>
          <w:tcPr>
            <w:tcW w:w="8550" w:type="dxa"/>
          </w:tcPr>
          <w:p w14:paraId="2BBBFFBB" w14:textId="3F476C3C" w:rsidR="00E15CF7" w:rsidRDefault="00E15CF7" w:rsidP="00E15CF7">
            <w:r w:rsidRPr="00CF36F1">
              <w:t>A performance test is not being used</w:t>
            </w:r>
          </w:p>
        </w:tc>
      </w:tr>
    </w:tbl>
    <w:p w14:paraId="51A0889C" w14:textId="7BB331A3" w:rsidR="00CE490C" w:rsidRPr="00DC5151" w:rsidRDefault="00CE490C" w:rsidP="0005649E">
      <w:pPr>
        <w:pStyle w:val="APDStrong"/>
        <w:spacing w:before="120"/>
      </w:pPr>
      <w:r w:rsidRPr="00DC5151">
        <w:t>TSM-FA</w:t>
      </w:r>
      <w:r w:rsidR="00F90D6F" w:rsidRPr="00DC5151">
        <w:t>:</w:t>
      </w:r>
    </w:p>
    <w:p w14:paraId="16A59A92" w14:textId="77777777" w:rsidR="00CE490C" w:rsidRDefault="00CE490C" w:rsidP="003E56CE">
      <w:pPr>
        <w:pStyle w:val="APDBodyText"/>
      </w:pPr>
      <w:r w:rsidRPr="003E56CE">
        <w:t>Select one of the following TSM fuel analysis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04189" w14:paraId="19731C4F" w14:textId="77777777" w:rsidTr="00A04189">
        <w:trPr>
          <w:cantSplit/>
          <w:tblHeader/>
        </w:trPr>
        <w:tc>
          <w:tcPr>
            <w:tcW w:w="1530" w:type="dxa"/>
          </w:tcPr>
          <w:p w14:paraId="0DC7D00B" w14:textId="0C245EEF" w:rsidR="00A04189" w:rsidRPr="00A04189" w:rsidRDefault="00A04189" w:rsidP="00A04189">
            <w:pPr>
              <w:rPr>
                <w:b/>
                <w:bCs/>
              </w:rPr>
            </w:pPr>
            <w:r w:rsidRPr="00A04189">
              <w:rPr>
                <w:b/>
                <w:bCs/>
              </w:rPr>
              <w:t>Code</w:t>
            </w:r>
          </w:p>
        </w:tc>
        <w:tc>
          <w:tcPr>
            <w:tcW w:w="8550" w:type="dxa"/>
          </w:tcPr>
          <w:p w14:paraId="4584F9E2" w14:textId="6A5A9EE9" w:rsidR="00A04189" w:rsidRPr="00A04189" w:rsidRDefault="00A04189" w:rsidP="00A04189">
            <w:pPr>
              <w:rPr>
                <w:b/>
                <w:bCs/>
              </w:rPr>
            </w:pPr>
            <w:r w:rsidRPr="00A04189">
              <w:rPr>
                <w:b/>
                <w:bCs/>
              </w:rPr>
              <w:t>Description</w:t>
            </w:r>
          </w:p>
        </w:tc>
      </w:tr>
      <w:tr w:rsidR="00A04189" w14:paraId="4AFED75E" w14:textId="77777777" w:rsidTr="00A04189">
        <w:trPr>
          <w:cantSplit/>
          <w:tblHeader/>
        </w:trPr>
        <w:tc>
          <w:tcPr>
            <w:tcW w:w="1530" w:type="dxa"/>
          </w:tcPr>
          <w:p w14:paraId="7011C7EE" w14:textId="318F314E" w:rsidR="00A04189" w:rsidRDefault="00A04189" w:rsidP="00A04189">
            <w:r w:rsidRPr="00957931">
              <w:t>FA</w:t>
            </w:r>
          </w:p>
        </w:tc>
        <w:tc>
          <w:tcPr>
            <w:tcW w:w="8550" w:type="dxa"/>
          </w:tcPr>
          <w:p w14:paraId="752FEF5E" w14:textId="5D633CF3" w:rsidR="00A04189" w:rsidRDefault="00A04189" w:rsidP="00A04189">
            <w:r w:rsidRPr="00957931">
              <w:t>Compliance is demonstrated by conducting fuel analysis for TSM</w:t>
            </w:r>
          </w:p>
        </w:tc>
      </w:tr>
      <w:tr w:rsidR="00A04189" w14:paraId="575F5395" w14:textId="77777777" w:rsidTr="00A04189">
        <w:trPr>
          <w:cantSplit/>
          <w:tblHeader/>
        </w:trPr>
        <w:tc>
          <w:tcPr>
            <w:tcW w:w="1530" w:type="dxa"/>
          </w:tcPr>
          <w:p w14:paraId="2D99127B" w14:textId="43261849" w:rsidR="00A04189" w:rsidRDefault="00A04189" w:rsidP="00A04189">
            <w:r w:rsidRPr="00957931">
              <w:t>NFA</w:t>
            </w:r>
          </w:p>
        </w:tc>
        <w:tc>
          <w:tcPr>
            <w:tcW w:w="8550" w:type="dxa"/>
          </w:tcPr>
          <w:p w14:paraId="6466D0A6" w14:textId="277E727A" w:rsidR="00A04189" w:rsidRDefault="00A04189" w:rsidP="00A04189">
            <w:r w:rsidRPr="00957931">
              <w:t>Fuel analysis is not being used</w:t>
            </w:r>
          </w:p>
        </w:tc>
      </w:tr>
    </w:tbl>
    <w:p w14:paraId="6D934E51" w14:textId="77777777" w:rsidR="00BC6A5B" w:rsidRDefault="00BC6A5B" w:rsidP="00CE490C">
      <w:pPr>
        <w:pBdr>
          <w:bottom w:val="double" w:sz="4" w:space="1" w:color="auto"/>
        </w:pBdr>
        <w:sectPr w:rsidR="00BC6A5B" w:rsidSect="0031268E">
          <w:pgSz w:w="12240" w:h="15840" w:code="1"/>
          <w:pgMar w:top="720" w:right="720" w:bottom="720" w:left="720" w:header="720" w:footer="720" w:gutter="0"/>
          <w:cols w:space="720"/>
          <w:titlePg/>
          <w:docGrid w:linePitch="360"/>
        </w:sectPr>
      </w:pPr>
    </w:p>
    <w:p w14:paraId="5181C6AA" w14:textId="77777777" w:rsidR="00CE490C" w:rsidRPr="00EF0801" w:rsidRDefault="00CE490C" w:rsidP="00CE490C">
      <w:pPr>
        <w:pBdr>
          <w:bottom w:val="double" w:sz="4" w:space="1" w:color="auto"/>
        </w:pBdr>
      </w:pPr>
    </w:p>
    <w:p w14:paraId="7AAF554D" w14:textId="6989D200" w:rsidR="00CE490C" w:rsidRPr="00A754D1" w:rsidRDefault="00CE490C" w:rsidP="002C7C54">
      <w:pPr>
        <w:pStyle w:val="APDChapterTitles"/>
        <w:rPr>
          <w:rStyle w:val="APDTableChapterChar"/>
          <w:b/>
          <w:bCs w:val="0"/>
        </w:rPr>
      </w:pPr>
      <w:hyperlink w:anchor="TBL_14e" w:tooltip="Table 14e" w:history="1">
        <w:bookmarkStart w:id="149" w:name="_Toc180398528"/>
        <w:bookmarkStart w:id="150" w:name="_Toc180398582"/>
        <w:r w:rsidRPr="00D26D9C">
          <w:rPr>
            <w:rStyle w:val="Hyperlink"/>
            <w:b/>
            <w:bCs w:val="0"/>
          </w:rPr>
          <w:t>Table 14e</w:t>
        </w:r>
      </w:hyperlink>
      <w:r w:rsidRPr="00D26D9C">
        <w:rPr>
          <w:rStyle w:val="Hyperlink"/>
          <w:b/>
          <w:bCs w:val="0"/>
        </w:rPr>
        <w:t>:</w:t>
      </w:r>
      <w:r w:rsidRPr="00EF0801">
        <w:tab/>
      </w:r>
      <w:r w:rsidRPr="00A754D1">
        <w:rPr>
          <w:rStyle w:val="APDTableChapterChar"/>
          <w:b/>
        </w:rPr>
        <w:t xml:space="preserve">Title 40 Code of Federal Regulations Part 63 (40 CFR Part 63), Subpart DDDDD: </w:t>
      </w:r>
      <w:r w:rsidR="00F15D06" w:rsidRPr="00A754D1">
        <w:rPr>
          <w:rStyle w:val="APDTableChapterChar"/>
          <w:b/>
        </w:rPr>
        <w:t>Industrial, Commercial, and Institutional Boilers</w:t>
      </w:r>
      <w:bookmarkEnd w:id="149"/>
      <w:bookmarkEnd w:id="150"/>
    </w:p>
    <w:p w14:paraId="33685A3E" w14:textId="34E59BEF" w:rsidR="00CE490C" w:rsidRDefault="00CE490C" w:rsidP="00390EE3">
      <w:pPr>
        <w:pStyle w:val="APDCompleteStar"/>
        <w:rPr>
          <w:bCs/>
        </w:rPr>
      </w:pPr>
      <w:r w:rsidRPr="00494396">
        <w:t>Complete this table</w:t>
      </w:r>
      <w:r>
        <w:t xml:space="preserve"> </w:t>
      </w:r>
      <w:r w:rsidRPr="00A11BC9">
        <w:t>only if</w:t>
      </w:r>
      <w:r w:rsidRPr="00A60DB3">
        <w:t xml:space="preserve"> “</w:t>
      </w:r>
      <w:r>
        <w:t xml:space="preserve">PM/TSM Emission” </w:t>
      </w:r>
      <w:r w:rsidRPr="00A60DB3">
        <w:t>is “</w:t>
      </w:r>
      <w:r>
        <w:t>BTU-PM</w:t>
      </w:r>
      <w:r w:rsidR="00CF4181">
        <w:t>,”</w:t>
      </w:r>
      <w:r>
        <w:t xml:space="preserve"> “STM-PM</w:t>
      </w:r>
      <w:r w:rsidR="00CF4181">
        <w:t>,”</w:t>
      </w:r>
      <w:r>
        <w:t xml:space="preserve"> or “MWH-PM.”</w:t>
      </w:r>
    </w:p>
    <w:p w14:paraId="455ACC52" w14:textId="684E7F3B" w:rsidR="00CE490C" w:rsidRPr="00DC5151" w:rsidRDefault="00CE490C" w:rsidP="00DC5151">
      <w:pPr>
        <w:pStyle w:val="APDStrong"/>
      </w:pPr>
      <w:r w:rsidRPr="00DC5151">
        <w:t xml:space="preserve">Unit ID </w:t>
      </w:r>
      <w:r w:rsidR="00B42127">
        <w:t>N</w:t>
      </w:r>
      <w:r w:rsidR="0005593D">
        <w:t>o</w:t>
      </w:r>
      <w:r w:rsidRPr="00DC5151">
        <w:t>.:</w:t>
      </w:r>
    </w:p>
    <w:p w14:paraId="475D50C9" w14:textId="6FF1058C" w:rsidR="00CE490C" w:rsidRPr="003E56CE" w:rsidRDefault="00CE490C" w:rsidP="003E56CE">
      <w:pPr>
        <w:pStyle w:val="APDBodyText"/>
      </w:pPr>
      <w:r w:rsidRPr="003E56CE">
        <w:t xml:space="preserve">Enter the identification number (ID </w:t>
      </w:r>
      <w:r w:rsidR="00B42127">
        <w:t>N</w:t>
      </w:r>
      <w:r w:rsidR="005667BA">
        <w:t>o</w:t>
      </w:r>
      <w:r w:rsidRPr="003E56CE">
        <w:t>.) for the unit (maximum 10 characters) as listed on Form OP SUM (Individual Unit Summary).</w:t>
      </w:r>
    </w:p>
    <w:p w14:paraId="7921183E" w14:textId="46977C99" w:rsidR="00CE490C" w:rsidRPr="00DC5151" w:rsidRDefault="00CE490C" w:rsidP="00DC5151">
      <w:pPr>
        <w:pStyle w:val="APDStrong"/>
      </w:pPr>
      <w:r w:rsidRPr="00DC5151">
        <w:rPr>
          <w:rStyle w:val="APDQuestion"/>
          <w:b/>
        </w:rPr>
        <w:t>SOP/</w:t>
      </w:r>
      <w:r w:rsidRPr="00DC5151">
        <w:t xml:space="preserve">GOP Index </w:t>
      </w:r>
      <w:r w:rsidR="00B42127">
        <w:t>N</w:t>
      </w:r>
      <w:r w:rsidR="0005593D">
        <w:t>o</w:t>
      </w:r>
      <w:r w:rsidRPr="00DC5151">
        <w:t>.:</w:t>
      </w:r>
    </w:p>
    <w:p w14:paraId="05AC002F" w14:textId="573BD8E6" w:rsidR="00CE490C" w:rsidRDefault="00CE490C" w:rsidP="003E56CE">
      <w:pPr>
        <w:pStyle w:val="APDBodyText"/>
      </w:pPr>
      <w:r w:rsidRPr="003E56CE">
        <w:t xml:space="preserve">Site operating permit (SOP) applicants should indicate the SOP index number for the unit or group of units (maximum 15 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w:t>
      </w:r>
      <w:r w:rsidR="00CC2143" w:rsidRPr="003E56CE">
        <w:t>For additional information relating to SOP</w:t>
      </w:r>
      <w:r w:rsidR="00F0293E" w:rsidRPr="003E56CE">
        <w:t xml:space="preserve"> and GOP</w:t>
      </w:r>
      <w:r w:rsidR="00CC2143" w:rsidRPr="003E56CE">
        <w:t xml:space="preserve"> index numbers, please see the Completing FOP Applications – Additional Guidance on the TCEQ website at</w:t>
      </w:r>
      <w:r w:rsidR="00CC2143" w:rsidRPr="00EF0801">
        <w:t xml:space="preserve"> </w:t>
      </w:r>
      <w:hyperlink r:id="rId54" w:tooltip="TCEQ - Completing FOP Applications - Additional Guidance" w:history="1">
        <w:r w:rsidR="00B22BF4" w:rsidRPr="00677F90">
          <w:rPr>
            <w:rStyle w:val="Hyperlink"/>
          </w:rPr>
          <w:t>www.tceq.texas.gov/permitting/air/guidance/titlev/tv_fop_guidance.html</w:t>
        </w:r>
      </w:hyperlink>
      <w:r w:rsidR="00CC2143" w:rsidRPr="00EF0801">
        <w:t>.</w:t>
      </w:r>
    </w:p>
    <w:p w14:paraId="4D54D280" w14:textId="5038351C" w:rsidR="00CE490C" w:rsidRDefault="00CE490C" w:rsidP="00390EE3">
      <w:pPr>
        <w:pStyle w:val="APDCompleteStar"/>
        <w:rPr>
          <w:bCs/>
        </w:rPr>
      </w:pPr>
      <w:r w:rsidRPr="00494396">
        <w:t xml:space="preserve">Complete </w:t>
      </w:r>
      <w:r>
        <w:t xml:space="preserve">“PM-250” </w:t>
      </w:r>
      <w:r w:rsidRPr="00A60DB3">
        <w:t>only if “</w:t>
      </w:r>
      <w:r>
        <w:t>Table Applicability” is “SFF10” or “HLL10</w:t>
      </w:r>
      <w:r w:rsidR="00491AC5">
        <w:t>.</w:t>
      </w:r>
      <w:r>
        <w:t>”</w:t>
      </w:r>
    </w:p>
    <w:p w14:paraId="4A1C5C3B" w14:textId="77777777" w:rsidR="00CE490C" w:rsidRPr="00DC5151" w:rsidRDefault="00CE490C" w:rsidP="00DC5151">
      <w:pPr>
        <w:pStyle w:val="APDStrong"/>
      </w:pPr>
      <w:r w:rsidRPr="00DC5151">
        <w:t>PM-250:</w:t>
      </w:r>
    </w:p>
    <w:p w14:paraId="3D0B1435" w14:textId="77777777" w:rsidR="00CE490C" w:rsidRDefault="00CE490C" w:rsidP="003E56CE">
      <w:pPr>
        <w:pStyle w:val="APDBodyText"/>
      </w:pPr>
      <w:r w:rsidRPr="003E56CE">
        <w:t>Select one of the following options for the average annual heat input.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7B65FE" w14:paraId="170ECE2C" w14:textId="77777777" w:rsidTr="007B65FE">
        <w:tc>
          <w:tcPr>
            <w:tcW w:w="1530" w:type="dxa"/>
          </w:tcPr>
          <w:p w14:paraId="6B42395E" w14:textId="4E9C36F3" w:rsidR="007B65FE" w:rsidRPr="007B65FE" w:rsidRDefault="007B65FE" w:rsidP="007B65FE">
            <w:pPr>
              <w:rPr>
                <w:b/>
                <w:bCs/>
              </w:rPr>
            </w:pPr>
            <w:r w:rsidRPr="007B65FE">
              <w:rPr>
                <w:b/>
                <w:bCs/>
              </w:rPr>
              <w:t>Code</w:t>
            </w:r>
          </w:p>
        </w:tc>
        <w:tc>
          <w:tcPr>
            <w:tcW w:w="8550" w:type="dxa"/>
          </w:tcPr>
          <w:p w14:paraId="669FAF23" w14:textId="59F4DF0B" w:rsidR="007B65FE" w:rsidRPr="007B65FE" w:rsidRDefault="007B65FE" w:rsidP="007B65FE">
            <w:pPr>
              <w:rPr>
                <w:b/>
                <w:bCs/>
              </w:rPr>
            </w:pPr>
            <w:r w:rsidRPr="007B65FE">
              <w:rPr>
                <w:b/>
                <w:bCs/>
              </w:rPr>
              <w:t>Description</w:t>
            </w:r>
          </w:p>
        </w:tc>
      </w:tr>
      <w:tr w:rsidR="007B65FE" w14:paraId="4140430D" w14:textId="77777777" w:rsidTr="007B65FE">
        <w:tc>
          <w:tcPr>
            <w:tcW w:w="1530" w:type="dxa"/>
          </w:tcPr>
          <w:p w14:paraId="2E083C83" w14:textId="221D8FE0" w:rsidR="007B65FE" w:rsidRDefault="007B65FE" w:rsidP="007B65FE">
            <w:r w:rsidRPr="007E2BF7">
              <w:t>250+</w:t>
            </w:r>
          </w:p>
        </w:tc>
        <w:tc>
          <w:tcPr>
            <w:tcW w:w="8550" w:type="dxa"/>
          </w:tcPr>
          <w:p w14:paraId="0D062EDB" w14:textId="632546E9" w:rsidR="007B65FE" w:rsidRDefault="007B65FE" w:rsidP="007B65FE">
            <w:r w:rsidRPr="007E2BF7">
              <w:t>Average annual heat input rate is greater than 250 MMBtu per hour from solid fossil fuel and/or heavy liquid fuel</w:t>
            </w:r>
          </w:p>
        </w:tc>
      </w:tr>
      <w:tr w:rsidR="007B65FE" w14:paraId="3FDDF079" w14:textId="77777777" w:rsidTr="007B65FE">
        <w:tc>
          <w:tcPr>
            <w:tcW w:w="1530" w:type="dxa"/>
          </w:tcPr>
          <w:p w14:paraId="59592C1A" w14:textId="281E3DE0" w:rsidR="007B65FE" w:rsidRDefault="007B65FE" w:rsidP="007B65FE">
            <w:r w:rsidRPr="007E2BF7">
              <w:t>250-</w:t>
            </w:r>
          </w:p>
        </w:tc>
        <w:tc>
          <w:tcPr>
            <w:tcW w:w="8550" w:type="dxa"/>
          </w:tcPr>
          <w:p w14:paraId="4CFDCE3E" w14:textId="2B387D10" w:rsidR="007B65FE" w:rsidRDefault="007B65FE" w:rsidP="007B65FE">
            <w:r w:rsidRPr="007E2BF7">
              <w:t>Average annual heat input rate is less than or equal to 250 MMBtu per hour from solid fossil fuel and/or heavy liquid fuel</w:t>
            </w:r>
          </w:p>
        </w:tc>
      </w:tr>
    </w:tbl>
    <w:p w14:paraId="28797274" w14:textId="77777777" w:rsidR="00CE490C" w:rsidRPr="00DC5151" w:rsidRDefault="00CE490C" w:rsidP="00525E04">
      <w:pPr>
        <w:pStyle w:val="APDStrong"/>
        <w:spacing w:before="120"/>
      </w:pPr>
      <w:r w:rsidRPr="00DC5151">
        <w:t>PM-CMS:</w:t>
      </w:r>
    </w:p>
    <w:p w14:paraId="56289FFC" w14:textId="77777777" w:rsidR="00CE490C" w:rsidRDefault="00CE490C" w:rsidP="003E56CE">
      <w:pPr>
        <w:pStyle w:val="APDBodyText"/>
      </w:pPr>
      <w:r w:rsidRPr="003E56CE">
        <w:t>Select one of the following continuous monitoring system (CMS)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EB5235" w14:paraId="6F2C81D6" w14:textId="77777777" w:rsidTr="00A42476">
        <w:tc>
          <w:tcPr>
            <w:tcW w:w="1530" w:type="dxa"/>
          </w:tcPr>
          <w:p w14:paraId="7B617FF4" w14:textId="3979926B" w:rsidR="00EB5235" w:rsidRPr="00EB5235" w:rsidRDefault="00EB5235" w:rsidP="00EB5235">
            <w:pPr>
              <w:rPr>
                <w:b/>
                <w:bCs/>
              </w:rPr>
            </w:pPr>
            <w:r w:rsidRPr="00EB5235">
              <w:rPr>
                <w:b/>
                <w:bCs/>
              </w:rPr>
              <w:t>Code</w:t>
            </w:r>
          </w:p>
        </w:tc>
        <w:tc>
          <w:tcPr>
            <w:tcW w:w="8550" w:type="dxa"/>
          </w:tcPr>
          <w:p w14:paraId="66769B31" w14:textId="07F2E898" w:rsidR="00EB5235" w:rsidRPr="00EB5235" w:rsidRDefault="00EB5235" w:rsidP="00EB5235">
            <w:pPr>
              <w:rPr>
                <w:b/>
                <w:bCs/>
              </w:rPr>
            </w:pPr>
            <w:r w:rsidRPr="00EB5235">
              <w:rPr>
                <w:b/>
                <w:bCs/>
              </w:rPr>
              <w:t>Description</w:t>
            </w:r>
          </w:p>
        </w:tc>
      </w:tr>
      <w:tr w:rsidR="00EB5235" w14:paraId="3282A1CA" w14:textId="77777777" w:rsidTr="00A42476">
        <w:tc>
          <w:tcPr>
            <w:tcW w:w="1530" w:type="dxa"/>
          </w:tcPr>
          <w:p w14:paraId="197DE32F" w14:textId="0CD1BAE8" w:rsidR="00EB5235" w:rsidRDefault="00EB5235" w:rsidP="00EB5235">
            <w:r w:rsidRPr="00996EEF">
              <w:t>PMCEMS</w:t>
            </w:r>
          </w:p>
        </w:tc>
        <w:tc>
          <w:tcPr>
            <w:tcW w:w="8550" w:type="dxa"/>
          </w:tcPr>
          <w:p w14:paraId="0D81400B" w14:textId="64FC05C9" w:rsidR="00EB5235" w:rsidRDefault="00EB5235" w:rsidP="00EB5235">
            <w:r w:rsidRPr="00996EEF">
              <w:t>PM CEMS is used</w:t>
            </w:r>
          </w:p>
        </w:tc>
      </w:tr>
      <w:tr w:rsidR="00EB5235" w14:paraId="73728978" w14:textId="77777777" w:rsidTr="00A42476">
        <w:tc>
          <w:tcPr>
            <w:tcW w:w="1530" w:type="dxa"/>
          </w:tcPr>
          <w:p w14:paraId="58859A46" w14:textId="3376D001" w:rsidR="00EB5235" w:rsidRDefault="00EB5235" w:rsidP="00EB5235">
            <w:r w:rsidRPr="00996EEF">
              <w:t>PMCMS</w:t>
            </w:r>
          </w:p>
        </w:tc>
        <w:tc>
          <w:tcPr>
            <w:tcW w:w="8550" w:type="dxa"/>
          </w:tcPr>
          <w:p w14:paraId="187C4BBE" w14:textId="701683FD" w:rsidR="00EB5235" w:rsidRDefault="00EB5235" w:rsidP="00EB5235">
            <w:r w:rsidRPr="00996EEF">
              <w:t>PM CMS other than a PM CEMS is used</w:t>
            </w:r>
          </w:p>
        </w:tc>
      </w:tr>
      <w:tr w:rsidR="00EB5235" w14:paraId="3D2865F3" w14:textId="77777777" w:rsidTr="00A42476">
        <w:tc>
          <w:tcPr>
            <w:tcW w:w="1530" w:type="dxa"/>
          </w:tcPr>
          <w:p w14:paraId="0C10AB72" w14:textId="2AD261A5" w:rsidR="00EB5235" w:rsidRDefault="00EB5235" w:rsidP="00EB5235">
            <w:r w:rsidRPr="00996EEF">
              <w:t>PMCPMS</w:t>
            </w:r>
          </w:p>
        </w:tc>
        <w:tc>
          <w:tcPr>
            <w:tcW w:w="8550" w:type="dxa"/>
          </w:tcPr>
          <w:p w14:paraId="768DE8C9" w14:textId="63F8BD99" w:rsidR="00EB5235" w:rsidRDefault="00EB5235" w:rsidP="00EB5235">
            <w:r w:rsidRPr="00996EEF">
              <w:t>PM CPMS is used to monitor a PM control device</w:t>
            </w:r>
          </w:p>
        </w:tc>
      </w:tr>
      <w:tr w:rsidR="00EB5235" w14:paraId="7D12480B" w14:textId="77777777" w:rsidTr="00A42476">
        <w:tc>
          <w:tcPr>
            <w:tcW w:w="1530" w:type="dxa"/>
          </w:tcPr>
          <w:p w14:paraId="51DBE9BA" w14:textId="588E7B6F" w:rsidR="00EB5235" w:rsidRDefault="00EB5235" w:rsidP="00EB5235">
            <w:r w:rsidRPr="00996EEF">
              <w:t>NONE</w:t>
            </w:r>
          </w:p>
        </w:tc>
        <w:tc>
          <w:tcPr>
            <w:tcW w:w="8550" w:type="dxa"/>
          </w:tcPr>
          <w:p w14:paraId="7CA26539" w14:textId="6D223DE5" w:rsidR="00EB5235" w:rsidRDefault="00EB5235" w:rsidP="00EB5235">
            <w:r w:rsidRPr="00996EEF">
              <w:t>CMS is not being used. (not a valid entry if “PM-250” is “250+”)</w:t>
            </w:r>
          </w:p>
        </w:tc>
      </w:tr>
    </w:tbl>
    <w:p w14:paraId="2E48625C" w14:textId="67D560A5" w:rsidR="00234BF6" w:rsidRPr="007B1564" w:rsidRDefault="00CE490C" w:rsidP="00FD7888">
      <w:pPr>
        <w:pStyle w:val="APDContinueTriangle"/>
      </w:pPr>
      <w:r w:rsidRPr="007B1564">
        <w:t>Continue on Table 14e only if “PM-CMS” is “NONE” or “PMCMS”. If “PM-CMS” is “PMCEMS” or “PMCPMS</w:t>
      </w:r>
      <w:r w:rsidR="00CF4181" w:rsidRPr="007B1564">
        <w:t>,”</w:t>
      </w:r>
      <w:r w:rsidRPr="007B1564">
        <w:t xml:space="preserve"> skip to Table 14f.</w:t>
      </w:r>
    </w:p>
    <w:p w14:paraId="4DE87C38" w14:textId="77777777" w:rsidR="00CE490C" w:rsidRPr="00DC5151" w:rsidRDefault="00CE490C" w:rsidP="00DC5151">
      <w:pPr>
        <w:pStyle w:val="APDStrong"/>
      </w:pPr>
      <w:r w:rsidRPr="00DC5151">
        <w:t>PM-CD:</w:t>
      </w:r>
    </w:p>
    <w:p w14:paraId="6AF23E0B" w14:textId="77777777" w:rsidR="00CE490C" w:rsidRDefault="00CE490C" w:rsidP="00530E4B">
      <w:pPr>
        <w:pStyle w:val="APDBodyText"/>
      </w:pPr>
      <w:r w:rsidRPr="00530E4B">
        <w:t>Select one of the following PM control device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037736" w14:paraId="437D0757" w14:textId="77777777" w:rsidTr="00037736">
        <w:trPr>
          <w:cantSplit/>
          <w:tblHeader/>
        </w:trPr>
        <w:tc>
          <w:tcPr>
            <w:tcW w:w="1530" w:type="dxa"/>
          </w:tcPr>
          <w:p w14:paraId="4E47F35B" w14:textId="2A6722F2" w:rsidR="00037736" w:rsidRPr="00037736" w:rsidRDefault="00037736" w:rsidP="00037736">
            <w:pPr>
              <w:rPr>
                <w:b/>
                <w:bCs/>
              </w:rPr>
            </w:pPr>
            <w:r w:rsidRPr="00037736">
              <w:rPr>
                <w:b/>
                <w:bCs/>
              </w:rPr>
              <w:t>Code</w:t>
            </w:r>
          </w:p>
        </w:tc>
        <w:tc>
          <w:tcPr>
            <w:tcW w:w="8550" w:type="dxa"/>
          </w:tcPr>
          <w:p w14:paraId="394FBFC7" w14:textId="51B45E94" w:rsidR="00037736" w:rsidRPr="00037736" w:rsidRDefault="00037736" w:rsidP="00037736">
            <w:pPr>
              <w:rPr>
                <w:b/>
                <w:bCs/>
              </w:rPr>
            </w:pPr>
            <w:r w:rsidRPr="00037736">
              <w:rPr>
                <w:b/>
                <w:bCs/>
              </w:rPr>
              <w:t>Description</w:t>
            </w:r>
          </w:p>
        </w:tc>
      </w:tr>
      <w:tr w:rsidR="00037736" w14:paraId="1576822E" w14:textId="77777777" w:rsidTr="00037736">
        <w:trPr>
          <w:cantSplit/>
          <w:tblHeader/>
        </w:trPr>
        <w:tc>
          <w:tcPr>
            <w:tcW w:w="1530" w:type="dxa"/>
          </w:tcPr>
          <w:p w14:paraId="2E8F6A7A" w14:textId="0F9D243E" w:rsidR="00037736" w:rsidRDefault="00037736" w:rsidP="00037736">
            <w:r w:rsidRPr="00D43C6E">
              <w:t>BLD</w:t>
            </w:r>
          </w:p>
        </w:tc>
        <w:tc>
          <w:tcPr>
            <w:tcW w:w="8550" w:type="dxa"/>
          </w:tcPr>
          <w:p w14:paraId="4EF483F1" w14:textId="1A841526" w:rsidR="00037736" w:rsidRDefault="00037736" w:rsidP="00037736">
            <w:r w:rsidRPr="00D43C6E">
              <w:t>A Fabric Filter with a bag leak detection system is used</w:t>
            </w:r>
          </w:p>
        </w:tc>
      </w:tr>
      <w:tr w:rsidR="00037736" w14:paraId="539112A7" w14:textId="77777777" w:rsidTr="00037736">
        <w:trPr>
          <w:cantSplit/>
          <w:tblHeader/>
        </w:trPr>
        <w:tc>
          <w:tcPr>
            <w:tcW w:w="1530" w:type="dxa"/>
          </w:tcPr>
          <w:p w14:paraId="7E6CD914" w14:textId="582C163D" w:rsidR="00037736" w:rsidRDefault="00037736" w:rsidP="00037736">
            <w:r w:rsidRPr="00D43C6E">
              <w:t>WS</w:t>
            </w:r>
          </w:p>
        </w:tc>
        <w:tc>
          <w:tcPr>
            <w:tcW w:w="8550" w:type="dxa"/>
          </w:tcPr>
          <w:p w14:paraId="30D0C136" w14:textId="2E5E0E48" w:rsidR="00037736" w:rsidRDefault="00037736" w:rsidP="00037736">
            <w:r w:rsidRPr="00D43C6E">
              <w:t>A Wet Scrubber is used</w:t>
            </w:r>
          </w:p>
        </w:tc>
      </w:tr>
      <w:tr w:rsidR="00037736" w14:paraId="6A6E7750" w14:textId="77777777" w:rsidTr="00037736">
        <w:trPr>
          <w:cantSplit/>
          <w:tblHeader/>
        </w:trPr>
        <w:tc>
          <w:tcPr>
            <w:tcW w:w="1530" w:type="dxa"/>
          </w:tcPr>
          <w:p w14:paraId="7F8568EE" w14:textId="6956BE1D" w:rsidR="00037736" w:rsidRDefault="00037736" w:rsidP="00037736">
            <w:r w:rsidRPr="00D43C6E">
              <w:t>ESP-WS</w:t>
            </w:r>
          </w:p>
        </w:tc>
        <w:tc>
          <w:tcPr>
            <w:tcW w:w="8550" w:type="dxa"/>
          </w:tcPr>
          <w:p w14:paraId="3C17719D" w14:textId="3FC85632" w:rsidR="00037736" w:rsidRDefault="00037736" w:rsidP="00037736">
            <w:r w:rsidRPr="00D43C6E">
              <w:t>An Electrostatic Precipitator with a Wet Scrubber is used</w:t>
            </w:r>
          </w:p>
        </w:tc>
      </w:tr>
      <w:tr w:rsidR="00037736" w14:paraId="5F5BDA86" w14:textId="77777777" w:rsidTr="00037736">
        <w:trPr>
          <w:cantSplit/>
          <w:tblHeader/>
        </w:trPr>
        <w:tc>
          <w:tcPr>
            <w:tcW w:w="1530" w:type="dxa"/>
          </w:tcPr>
          <w:p w14:paraId="2AE42BC1" w14:textId="039F9914" w:rsidR="00037736" w:rsidRDefault="00037736" w:rsidP="00037736">
            <w:r w:rsidRPr="00D43C6E">
              <w:t>OTHER</w:t>
            </w:r>
          </w:p>
        </w:tc>
        <w:tc>
          <w:tcPr>
            <w:tcW w:w="8550" w:type="dxa"/>
          </w:tcPr>
          <w:p w14:paraId="0E6F4FFA" w14:textId="1CC050BC" w:rsidR="00037736" w:rsidRDefault="00037736" w:rsidP="00037736">
            <w:r w:rsidRPr="00D43C6E">
              <w:t>Other control methods are being used</w:t>
            </w:r>
          </w:p>
        </w:tc>
      </w:tr>
      <w:tr w:rsidR="00037736" w14:paraId="73785694" w14:textId="77777777" w:rsidTr="00037736">
        <w:trPr>
          <w:cantSplit/>
          <w:tblHeader/>
        </w:trPr>
        <w:tc>
          <w:tcPr>
            <w:tcW w:w="1530" w:type="dxa"/>
          </w:tcPr>
          <w:p w14:paraId="61DB2311" w14:textId="18E6062E" w:rsidR="00037736" w:rsidRDefault="00037736" w:rsidP="00037736">
            <w:r w:rsidRPr="00D43C6E">
              <w:t>NONE</w:t>
            </w:r>
          </w:p>
        </w:tc>
        <w:tc>
          <w:tcPr>
            <w:tcW w:w="8550" w:type="dxa"/>
          </w:tcPr>
          <w:p w14:paraId="2EDD1B98" w14:textId="4B87C9EF" w:rsidR="00037736" w:rsidRDefault="00037736" w:rsidP="00037736">
            <w:r w:rsidRPr="00D43C6E">
              <w:t>A control device is not used</w:t>
            </w:r>
          </w:p>
        </w:tc>
      </w:tr>
    </w:tbl>
    <w:p w14:paraId="7192A07A" w14:textId="77777777" w:rsidR="00CE490C" w:rsidRPr="00DC5151" w:rsidRDefault="00CE490C" w:rsidP="00A24FB0">
      <w:pPr>
        <w:pStyle w:val="APDStrong"/>
        <w:spacing w:before="120"/>
      </w:pPr>
      <w:r w:rsidRPr="00DC5151">
        <w:lastRenderedPageBreak/>
        <w:t>PM-Test:</w:t>
      </w:r>
    </w:p>
    <w:p w14:paraId="212362D5" w14:textId="77777777" w:rsidR="00CE490C" w:rsidRDefault="00CE490C" w:rsidP="00530E4B">
      <w:pPr>
        <w:pStyle w:val="APDBodyText"/>
      </w:pPr>
      <w:r w:rsidRPr="00530E4B">
        <w:t>Select one of the following PM performance test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CD4AD8" w14:paraId="0B258017" w14:textId="77777777" w:rsidTr="002E6930">
        <w:trPr>
          <w:cantSplit/>
          <w:tblHeader/>
        </w:trPr>
        <w:tc>
          <w:tcPr>
            <w:tcW w:w="1530" w:type="dxa"/>
          </w:tcPr>
          <w:p w14:paraId="7EBCE68B" w14:textId="1FBA0387" w:rsidR="00CD4AD8" w:rsidRPr="00212049" w:rsidRDefault="00CD4AD8" w:rsidP="00CD4AD8">
            <w:pPr>
              <w:rPr>
                <w:b/>
                <w:bCs/>
              </w:rPr>
            </w:pPr>
            <w:r w:rsidRPr="00212049">
              <w:rPr>
                <w:b/>
                <w:bCs/>
              </w:rPr>
              <w:t>Code</w:t>
            </w:r>
          </w:p>
        </w:tc>
        <w:tc>
          <w:tcPr>
            <w:tcW w:w="8550" w:type="dxa"/>
          </w:tcPr>
          <w:p w14:paraId="2FE54F71" w14:textId="3E260718" w:rsidR="00CD4AD8" w:rsidRPr="00212049" w:rsidRDefault="00CD4AD8" w:rsidP="00CD4AD8">
            <w:pPr>
              <w:rPr>
                <w:b/>
                <w:bCs/>
              </w:rPr>
            </w:pPr>
            <w:r w:rsidRPr="00212049">
              <w:rPr>
                <w:b/>
                <w:bCs/>
              </w:rPr>
              <w:t>Description</w:t>
            </w:r>
          </w:p>
        </w:tc>
      </w:tr>
      <w:tr w:rsidR="00CD4AD8" w14:paraId="5C505268" w14:textId="77777777" w:rsidTr="002E6930">
        <w:trPr>
          <w:cantSplit/>
          <w:tblHeader/>
        </w:trPr>
        <w:tc>
          <w:tcPr>
            <w:tcW w:w="1530" w:type="dxa"/>
          </w:tcPr>
          <w:p w14:paraId="38AFA442" w14:textId="1C52B0A4" w:rsidR="00CD4AD8" w:rsidRDefault="00212049" w:rsidP="00CD4AD8">
            <w:r>
              <w:t>PT</w:t>
            </w:r>
          </w:p>
        </w:tc>
        <w:tc>
          <w:tcPr>
            <w:tcW w:w="8550" w:type="dxa"/>
          </w:tcPr>
          <w:p w14:paraId="453D50C4" w14:textId="08E4D806" w:rsidR="00CD4AD8" w:rsidRDefault="00212049" w:rsidP="00CD4AD8">
            <w:r>
              <w:t>Compliance is demonstrated by conducting a performance test for PM</w:t>
            </w:r>
          </w:p>
        </w:tc>
      </w:tr>
      <w:tr w:rsidR="00CD4AD8" w14:paraId="31236A29" w14:textId="77777777" w:rsidTr="002E6930">
        <w:trPr>
          <w:cantSplit/>
          <w:tblHeader/>
        </w:trPr>
        <w:tc>
          <w:tcPr>
            <w:tcW w:w="1530" w:type="dxa"/>
          </w:tcPr>
          <w:p w14:paraId="10764C81" w14:textId="72F2C9A5" w:rsidR="00CD4AD8" w:rsidRDefault="00DC7B9F" w:rsidP="00CD4AD8">
            <w:r>
              <w:t>NPT</w:t>
            </w:r>
          </w:p>
        </w:tc>
        <w:tc>
          <w:tcPr>
            <w:tcW w:w="8550" w:type="dxa"/>
          </w:tcPr>
          <w:p w14:paraId="2561B9D8" w14:textId="34D407BF" w:rsidR="00CD4AD8" w:rsidRDefault="00DC7B9F" w:rsidP="00CD4AD8">
            <w:r>
              <w:t>A performance test is not being used</w:t>
            </w:r>
          </w:p>
        </w:tc>
      </w:tr>
    </w:tbl>
    <w:p w14:paraId="01105481" w14:textId="77777777" w:rsidR="00CE490C" w:rsidRPr="00DC5151" w:rsidRDefault="00CE490C" w:rsidP="00DC7B9F">
      <w:pPr>
        <w:pStyle w:val="APDStrong"/>
        <w:spacing w:before="120"/>
      </w:pPr>
      <w:r w:rsidRPr="00DC5151">
        <w:t>PM-FM:</w:t>
      </w:r>
    </w:p>
    <w:p w14:paraId="6A868465" w14:textId="77777777" w:rsidR="00CE490C" w:rsidRDefault="00CE490C" w:rsidP="00530E4B">
      <w:pPr>
        <w:pStyle w:val="APDBodyText"/>
      </w:pPr>
      <w:r w:rsidRPr="00530E4B">
        <w:t>Select one of the following flow monitoring options. Enter the code on the form.</w:t>
      </w:r>
    </w:p>
    <w:tbl>
      <w:tblPr>
        <w:tblStyle w:val="TableGrid"/>
        <w:tblW w:w="1011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52"/>
        <w:gridCol w:w="8666"/>
      </w:tblGrid>
      <w:tr w:rsidR="003002B8" w14:paraId="4D3D2B3A" w14:textId="77777777" w:rsidTr="003002B8">
        <w:trPr>
          <w:cantSplit/>
          <w:trHeight w:val="269"/>
          <w:tblHeader/>
        </w:trPr>
        <w:tc>
          <w:tcPr>
            <w:tcW w:w="1452" w:type="dxa"/>
          </w:tcPr>
          <w:p w14:paraId="49BC347E" w14:textId="3036B615" w:rsidR="003002B8" w:rsidRPr="003002B8" w:rsidRDefault="003002B8" w:rsidP="003002B8">
            <w:pPr>
              <w:rPr>
                <w:b/>
                <w:bCs/>
              </w:rPr>
            </w:pPr>
            <w:r w:rsidRPr="003002B8">
              <w:rPr>
                <w:b/>
                <w:bCs/>
              </w:rPr>
              <w:t>Code</w:t>
            </w:r>
          </w:p>
        </w:tc>
        <w:tc>
          <w:tcPr>
            <w:tcW w:w="8666" w:type="dxa"/>
          </w:tcPr>
          <w:p w14:paraId="5436969F" w14:textId="3DF40CC2" w:rsidR="003002B8" w:rsidRPr="003002B8" w:rsidRDefault="003002B8" w:rsidP="003002B8">
            <w:pPr>
              <w:rPr>
                <w:b/>
                <w:bCs/>
              </w:rPr>
            </w:pPr>
            <w:r w:rsidRPr="003002B8">
              <w:rPr>
                <w:b/>
                <w:bCs/>
              </w:rPr>
              <w:t>Description</w:t>
            </w:r>
          </w:p>
        </w:tc>
      </w:tr>
      <w:tr w:rsidR="003002B8" w14:paraId="39DFD498" w14:textId="77777777" w:rsidTr="003002B8">
        <w:trPr>
          <w:cantSplit/>
          <w:trHeight w:val="269"/>
          <w:tblHeader/>
        </w:trPr>
        <w:tc>
          <w:tcPr>
            <w:tcW w:w="1452" w:type="dxa"/>
          </w:tcPr>
          <w:p w14:paraId="3EB02544" w14:textId="569A531B" w:rsidR="003002B8" w:rsidRDefault="003002B8" w:rsidP="003002B8">
            <w:r w:rsidRPr="002951CF">
              <w:t>FM</w:t>
            </w:r>
          </w:p>
        </w:tc>
        <w:tc>
          <w:tcPr>
            <w:tcW w:w="8666" w:type="dxa"/>
          </w:tcPr>
          <w:p w14:paraId="06926957" w14:textId="79730A79" w:rsidR="003002B8" w:rsidRDefault="003002B8" w:rsidP="003002B8">
            <w:pPr>
              <w:ind w:right="431"/>
            </w:pPr>
            <w:r w:rsidRPr="002951CF">
              <w:t>Operating limit requires the use of a flow monitoring system</w:t>
            </w:r>
          </w:p>
        </w:tc>
      </w:tr>
      <w:tr w:rsidR="003002B8" w14:paraId="61D3A983" w14:textId="77777777" w:rsidTr="003002B8">
        <w:trPr>
          <w:cantSplit/>
          <w:trHeight w:val="269"/>
          <w:tblHeader/>
        </w:trPr>
        <w:tc>
          <w:tcPr>
            <w:tcW w:w="1452" w:type="dxa"/>
          </w:tcPr>
          <w:p w14:paraId="5AEBA894" w14:textId="4D65B1BA" w:rsidR="003002B8" w:rsidRDefault="003002B8" w:rsidP="003002B8">
            <w:r w:rsidRPr="002951CF">
              <w:t>NFM</w:t>
            </w:r>
          </w:p>
        </w:tc>
        <w:tc>
          <w:tcPr>
            <w:tcW w:w="8666" w:type="dxa"/>
          </w:tcPr>
          <w:p w14:paraId="1DAF1C0C" w14:textId="51600A74" w:rsidR="003002B8" w:rsidRDefault="003002B8" w:rsidP="003002B8">
            <w:r w:rsidRPr="002951CF">
              <w:t>A flow monitoring system is not required</w:t>
            </w:r>
          </w:p>
        </w:tc>
      </w:tr>
    </w:tbl>
    <w:p w14:paraId="21BF5392" w14:textId="77777777" w:rsidR="00CE490C" w:rsidRPr="00DC5151" w:rsidRDefault="00CE490C" w:rsidP="00FF00B5">
      <w:pPr>
        <w:pStyle w:val="APDStrong"/>
        <w:spacing w:before="120"/>
      </w:pPr>
      <w:bookmarkStart w:id="151" w:name="_Hlk64295930"/>
      <w:r w:rsidRPr="00DC5151">
        <w:t>PM-PMON:</w:t>
      </w:r>
    </w:p>
    <w:p w14:paraId="43F5C029" w14:textId="77777777" w:rsidR="00CE490C" w:rsidRDefault="00CE490C" w:rsidP="00530E4B">
      <w:pPr>
        <w:pStyle w:val="APDBodyText"/>
      </w:pPr>
      <w:r w:rsidRPr="00530E4B">
        <w:t>Select one of the following pressure monitoring system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36"/>
        <w:gridCol w:w="8644"/>
      </w:tblGrid>
      <w:tr w:rsidR="00B544CA" w14:paraId="0AA725AB" w14:textId="77777777" w:rsidTr="001E5BE0">
        <w:tc>
          <w:tcPr>
            <w:tcW w:w="1530" w:type="dxa"/>
          </w:tcPr>
          <w:p w14:paraId="2458E378" w14:textId="196826CC" w:rsidR="00B544CA" w:rsidRPr="00B544CA" w:rsidRDefault="00B544CA" w:rsidP="00B544CA">
            <w:pPr>
              <w:rPr>
                <w:b/>
                <w:bCs/>
              </w:rPr>
            </w:pPr>
            <w:r w:rsidRPr="00B544CA">
              <w:rPr>
                <w:b/>
                <w:bCs/>
              </w:rPr>
              <w:t>Code</w:t>
            </w:r>
          </w:p>
        </w:tc>
        <w:tc>
          <w:tcPr>
            <w:tcW w:w="9260" w:type="dxa"/>
          </w:tcPr>
          <w:p w14:paraId="011B2D57" w14:textId="4BA51336" w:rsidR="00B544CA" w:rsidRPr="00B544CA" w:rsidRDefault="00B544CA" w:rsidP="00B544CA">
            <w:pPr>
              <w:rPr>
                <w:b/>
                <w:bCs/>
              </w:rPr>
            </w:pPr>
            <w:r w:rsidRPr="00B544CA">
              <w:rPr>
                <w:b/>
                <w:bCs/>
              </w:rPr>
              <w:t>Description</w:t>
            </w:r>
          </w:p>
        </w:tc>
      </w:tr>
      <w:tr w:rsidR="00B544CA" w14:paraId="73BA785E" w14:textId="77777777" w:rsidTr="001E5BE0">
        <w:tc>
          <w:tcPr>
            <w:tcW w:w="1530" w:type="dxa"/>
          </w:tcPr>
          <w:p w14:paraId="495CDA67" w14:textId="16DED3D0" w:rsidR="00B544CA" w:rsidRDefault="00B544CA" w:rsidP="00B544CA">
            <w:r w:rsidRPr="00B20DDA">
              <w:t>PMON</w:t>
            </w:r>
          </w:p>
        </w:tc>
        <w:tc>
          <w:tcPr>
            <w:tcW w:w="9260" w:type="dxa"/>
          </w:tcPr>
          <w:p w14:paraId="0A337920" w14:textId="7D709A31" w:rsidR="00B544CA" w:rsidRDefault="00B544CA" w:rsidP="00B544CA">
            <w:r w:rsidRPr="00B20DDA">
              <w:t>Operating limit requires the use of a pressure monitoring system</w:t>
            </w:r>
          </w:p>
        </w:tc>
      </w:tr>
      <w:tr w:rsidR="00B544CA" w14:paraId="68F48B89" w14:textId="77777777" w:rsidTr="001E5BE0">
        <w:tc>
          <w:tcPr>
            <w:tcW w:w="1530" w:type="dxa"/>
          </w:tcPr>
          <w:p w14:paraId="53A8B3BF" w14:textId="63D83C84" w:rsidR="00B544CA" w:rsidRDefault="00B544CA" w:rsidP="00B544CA">
            <w:r w:rsidRPr="00B20DDA">
              <w:t>NO</w:t>
            </w:r>
          </w:p>
        </w:tc>
        <w:tc>
          <w:tcPr>
            <w:tcW w:w="9260" w:type="dxa"/>
          </w:tcPr>
          <w:p w14:paraId="0A047B22" w14:textId="79967163" w:rsidR="00B544CA" w:rsidRDefault="00B544CA" w:rsidP="00B544CA">
            <w:r w:rsidRPr="00B20DDA">
              <w:t>A pressure monitoring system is not required</w:t>
            </w:r>
          </w:p>
        </w:tc>
      </w:tr>
      <w:bookmarkEnd w:id="151"/>
    </w:tbl>
    <w:p w14:paraId="55C22C77" w14:textId="77777777" w:rsidR="00CE490C" w:rsidRPr="00EF0801" w:rsidRDefault="00CE490C" w:rsidP="00CE490C">
      <w:pPr>
        <w:pBdr>
          <w:bottom w:val="double" w:sz="4" w:space="1" w:color="auto"/>
        </w:pBdr>
      </w:pPr>
    </w:p>
    <w:p w14:paraId="1530B9E9" w14:textId="674A42A2" w:rsidR="00CE490C" w:rsidRPr="00293CF9" w:rsidRDefault="00CE490C" w:rsidP="002C7C54">
      <w:pPr>
        <w:pStyle w:val="APDChapterTitles"/>
        <w:rPr>
          <w:rStyle w:val="APDTableChapterChar"/>
          <w:b/>
          <w:bCs w:val="0"/>
        </w:rPr>
      </w:pPr>
      <w:hyperlink w:anchor="TBL_14f" w:tooltip="Table 14f" w:history="1">
        <w:bookmarkStart w:id="152" w:name="_Toc180398529"/>
        <w:bookmarkStart w:id="153" w:name="_Toc180398583"/>
        <w:r w:rsidRPr="003A6E45">
          <w:rPr>
            <w:rStyle w:val="Hyperlink"/>
            <w:b/>
            <w:bCs w:val="0"/>
          </w:rPr>
          <w:t>Table 14f</w:t>
        </w:r>
      </w:hyperlink>
      <w:r w:rsidRPr="003A6E45">
        <w:rPr>
          <w:rStyle w:val="Hyperlink"/>
          <w:b/>
          <w:bCs w:val="0"/>
        </w:rPr>
        <w:t>:</w:t>
      </w:r>
      <w:r w:rsidRPr="00EF0801">
        <w:tab/>
      </w:r>
      <w:r w:rsidRPr="00293CF9">
        <w:rPr>
          <w:rStyle w:val="APDTableChapterChar"/>
          <w:b/>
        </w:rPr>
        <w:t xml:space="preserve">Title 40 Code of Federal Regulations Part 63 (40 CFR Part 63), Subpart DDDDD: </w:t>
      </w:r>
      <w:r w:rsidR="00F15D06" w:rsidRPr="00293CF9">
        <w:rPr>
          <w:rStyle w:val="APDTableChapterChar"/>
          <w:b/>
        </w:rPr>
        <w:t>Industrial, Commercial, and Institutional Boilers</w:t>
      </w:r>
      <w:bookmarkEnd w:id="152"/>
      <w:bookmarkEnd w:id="153"/>
    </w:p>
    <w:p w14:paraId="0958C99C" w14:textId="2561B044" w:rsidR="00CE490C" w:rsidRPr="0002278E" w:rsidRDefault="00CE490C" w:rsidP="00390EE3">
      <w:pPr>
        <w:pStyle w:val="APDCompleteStar"/>
        <w:rPr>
          <w:bCs/>
        </w:rPr>
      </w:pPr>
      <w:r w:rsidRPr="0002278E">
        <w:t>Complete this table only if “TSM</w:t>
      </w:r>
      <w:r>
        <w:t xml:space="preserve">-CMS” is “NONE” or “PM-CMS” is </w:t>
      </w:r>
      <w:r w:rsidR="00CC64D9">
        <w:t>“</w:t>
      </w:r>
      <w:r>
        <w:t>PMCMS” or “NONE.”</w:t>
      </w:r>
    </w:p>
    <w:p w14:paraId="2E3B0E5C" w14:textId="0FD79440" w:rsidR="00CE490C" w:rsidRPr="00155BAC" w:rsidRDefault="00CE490C" w:rsidP="00155BAC">
      <w:pPr>
        <w:pStyle w:val="APDStrong"/>
      </w:pPr>
      <w:r w:rsidRPr="00155BAC">
        <w:t xml:space="preserve">Unit ID </w:t>
      </w:r>
      <w:r w:rsidR="00B42127">
        <w:t>N</w:t>
      </w:r>
      <w:r w:rsidR="0005593D">
        <w:t>o</w:t>
      </w:r>
      <w:r w:rsidRPr="00155BAC">
        <w:t>.:</w:t>
      </w:r>
    </w:p>
    <w:p w14:paraId="2AA2AB1A" w14:textId="0D1C6717" w:rsidR="00CE490C" w:rsidRPr="00530E4B" w:rsidRDefault="00CE490C" w:rsidP="00530E4B">
      <w:pPr>
        <w:pStyle w:val="APDBodyText"/>
      </w:pPr>
      <w:r w:rsidRPr="00530E4B">
        <w:t xml:space="preserve">Enter the identification number (ID </w:t>
      </w:r>
      <w:r w:rsidR="00B42127">
        <w:t>N</w:t>
      </w:r>
      <w:r w:rsidR="005667BA">
        <w:t>o</w:t>
      </w:r>
      <w:r w:rsidRPr="00530E4B">
        <w:t>.) for the unit (maximum 10 characters) as listed on Form OP SUM (Individual Unit Summary).</w:t>
      </w:r>
    </w:p>
    <w:p w14:paraId="105F4C26" w14:textId="49905B88" w:rsidR="00CE490C" w:rsidRPr="00155BAC" w:rsidRDefault="00CE490C" w:rsidP="00155BAC">
      <w:pPr>
        <w:pStyle w:val="APDStrong"/>
      </w:pPr>
      <w:r w:rsidRPr="00155BAC">
        <w:t xml:space="preserve">SOP/GOP Index </w:t>
      </w:r>
      <w:r w:rsidR="00B42127">
        <w:t>N</w:t>
      </w:r>
      <w:r w:rsidR="0005593D">
        <w:t>o</w:t>
      </w:r>
      <w:r w:rsidRPr="00155BAC">
        <w:t>.:</w:t>
      </w:r>
    </w:p>
    <w:p w14:paraId="32F8FB96" w14:textId="3CF82402" w:rsidR="00234BF6" w:rsidRDefault="00CE490C" w:rsidP="00530E4B">
      <w:pPr>
        <w:pStyle w:val="APDBodyText"/>
      </w:pPr>
      <w:r w:rsidRPr="00530E4B">
        <w:t xml:space="preserve">Site operating permit (SOP) applicants should indicate the SOP index number for the unit or group of units (maximum 15 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w:t>
      </w:r>
      <w:r w:rsidR="00CC2143" w:rsidRPr="00530E4B">
        <w:t xml:space="preserve">For additional information relating to SOP </w:t>
      </w:r>
      <w:r w:rsidR="007E603F" w:rsidRPr="00530E4B">
        <w:t xml:space="preserve">and GOP </w:t>
      </w:r>
      <w:r w:rsidR="00CC2143" w:rsidRPr="00530E4B">
        <w:t>index numbers, please see the Completing FOP Applications – Additional Guidance on the TCEQ website at</w:t>
      </w:r>
      <w:r w:rsidR="00CC2143" w:rsidRPr="00EF0801">
        <w:t xml:space="preserve"> </w:t>
      </w:r>
      <w:hyperlink r:id="rId55" w:tooltip="TCEQ - Completing FOP Applications - Additional Guidance" w:history="1">
        <w:r w:rsidR="00B22BF4" w:rsidRPr="00677F90">
          <w:rPr>
            <w:rStyle w:val="Hyperlink"/>
          </w:rPr>
          <w:t>www.tceq.texas.gov/permitting/air/guidance/titlev/tv_fop_guidance.html</w:t>
        </w:r>
      </w:hyperlink>
      <w:r w:rsidR="00CC2143" w:rsidRPr="00EF0801">
        <w:t>.</w:t>
      </w:r>
    </w:p>
    <w:p w14:paraId="7FBAC684" w14:textId="23CBC5B8" w:rsidR="00CE490C" w:rsidRDefault="00234BF6" w:rsidP="00D2170D">
      <w:r>
        <w:br w:type="page"/>
      </w:r>
    </w:p>
    <w:p w14:paraId="511946B7" w14:textId="77777777" w:rsidR="00CE490C" w:rsidRPr="00304A36" w:rsidRDefault="00CE490C" w:rsidP="007472D2">
      <w:pPr>
        <w:pStyle w:val="APDStrong"/>
      </w:pPr>
      <w:r w:rsidRPr="00304A36">
        <w:lastRenderedPageBreak/>
        <w:t>Opacity-CD:</w:t>
      </w:r>
    </w:p>
    <w:p w14:paraId="51BAB298" w14:textId="77777777" w:rsidR="00CE490C" w:rsidRDefault="00CE490C" w:rsidP="008A38FF">
      <w:pPr>
        <w:pStyle w:val="APDBodyText"/>
      </w:pPr>
      <w:r w:rsidRPr="008A38FF">
        <w:t>Select one of the following control device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36"/>
        <w:gridCol w:w="8644"/>
      </w:tblGrid>
      <w:tr w:rsidR="00F041FE" w14:paraId="2990471A" w14:textId="77777777" w:rsidTr="008F3B20">
        <w:trPr>
          <w:cantSplit/>
          <w:tblHeader/>
        </w:trPr>
        <w:tc>
          <w:tcPr>
            <w:tcW w:w="1530" w:type="dxa"/>
          </w:tcPr>
          <w:p w14:paraId="48CC2473" w14:textId="3E1D0331" w:rsidR="00F041FE" w:rsidRPr="00F041FE" w:rsidRDefault="00F041FE" w:rsidP="00F041FE">
            <w:pPr>
              <w:rPr>
                <w:b/>
                <w:bCs/>
              </w:rPr>
            </w:pPr>
            <w:r w:rsidRPr="00F041FE">
              <w:rPr>
                <w:b/>
                <w:bCs/>
              </w:rPr>
              <w:t>Code</w:t>
            </w:r>
          </w:p>
        </w:tc>
        <w:tc>
          <w:tcPr>
            <w:tcW w:w="9260" w:type="dxa"/>
          </w:tcPr>
          <w:p w14:paraId="5A9F3A66" w14:textId="7A103DD9" w:rsidR="00F041FE" w:rsidRPr="00F041FE" w:rsidRDefault="00F041FE" w:rsidP="00F041FE">
            <w:pPr>
              <w:rPr>
                <w:b/>
                <w:bCs/>
              </w:rPr>
            </w:pPr>
            <w:r w:rsidRPr="00F041FE">
              <w:rPr>
                <w:b/>
                <w:bCs/>
              </w:rPr>
              <w:t>Description</w:t>
            </w:r>
          </w:p>
        </w:tc>
      </w:tr>
      <w:tr w:rsidR="00F041FE" w14:paraId="45804D58" w14:textId="77777777" w:rsidTr="008F3B20">
        <w:trPr>
          <w:cantSplit/>
          <w:tblHeader/>
        </w:trPr>
        <w:tc>
          <w:tcPr>
            <w:tcW w:w="1530" w:type="dxa"/>
          </w:tcPr>
          <w:p w14:paraId="1F048770" w14:textId="5C219FDF" w:rsidR="00F041FE" w:rsidRDefault="00F041FE" w:rsidP="00F041FE">
            <w:r w:rsidRPr="001A672C">
              <w:t>BLD</w:t>
            </w:r>
          </w:p>
        </w:tc>
        <w:tc>
          <w:tcPr>
            <w:tcW w:w="9260" w:type="dxa"/>
          </w:tcPr>
          <w:p w14:paraId="0BCCA91C" w14:textId="10FF1989" w:rsidR="00F041FE" w:rsidRDefault="00F041FE" w:rsidP="00F041FE">
            <w:r w:rsidRPr="001A672C">
              <w:t>A fabric filter with a bag leak detection system is used</w:t>
            </w:r>
          </w:p>
        </w:tc>
      </w:tr>
      <w:tr w:rsidR="00F041FE" w14:paraId="318DA825" w14:textId="77777777" w:rsidTr="008F3B20">
        <w:trPr>
          <w:cantSplit/>
          <w:tblHeader/>
        </w:trPr>
        <w:tc>
          <w:tcPr>
            <w:tcW w:w="1530" w:type="dxa"/>
          </w:tcPr>
          <w:p w14:paraId="66240F52" w14:textId="25836959" w:rsidR="00F041FE" w:rsidRDefault="00F041FE" w:rsidP="00F041FE">
            <w:r w:rsidRPr="001A672C">
              <w:t>FF</w:t>
            </w:r>
          </w:p>
        </w:tc>
        <w:tc>
          <w:tcPr>
            <w:tcW w:w="9260" w:type="dxa"/>
          </w:tcPr>
          <w:p w14:paraId="106C9B47" w14:textId="3D6D473C" w:rsidR="00F041FE" w:rsidRDefault="00F041FE" w:rsidP="00F041FE">
            <w:r w:rsidRPr="001A672C">
              <w:t>A fabric filter without a bag leak detection system is used</w:t>
            </w:r>
          </w:p>
        </w:tc>
      </w:tr>
      <w:tr w:rsidR="00F041FE" w14:paraId="112A3805" w14:textId="77777777" w:rsidTr="008F3B20">
        <w:trPr>
          <w:cantSplit/>
          <w:tblHeader/>
        </w:trPr>
        <w:tc>
          <w:tcPr>
            <w:tcW w:w="1530" w:type="dxa"/>
          </w:tcPr>
          <w:p w14:paraId="22785382" w14:textId="2452A2B6" w:rsidR="00F041FE" w:rsidRDefault="00F041FE" w:rsidP="00F041FE">
            <w:r w:rsidRPr="001A672C">
              <w:t>ESP-WS</w:t>
            </w:r>
          </w:p>
        </w:tc>
        <w:tc>
          <w:tcPr>
            <w:tcW w:w="9260" w:type="dxa"/>
          </w:tcPr>
          <w:p w14:paraId="7D286150" w14:textId="1138F8C3" w:rsidR="00F041FE" w:rsidRDefault="00F041FE" w:rsidP="00F041FE">
            <w:r w:rsidRPr="001A672C">
              <w:t>An electrostatic precipitator with a wet scrubber is used</w:t>
            </w:r>
          </w:p>
        </w:tc>
      </w:tr>
      <w:tr w:rsidR="00F041FE" w14:paraId="6AE682BC" w14:textId="77777777" w:rsidTr="008F3B20">
        <w:trPr>
          <w:cantSplit/>
          <w:tblHeader/>
        </w:trPr>
        <w:tc>
          <w:tcPr>
            <w:tcW w:w="1530" w:type="dxa"/>
          </w:tcPr>
          <w:p w14:paraId="1BB3D855" w14:textId="51ABFFBF" w:rsidR="00F041FE" w:rsidRDefault="00F041FE" w:rsidP="00F041FE">
            <w:r w:rsidRPr="001A672C">
              <w:t>ESP</w:t>
            </w:r>
          </w:p>
        </w:tc>
        <w:tc>
          <w:tcPr>
            <w:tcW w:w="9260" w:type="dxa"/>
          </w:tcPr>
          <w:p w14:paraId="5D7EF76A" w14:textId="4E7F10FC" w:rsidR="00F041FE" w:rsidRDefault="00F041FE" w:rsidP="00F041FE">
            <w:r w:rsidRPr="001A672C">
              <w:t>An electrostatic precipitator without a wet scrubber is used</w:t>
            </w:r>
          </w:p>
        </w:tc>
      </w:tr>
      <w:tr w:rsidR="00F041FE" w14:paraId="799B76E6" w14:textId="77777777" w:rsidTr="008F3B20">
        <w:trPr>
          <w:cantSplit/>
          <w:tblHeader/>
        </w:trPr>
        <w:tc>
          <w:tcPr>
            <w:tcW w:w="1530" w:type="dxa"/>
          </w:tcPr>
          <w:p w14:paraId="28324F59" w14:textId="7BBB8223" w:rsidR="00F041FE" w:rsidRDefault="00F041FE" w:rsidP="00F041FE">
            <w:r w:rsidRPr="001A672C">
              <w:t>DRY</w:t>
            </w:r>
          </w:p>
        </w:tc>
        <w:tc>
          <w:tcPr>
            <w:tcW w:w="9260" w:type="dxa"/>
          </w:tcPr>
          <w:p w14:paraId="2D1AD649" w14:textId="637C7CD0" w:rsidR="00F041FE" w:rsidRDefault="00F041FE" w:rsidP="00F041FE">
            <w:r w:rsidRPr="001A672C">
              <w:t>A dry control system is used</w:t>
            </w:r>
          </w:p>
        </w:tc>
      </w:tr>
      <w:tr w:rsidR="00F041FE" w14:paraId="6C20A605" w14:textId="77777777" w:rsidTr="008F3B20">
        <w:trPr>
          <w:cantSplit/>
          <w:tblHeader/>
        </w:trPr>
        <w:tc>
          <w:tcPr>
            <w:tcW w:w="1530" w:type="dxa"/>
          </w:tcPr>
          <w:p w14:paraId="5C2D413A" w14:textId="39CD1A65" w:rsidR="00F041FE" w:rsidRDefault="00F041FE" w:rsidP="00F041FE">
            <w:r w:rsidRPr="001A672C">
              <w:t>OTHER</w:t>
            </w:r>
          </w:p>
        </w:tc>
        <w:tc>
          <w:tcPr>
            <w:tcW w:w="9260" w:type="dxa"/>
          </w:tcPr>
          <w:p w14:paraId="4F2C28A8" w14:textId="0C7A5E93" w:rsidR="00F041FE" w:rsidRDefault="00F041FE" w:rsidP="00F041FE">
            <w:r w:rsidRPr="001A672C">
              <w:t>Other control methods are being used</w:t>
            </w:r>
          </w:p>
        </w:tc>
      </w:tr>
      <w:tr w:rsidR="00F041FE" w14:paraId="135AEC7C" w14:textId="77777777" w:rsidTr="008F3B20">
        <w:trPr>
          <w:cantSplit/>
          <w:tblHeader/>
        </w:trPr>
        <w:tc>
          <w:tcPr>
            <w:tcW w:w="1530" w:type="dxa"/>
          </w:tcPr>
          <w:p w14:paraId="3B8E0AB9" w14:textId="4D8AE4A0" w:rsidR="00F041FE" w:rsidRDefault="00F041FE" w:rsidP="00F041FE">
            <w:r w:rsidRPr="001A672C">
              <w:t>NONE</w:t>
            </w:r>
          </w:p>
        </w:tc>
        <w:tc>
          <w:tcPr>
            <w:tcW w:w="9260" w:type="dxa"/>
          </w:tcPr>
          <w:p w14:paraId="533E2D41" w14:textId="6471A2F1" w:rsidR="00F041FE" w:rsidRDefault="00F041FE" w:rsidP="00F041FE">
            <w:r w:rsidRPr="001A672C">
              <w:t>A control device is not used</w:t>
            </w:r>
          </w:p>
        </w:tc>
      </w:tr>
    </w:tbl>
    <w:p w14:paraId="26BCC9A8" w14:textId="7CA1AE61" w:rsidR="00CE490C" w:rsidRPr="00783166" w:rsidRDefault="00CE490C" w:rsidP="00FD7888">
      <w:pPr>
        <w:pStyle w:val="APDContinueTriangle"/>
      </w:pPr>
      <w:r w:rsidRPr="00783166">
        <w:t>Continue on Table 14f only if “Opacity-CD” is “FF”, “ESP”, or “DRY.” If “Opacity-CD” is “BLD</w:t>
      </w:r>
      <w:r w:rsidR="00A11F3B" w:rsidRPr="00783166">
        <w:t>,”</w:t>
      </w:r>
      <w:r w:rsidRPr="00783166">
        <w:t xml:space="preserve"> “ESP</w:t>
      </w:r>
      <w:r w:rsidR="00BD4579" w:rsidRPr="00783166">
        <w:noBreakHyphen/>
      </w:r>
      <w:r w:rsidRPr="00783166">
        <w:t>WS</w:t>
      </w:r>
      <w:r w:rsidR="00A11F3B" w:rsidRPr="00783166">
        <w:t>,”</w:t>
      </w:r>
      <w:r w:rsidRPr="00783166">
        <w:t xml:space="preserve"> “OTHER</w:t>
      </w:r>
      <w:r w:rsidR="00A11F3B" w:rsidRPr="00783166">
        <w:t>,”</w:t>
      </w:r>
      <w:r w:rsidR="006B014D" w:rsidRPr="00783166">
        <w:t xml:space="preserve"> or “NONE,” </w:t>
      </w:r>
      <w:r w:rsidRPr="00783166">
        <w:t>skip to Table 14g.</w:t>
      </w:r>
    </w:p>
    <w:p w14:paraId="597F355D" w14:textId="77777777" w:rsidR="00CE490C" w:rsidRDefault="00CE490C" w:rsidP="007472D2">
      <w:pPr>
        <w:pStyle w:val="APDStrong"/>
      </w:pPr>
      <w:r>
        <w:t>COMS</w:t>
      </w:r>
      <w:r w:rsidRPr="00E56859">
        <w:t>:</w:t>
      </w:r>
    </w:p>
    <w:p w14:paraId="002F06BB" w14:textId="77777777" w:rsidR="00CE490C" w:rsidRDefault="00CE490C" w:rsidP="008A38FF">
      <w:pPr>
        <w:pStyle w:val="APDBodyText"/>
      </w:pPr>
      <w:r w:rsidRPr="008A38FF">
        <w:t>Select one of the following continuous opacity monitoring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8F3B20" w14:paraId="74805E04" w14:textId="77777777" w:rsidTr="008F3B20">
        <w:tc>
          <w:tcPr>
            <w:tcW w:w="1530" w:type="dxa"/>
          </w:tcPr>
          <w:p w14:paraId="4B0D936F" w14:textId="69904482" w:rsidR="008F3B20" w:rsidRPr="008F3B20" w:rsidRDefault="008F3B20" w:rsidP="008F3B20">
            <w:pPr>
              <w:rPr>
                <w:b/>
                <w:bCs/>
              </w:rPr>
            </w:pPr>
            <w:r w:rsidRPr="008F3B20">
              <w:rPr>
                <w:b/>
                <w:bCs/>
              </w:rPr>
              <w:t>Code</w:t>
            </w:r>
          </w:p>
        </w:tc>
        <w:tc>
          <w:tcPr>
            <w:tcW w:w="8550" w:type="dxa"/>
          </w:tcPr>
          <w:p w14:paraId="62DDDD51" w14:textId="5EA118CD" w:rsidR="008F3B20" w:rsidRPr="008F3B20" w:rsidRDefault="008F3B20" w:rsidP="008F3B20">
            <w:pPr>
              <w:rPr>
                <w:b/>
                <w:bCs/>
              </w:rPr>
            </w:pPr>
            <w:r w:rsidRPr="008F3B20">
              <w:rPr>
                <w:b/>
                <w:bCs/>
              </w:rPr>
              <w:t>Description</w:t>
            </w:r>
          </w:p>
        </w:tc>
      </w:tr>
      <w:tr w:rsidR="008F3B20" w14:paraId="0321EB28" w14:textId="77777777" w:rsidTr="008F3B20">
        <w:tc>
          <w:tcPr>
            <w:tcW w:w="1530" w:type="dxa"/>
          </w:tcPr>
          <w:p w14:paraId="7BA3A760" w14:textId="654147B0" w:rsidR="008F3B20" w:rsidRDefault="008F3B20" w:rsidP="008F3B20">
            <w:r w:rsidRPr="00AC6841">
              <w:t>COMS</w:t>
            </w:r>
          </w:p>
        </w:tc>
        <w:tc>
          <w:tcPr>
            <w:tcW w:w="8550" w:type="dxa"/>
          </w:tcPr>
          <w:p w14:paraId="50590BAE" w14:textId="14681544" w:rsidR="008F3B20" w:rsidRDefault="008F3B20" w:rsidP="008F3B20">
            <w:r w:rsidRPr="00AC6841">
              <w:t>A continuous opacity monitoring system is used</w:t>
            </w:r>
          </w:p>
        </w:tc>
      </w:tr>
      <w:tr w:rsidR="008F3B20" w14:paraId="6964546C" w14:textId="77777777" w:rsidTr="008F3B20">
        <w:tc>
          <w:tcPr>
            <w:tcW w:w="1530" w:type="dxa"/>
          </w:tcPr>
          <w:p w14:paraId="474701F2" w14:textId="78047B83" w:rsidR="008F3B20" w:rsidRDefault="008F3B20" w:rsidP="008F3B20">
            <w:r w:rsidRPr="00AC6841">
              <w:t>NOCOMS</w:t>
            </w:r>
          </w:p>
        </w:tc>
        <w:tc>
          <w:tcPr>
            <w:tcW w:w="8550" w:type="dxa"/>
          </w:tcPr>
          <w:p w14:paraId="0A228566" w14:textId="5F033810" w:rsidR="008F3B20" w:rsidRDefault="008F3B20" w:rsidP="008F3B20">
            <w:r w:rsidRPr="00AC6841">
              <w:t>A continuous opacity monitoring system is not used</w:t>
            </w:r>
          </w:p>
        </w:tc>
      </w:tr>
    </w:tbl>
    <w:p w14:paraId="673230C5" w14:textId="5ED8BB41" w:rsidR="00CE490C" w:rsidRPr="00E7694A" w:rsidRDefault="00CE490C" w:rsidP="00FD7888">
      <w:pPr>
        <w:pStyle w:val="APDContinueTriangle"/>
      </w:pPr>
      <w:r w:rsidRPr="00E7694A">
        <w:t>Continue on Table 14f only if “COMS” is “NOCOMS.” If “COMS” is “COMS</w:t>
      </w:r>
      <w:r w:rsidR="00CF4181" w:rsidRPr="00E7694A">
        <w:t>,”</w:t>
      </w:r>
      <w:r w:rsidRPr="00E7694A">
        <w:t xml:space="preserve"> skip to Table 14g.</w:t>
      </w:r>
    </w:p>
    <w:p w14:paraId="29C87F8E" w14:textId="77777777" w:rsidR="00CE490C" w:rsidRDefault="00CE490C" w:rsidP="007472D2">
      <w:pPr>
        <w:pStyle w:val="APDStrong"/>
      </w:pPr>
      <w:r>
        <w:t>OPT-Test</w:t>
      </w:r>
      <w:r w:rsidRPr="00E56859">
        <w:t>:</w:t>
      </w:r>
    </w:p>
    <w:p w14:paraId="0BD236CB" w14:textId="77777777" w:rsidR="00CE490C" w:rsidRDefault="00CE490C" w:rsidP="008A38FF">
      <w:pPr>
        <w:pStyle w:val="APDBodyText"/>
      </w:pPr>
      <w:r w:rsidRPr="008A38FF">
        <w:t>Select one of the following opacity performance test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DD3D3F" w14:paraId="207A0968" w14:textId="77777777" w:rsidTr="00DD3D3F">
        <w:trPr>
          <w:cantSplit/>
          <w:tblHeader/>
        </w:trPr>
        <w:tc>
          <w:tcPr>
            <w:tcW w:w="1530" w:type="dxa"/>
          </w:tcPr>
          <w:p w14:paraId="475527C0" w14:textId="14376754" w:rsidR="00DD3D3F" w:rsidRPr="00DD3D3F" w:rsidRDefault="00DD3D3F" w:rsidP="00DD3D3F">
            <w:pPr>
              <w:rPr>
                <w:b/>
                <w:bCs/>
              </w:rPr>
            </w:pPr>
            <w:r w:rsidRPr="00DD3D3F">
              <w:rPr>
                <w:b/>
                <w:bCs/>
              </w:rPr>
              <w:t>Code</w:t>
            </w:r>
          </w:p>
        </w:tc>
        <w:tc>
          <w:tcPr>
            <w:tcW w:w="8550" w:type="dxa"/>
          </w:tcPr>
          <w:p w14:paraId="28E2D109" w14:textId="2C83AB54" w:rsidR="00DD3D3F" w:rsidRPr="00DD3D3F" w:rsidRDefault="00DD3D3F" w:rsidP="00DD3D3F">
            <w:pPr>
              <w:rPr>
                <w:b/>
                <w:bCs/>
              </w:rPr>
            </w:pPr>
            <w:r w:rsidRPr="00DD3D3F">
              <w:rPr>
                <w:b/>
                <w:bCs/>
              </w:rPr>
              <w:t>Description</w:t>
            </w:r>
          </w:p>
        </w:tc>
      </w:tr>
      <w:tr w:rsidR="00DD3D3F" w14:paraId="4166CEB6" w14:textId="77777777" w:rsidTr="00DD3D3F">
        <w:trPr>
          <w:cantSplit/>
          <w:tblHeader/>
        </w:trPr>
        <w:tc>
          <w:tcPr>
            <w:tcW w:w="1530" w:type="dxa"/>
          </w:tcPr>
          <w:p w14:paraId="04C7AB09" w14:textId="52508221" w:rsidR="00DD3D3F" w:rsidRDefault="00DD3D3F" w:rsidP="00DD3D3F">
            <w:r w:rsidRPr="00330EF6">
              <w:t>OPT</w:t>
            </w:r>
          </w:p>
        </w:tc>
        <w:tc>
          <w:tcPr>
            <w:tcW w:w="8550" w:type="dxa"/>
          </w:tcPr>
          <w:p w14:paraId="7AF919FC" w14:textId="759D0E8E" w:rsidR="00DD3D3F" w:rsidRDefault="00DD3D3F" w:rsidP="00DD3D3F">
            <w:r w:rsidRPr="00330EF6">
              <w:t>Compliance is demonstrated by conducting a performance test for opacity</w:t>
            </w:r>
          </w:p>
        </w:tc>
      </w:tr>
      <w:tr w:rsidR="00DD3D3F" w14:paraId="5119E612" w14:textId="77777777" w:rsidTr="00DD3D3F">
        <w:trPr>
          <w:cantSplit/>
          <w:tblHeader/>
        </w:trPr>
        <w:tc>
          <w:tcPr>
            <w:tcW w:w="1530" w:type="dxa"/>
          </w:tcPr>
          <w:p w14:paraId="2014E0D4" w14:textId="25444896" w:rsidR="00DD3D3F" w:rsidRDefault="00DD3D3F" w:rsidP="00DD3D3F">
            <w:r w:rsidRPr="00330EF6">
              <w:t>NPTO</w:t>
            </w:r>
          </w:p>
        </w:tc>
        <w:tc>
          <w:tcPr>
            <w:tcW w:w="8550" w:type="dxa"/>
          </w:tcPr>
          <w:p w14:paraId="5C01EE25" w14:textId="47A164A7" w:rsidR="00DD3D3F" w:rsidRDefault="00DD3D3F" w:rsidP="00DD3D3F">
            <w:r w:rsidRPr="00330EF6">
              <w:t>A performance test is not being used</w:t>
            </w:r>
          </w:p>
        </w:tc>
      </w:tr>
    </w:tbl>
    <w:p w14:paraId="12D4B92B" w14:textId="77777777" w:rsidR="00CE490C" w:rsidRPr="00EF0801" w:rsidRDefault="00CE490C" w:rsidP="00CE490C">
      <w:pPr>
        <w:pBdr>
          <w:bottom w:val="double" w:sz="4" w:space="1" w:color="auto"/>
        </w:pBdr>
      </w:pPr>
    </w:p>
    <w:bookmarkStart w:id="154" w:name="Table_14g"/>
    <w:p w14:paraId="05D06497" w14:textId="1EA07199" w:rsidR="00CE490C" w:rsidRPr="00656935" w:rsidRDefault="005F7C62" w:rsidP="002C7C54">
      <w:pPr>
        <w:pStyle w:val="APDChapterTitles"/>
        <w:rPr>
          <w:rStyle w:val="APDTableChapterChar"/>
        </w:rPr>
      </w:pPr>
      <w:r w:rsidRPr="0039214C">
        <w:rPr>
          <w:rStyle w:val="Hyperlink"/>
          <w:b/>
          <w:bCs w:val="0"/>
        </w:rPr>
        <w:fldChar w:fldCharType="begin"/>
      </w:r>
      <w:r w:rsidR="00176E8C" w:rsidRPr="0039214C">
        <w:rPr>
          <w:rStyle w:val="Hyperlink"/>
          <w:b/>
          <w:bCs w:val="0"/>
        </w:rPr>
        <w:instrText>HYPERLINK  \l "TBL_14g" \o "Table 14g"</w:instrText>
      </w:r>
      <w:r w:rsidRPr="0039214C">
        <w:rPr>
          <w:rStyle w:val="Hyperlink"/>
          <w:b/>
          <w:bCs w:val="0"/>
        </w:rPr>
      </w:r>
      <w:r w:rsidRPr="0039214C">
        <w:rPr>
          <w:rStyle w:val="Hyperlink"/>
          <w:b/>
          <w:bCs w:val="0"/>
        </w:rPr>
        <w:fldChar w:fldCharType="separate"/>
      </w:r>
      <w:bookmarkStart w:id="155" w:name="_Toc180398530"/>
      <w:bookmarkStart w:id="156" w:name="_Toc180398584"/>
      <w:r w:rsidR="00CE490C" w:rsidRPr="0039214C">
        <w:rPr>
          <w:rStyle w:val="Hyperlink"/>
          <w:b/>
          <w:bCs w:val="0"/>
        </w:rPr>
        <w:t>Table 14g</w:t>
      </w:r>
      <w:r w:rsidRPr="0039214C">
        <w:rPr>
          <w:rStyle w:val="Hyperlink"/>
          <w:b/>
          <w:bCs w:val="0"/>
        </w:rPr>
        <w:fldChar w:fldCharType="end"/>
      </w:r>
      <w:bookmarkEnd w:id="154"/>
      <w:r w:rsidR="00CE490C" w:rsidRPr="0039214C">
        <w:rPr>
          <w:rStyle w:val="Hyperlink"/>
          <w:b/>
          <w:bCs w:val="0"/>
        </w:rPr>
        <w:t>:</w:t>
      </w:r>
      <w:r w:rsidR="00CE490C" w:rsidRPr="00EF0801">
        <w:tab/>
      </w:r>
      <w:r w:rsidR="00CE490C" w:rsidRPr="007812FD">
        <w:rPr>
          <w:rStyle w:val="APDTableChapterChar"/>
          <w:b/>
        </w:rPr>
        <w:t xml:space="preserve">Title 40 Code of Federal Regulations Part 63 (40 CFR Part 63), Subpart DDDDD: </w:t>
      </w:r>
      <w:r w:rsidR="00F15D06" w:rsidRPr="007812FD">
        <w:rPr>
          <w:rStyle w:val="APDTableChapterChar"/>
          <w:b/>
        </w:rPr>
        <w:t>Industrial, Commercial, and Institutional Boilers</w:t>
      </w:r>
      <w:bookmarkEnd w:id="155"/>
      <w:bookmarkEnd w:id="156"/>
    </w:p>
    <w:p w14:paraId="26AFB0A6" w14:textId="1D99B9C5" w:rsidR="00CE490C" w:rsidRPr="00EF0801" w:rsidRDefault="00CE490C" w:rsidP="007472D2">
      <w:pPr>
        <w:pStyle w:val="APDStrong"/>
      </w:pPr>
      <w:r w:rsidRPr="00EF0801">
        <w:t xml:space="preserve">Unit ID </w:t>
      </w:r>
      <w:r w:rsidR="00B42127">
        <w:t>N</w:t>
      </w:r>
      <w:r w:rsidR="0005593D">
        <w:t>o</w:t>
      </w:r>
      <w:r w:rsidRPr="00A11F3B">
        <w:rPr>
          <w:bCs/>
        </w:rPr>
        <w:t>.:</w:t>
      </w:r>
    </w:p>
    <w:p w14:paraId="3D18A832" w14:textId="7102B702" w:rsidR="00CE490C" w:rsidRPr="008A38FF" w:rsidRDefault="00CE490C" w:rsidP="008A38FF">
      <w:pPr>
        <w:pStyle w:val="APDBodyText"/>
      </w:pPr>
      <w:r w:rsidRPr="008A38FF">
        <w:t xml:space="preserve">Enter the identification number (ID </w:t>
      </w:r>
      <w:r w:rsidR="00B42127">
        <w:t>N</w:t>
      </w:r>
      <w:r w:rsidR="005667BA">
        <w:t>o</w:t>
      </w:r>
      <w:r w:rsidRPr="008A38FF">
        <w:t>.) for the unit (maximum 10 characters) as listed on Form OP SUM (Individual Unit Summary).</w:t>
      </w:r>
    </w:p>
    <w:p w14:paraId="7B43B3C4" w14:textId="039D8595" w:rsidR="00CE490C" w:rsidRPr="0046619A" w:rsidRDefault="00CE490C" w:rsidP="007472D2">
      <w:pPr>
        <w:pStyle w:val="APDStrong"/>
      </w:pPr>
      <w:r w:rsidRPr="0046619A">
        <w:rPr>
          <w:rStyle w:val="APDQuestion"/>
          <w:b/>
          <w:bCs/>
        </w:rPr>
        <w:t>SOP/</w:t>
      </w:r>
      <w:r w:rsidRPr="0046619A">
        <w:t xml:space="preserve">GOP Index </w:t>
      </w:r>
      <w:r w:rsidR="00B42127">
        <w:t>N</w:t>
      </w:r>
      <w:r w:rsidR="0005593D">
        <w:t>o</w:t>
      </w:r>
      <w:r w:rsidRPr="0046619A">
        <w:t>.:</w:t>
      </w:r>
    </w:p>
    <w:p w14:paraId="6B81A2AB" w14:textId="77777777" w:rsidR="001D42CE" w:rsidRDefault="00CE490C" w:rsidP="008A38FF">
      <w:pPr>
        <w:pStyle w:val="APDBodyText"/>
        <w:sectPr w:rsidR="001D42CE" w:rsidSect="0031268E">
          <w:pgSz w:w="12240" w:h="15840" w:code="1"/>
          <w:pgMar w:top="720" w:right="720" w:bottom="720" w:left="720" w:header="720" w:footer="720" w:gutter="0"/>
          <w:cols w:space="720"/>
          <w:titlePg/>
          <w:docGrid w:linePitch="360"/>
        </w:sectPr>
      </w:pPr>
      <w:r w:rsidRPr="008A38FF">
        <w:t xml:space="preserve">Site operating permit (SOP) applicants should indicate the SOP index number for the unit or group of units (maximum 15 characters consisting of numeric, alphanumeric characters, and/or dashes prefixed by a code for the applicable regulation [i.e., 60KB-XXXX]). General operating permit (GOP) applicants should indicate the appropriate GOP index number in this column from the applicable GOP table (SSS-FF-XXX). Applicants should complete all applicable GOP attribute information before determining the GOP index number. </w:t>
      </w:r>
      <w:r w:rsidR="00CC2143" w:rsidRPr="008A38FF">
        <w:t xml:space="preserve">For additional information relating to SOP </w:t>
      </w:r>
      <w:r w:rsidR="007E603F" w:rsidRPr="008A38FF">
        <w:t xml:space="preserve">and GOP </w:t>
      </w:r>
      <w:r w:rsidR="00CC2143" w:rsidRPr="008A38FF">
        <w:t xml:space="preserve">index numbers, please see the Completing FOP Applications – Additional Guidance on the TCEQ website at </w:t>
      </w:r>
      <w:hyperlink r:id="rId56" w:tooltip="TCEQ - Completing FOP Applications - Additional Guidance" w:history="1">
        <w:r w:rsidR="00B51B26" w:rsidRPr="00677F90">
          <w:rPr>
            <w:rStyle w:val="Hyperlink"/>
          </w:rPr>
          <w:t>www.tceq.texas.gov/permitting/air/guidance/titlev/tv_fop_guidance.html</w:t>
        </w:r>
      </w:hyperlink>
      <w:r w:rsidR="00CC2143" w:rsidRPr="00EF0801">
        <w:t>.</w:t>
      </w:r>
    </w:p>
    <w:p w14:paraId="28312387" w14:textId="435651CC" w:rsidR="00234BF6" w:rsidRDefault="00CE490C" w:rsidP="00390EE3">
      <w:pPr>
        <w:pStyle w:val="APDCompleteStar"/>
        <w:rPr>
          <w:bCs/>
        </w:rPr>
      </w:pPr>
      <w:r w:rsidRPr="00494396">
        <w:lastRenderedPageBreak/>
        <w:t xml:space="preserve">Complete </w:t>
      </w:r>
      <w:r>
        <w:t xml:space="preserve">“SFF Subcategory” </w:t>
      </w:r>
      <w:r w:rsidRPr="00A60DB3">
        <w:t>only if “</w:t>
      </w:r>
      <w:r>
        <w:t>Table Applicability” is “SFF10.”</w:t>
      </w:r>
    </w:p>
    <w:p w14:paraId="002CCBD0" w14:textId="77777777" w:rsidR="00CE490C" w:rsidRPr="002875B0" w:rsidRDefault="00CE490C" w:rsidP="007472D2">
      <w:pPr>
        <w:pStyle w:val="APDStrong"/>
      </w:pPr>
      <w:r>
        <w:t>SFF Subcategory</w:t>
      </w:r>
      <w:r w:rsidRPr="002875B0">
        <w:t>:</w:t>
      </w:r>
    </w:p>
    <w:p w14:paraId="51938EE7" w14:textId="462C67CD" w:rsidR="00CE490C" w:rsidRDefault="00CE490C" w:rsidP="000D7AB4">
      <w:pPr>
        <w:pStyle w:val="APDBodyText"/>
      </w:pPr>
      <w:r w:rsidRPr="00A11F3B">
        <w:t>Select one of the following options that describes subcategory of the boiler or process heater as listed in</w:t>
      </w:r>
      <w:r w:rsidR="00E36EDF">
        <w:t xml:space="preserve"> </w:t>
      </w:r>
      <w:r w:rsidRPr="00A11F3B">
        <w:t>§63.7499.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8F4DC2" w14:paraId="46A6C019" w14:textId="77777777" w:rsidTr="008F4DC2">
        <w:tc>
          <w:tcPr>
            <w:tcW w:w="1530" w:type="dxa"/>
          </w:tcPr>
          <w:p w14:paraId="36401F80" w14:textId="0AAB9B87" w:rsidR="008F4DC2" w:rsidRPr="008F4DC2" w:rsidRDefault="008F4DC2" w:rsidP="008F4DC2">
            <w:pPr>
              <w:rPr>
                <w:b/>
                <w:bCs/>
              </w:rPr>
            </w:pPr>
            <w:r w:rsidRPr="008F4DC2">
              <w:rPr>
                <w:b/>
                <w:bCs/>
              </w:rPr>
              <w:t>Code</w:t>
            </w:r>
          </w:p>
        </w:tc>
        <w:tc>
          <w:tcPr>
            <w:tcW w:w="8550" w:type="dxa"/>
          </w:tcPr>
          <w:p w14:paraId="550547F7" w14:textId="747A3A72" w:rsidR="008F4DC2" w:rsidRPr="008F4DC2" w:rsidRDefault="008F4DC2" w:rsidP="008F4DC2">
            <w:pPr>
              <w:rPr>
                <w:b/>
                <w:bCs/>
              </w:rPr>
            </w:pPr>
            <w:r w:rsidRPr="008F4DC2">
              <w:rPr>
                <w:b/>
                <w:bCs/>
              </w:rPr>
              <w:t>Description</w:t>
            </w:r>
          </w:p>
        </w:tc>
      </w:tr>
      <w:tr w:rsidR="008F4DC2" w14:paraId="3F10F61F" w14:textId="77777777" w:rsidTr="008F4DC2">
        <w:tc>
          <w:tcPr>
            <w:tcW w:w="1530" w:type="dxa"/>
          </w:tcPr>
          <w:p w14:paraId="0624521B" w14:textId="10210E4B" w:rsidR="008F4DC2" w:rsidRDefault="008F4DC2" w:rsidP="008F4DC2">
            <w:r w:rsidRPr="009B2B20">
              <w:t>7499(A)</w:t>
            </w:r>
          </w:p>
        </w:tc>
        <w:tc>
          <w:tcPr>
            <w:tcW w:w="8550" w:type="dxa"/>
          </w:tcPr>
          <w:p w14:paraId="3A6E932D" w14:textId="5F2E15DB" w:rsidR="008F4DC2" w:rsidRDefault="008F4DC2" w:rsidP="008F4DC2">
            <w:r w:rsidRPr="009B2B20">
              <w:t>The unit is a pulverized coal/solid fossil fuel unit</w:t>
            </w:r>
          </w:p>
        </w:tc>
      </w:tr>
      <w:tr w:rsidR="008F4DC2" w14:paraId="5E5DCF00" w14:textId="77777777" w:rsidTr="008F4DC2">
        <w:tc>
          <w:tcPr>
            <w:tcW w:w="1530" w:type="dxa"/>
          </w:tcPr>
          <w:p w14:paraId="08BED5C3" w14:textId="06095EC2" w:rsidR="008F4DC2" w:rsidRDefault="008F4DC2" w:rsidP="008F4DC2">
            <w:r w:rsidRPr="009B2B20">
              <w:t>7499(B)</w:t>
            </w:r>
          </w:p>
        </w:tc>
        <w:tc>
          <w:tcPr>
            <w:tcW w:w="8550" w:type="dxa"/>
          </w:tcPr>
          <w:p w14:paraId="1C1B4CCB" w14:textId="3084F70B" w:rsidR="008F4DC2" w:rsidRDefault="008F4DC2" w:rsidP="008F4DC2">
            <w:r w:rsidRPr="009B2B20">
              <w:t>The unit is a stoker designed to burn coal/solid fossil fuel</w:t>
            </w:r>
          </w:p>
        </w:tc>
      </w:tr>
      <w:tr w:rsidR="008F4DC2" w14:paraId="4AF4213E" w14:textId="77777777" w:rsidTr="008F4DC2">
        <w:tc>
          <w:tcPr>
            <w:tcW w:w="1530" w:type="dxa"/>
          </w:tcPr>
          <w:p w14:paraId="4FDB293C" w14:textId="78062E2B" w:rsidR="008F4DC2" w:rsidRDefault="008F4DC2" w:rsidP="008F4DC2">
            <w:r w:rsidRPr="009B2B20">
              <w:t>7499(C)</w:t>
            </w:r>
          </w:p>
        </w:tc>
        <w:tc>
          <w:tcPr>
            <w:tcW w:w="8550" w:type="dxa"/>
          </w:tcPr>
          <w:p w14:paraId="25C9D4C4" w14:textId="20262B46" w:rsidR="008F4DC2" w:rsidRDefault="008F4DC2" w:rsidP="008F4DC2">
            <w:r w:rsidRPr="009B2B20">
              <w:t>The unit is a fluidized bed unit designed to burn coal/solid fossil fuel (without integrated heat exchanger)</w:t>
            </w:r>
          </w:p>
        </w:tc>
      </w:tr>
      <w:tr w:rsidR="008F4DC2" w14:paraId="291BC997" w14:textId="77777777" w:rsidTr="008F4DC2">
        <w:tc>
          <w:tcPr>
            <w:tcW w:w="1530" w:type="dxa"/>
          </w:tcPr>
          <w:p w14:paraId="12AC30A7" w14:textId="7356D573" w:rsidR="008F4DC2" w:rsidRDefault="008F4DC2" w:rsidP="008F4DC2">
            <w:r w:rsidRPr="009B2B20">
              <w:t>7499(S)</w:t>
            </w:r>
          </w:p>
        </w:tc>
        <w:tc>
          <w:tcPr>
            <w:tcW w:w="8550" w:type="dxa"/>
          </w:tcPr>
          <w:p w14:paraId="72D32412" w14:textId="65477F62" w:rsidR="008F4DC2" w:rsidRDefault="008F4DC2" w:rsidP="008F4DC2">
            <w:r w:rsidRPr="009B2B20">
              <w:t>The unit is a fluidized bed unit with an integrated fluidized bed heat exchanger designed to burn coal/solid fossil fuel</w:t>
            </w:r>
          </w:p>
        </w:tc>
      </w:tr>
      <w:tr w:rsidR="008F4DC2" w14:paraId="7930DEE7" w14:textId="77777777" w:rsidTr="008F4DC2">
        <w:tc>
          <w:tcPr>
            <w:tcW w:w="1530" w:type="dxa"/>
          </w:tcPr>
          <w:p w14:paraId="2A1173DC" w14:textId="02EEADF1" w:rsidR="008F4DC2" w:rsidRDefault="008F4DC2" w:rsidP="008F4DC2">
            <w:r w:rsidRPr="009B2B20">
              <w:t>SUBNA</w:t>
            </w:r>
          </w:p>
        </w:tc>
        <w:tc>
          <w:tcPr>
            <w:tcW w:w="8550" w:type="dxa"/>
          </w:tcPr>
          <w:p w14:paraId="7A9675C4" w14:textId="1993BA24" w:rsidR="008F4DC2" w:rsidRDefault="008F4DC2" w:rsidP="008F4DC2">
            <w:r w:rsidRPr="009B2B20">
              <w:t>The unit is not part of the subcategories in §63.7499(a), (b), (c) or (s)</w:t>
            </w:r>
          </w:p>
        </w:tc>
      </w:tr>
    </w:tbl>
    <w:p w14:paraId="46154E93" w14:textId="77777777" w:rsidR="00CE490C" w:rsidRPr="00796ABB" w:rsidRDefault="00CE490C" w:rsidP="00316234">
      <w:pPr>
        <w:pStyle w:val="APDStrong"/>
        <w:spacing w:before="120"/>
      </w:pPr>
      <w:r w:rsidRPr="00796ABB">
        <w:t>CO Emission:</w:t>
      </w:r>
    </w:p>
    <w:p w14:paraId="3A743931" w14:textId="77777777" w:rsidR="00CE490C" w:rsidRDefault="00CE490C" w:rsidP="000D7AB4">
      <w:pPr>
        <w:pStyle w:val="APDBodyText"/>
      </w:pPr>
      <w:r w:rsidRPr="00796ABB">
        <w:t>Select one of the following CO emission limit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7A0EEA" w14:paraId="06078A6A" w14:textId="77777777" w:rsidTr="007A0EEA">
        <w:tc>
          <w:tcPr>
            <w:tcW w:w="1530" w:type="dxa"/>
          </w:tcPr>
          <w:p w14:paraId="523DFF89" w14:textId="4F5023DB" w:rsidR="007A0EEA" w:rsidRPr="007A0EEA" w:rsidRDefault="007A0EEA" w:rsidP="007A0EEA">
            <w:pPr>
              <w:rPr>
                <w:b/>
                <w:bCs/>
              </w:rPr>
            </w:pPr>
            <w:r w:rsidRPr="007A0EEA">
              <w:rPr>
                <w:b/>
                <w:bCs/>
              </w:rPr>
              <w:t>Code</w:t>
            </w:r>
          </w:p>
        </w:tc>
        <w:tc>
          <w:tcPr>
            <w:tcW w:w="8550" w:type="dxa"/>
          </w:tcPr>
          <w:p w14:paraId="2F8114CB" w14:textId="507C60E6" w:rsidR="007A0EEA" w:rsidRPr="007A0EEA" w:rsidRDefault="007A0EEA" w:rsidP="007A0EEA">
            <w:pPr>
              <w:rPr>
                <w:b/>
                <w:bCs/>
              </w:rPr>
            </w:pPr>
            <w:r w:rsidRPr="007A0EEA">
              <w:rPr>
                <w:b/>
                <w:bCs/>
              </w:rPr>
              <w:t>Description</w:t>
            </w:r>
          </w:p>
        </w:tc>
      </w:tr>
      <w:tr w:rsidR="007A0EEA" w14:paraId="6AB98DC2" w14:textId="77777777" w:rsidTr="007A0EEA">
        <w:tc>
          <w:tcPr>
            <w:tcW w:w="1530" w:type="dxa"/>
          </w:tcPr>
          <w:p w14:paraId="6A55AFBD" w14:textId="4E9E3750" w:rsidR="007A0EEA" w:rsidRDefault="007A0EEA" w:rsidP="007A0EEA">
            <w:r w:rsidRPr="00C63694">
              <w:t>PPM-CO</w:t>
            </w:r>
          </w:p>
        </w:tc>
        <w:tc>
          <w:tcPr>
            <w:tcW w:w="8550" w:type="dxa"/>
          </w:tcPr>
          <w:p w14:paraId="7443DE71" w14:textId="26BCD726" w:rsidR="007A0EEA" w:rsidRDefault="007A0EEA" w:rsidP="007A0EEA">
            <w:r w:rsidRPr="00C63694">
              <w:t>Emission limits for CO in ppm by volume not using a CEMS (valid code only if “Table Applicability” is “SFF10” or if “BM Subcategory” is “7499(I)”, “7499(E)”, “7499(F)”, “7499(J)” or “7944(H)”</w:t>
            </w:r>
          </w:p>
        </w:tc>
      </w:tr>
      <w:tr w:rsidR="007A0EEA" w14:paraId="1D7203A3" w14:textId="77777777" w:rsidTr="007A0EEA">
        <w:tc>
          <w:tcPr>
            <w:tcW w:w="1530" w:type="dxa"/>
          </w:tcPr>
          <w:p w14:paraId="6B803D4A" w14:textId="3596938A" w:rsidR="007A0EEA" w:rsidRDefault="007A0EEA" w:rsidP="007A0EEA">
            <w:r w:rsidRPr="00C63694">
              <w:t>CEM-CO</w:t>
            </w:r>
          </w:p>
        </w:tc>
        <w:tc>
          <w:tcPr>
            <w:tcW w:w="8550" w:type="dxa"/>
          </w:tcPr>
          <w:p w14:paraId="31BC3CB7" w14:textId="6CA6DA97" w:rsidR="007A0EEA" w:rsidRDefault="007A0EEA" w:rsidP="007A0EEA">
            <w:r w:rsidRPr="00C63694">
              <w:t>Emission limits for CO in ppm by volume using a CEMS (valid code only if “Table Applicability” is “SFF10” or if “BM Subcategory” is “7499(I)”, “7499(E), “7499(F)”, “7499(J)”, or “7944(H)”</w:t>
            </w:r>
          </w:p>
        </w:tc>
      </w:tr>
      <w:tr w:rsidR="007A0EEA" w14:paraId="72E03F75" w14:textId="77777777" w:rsidTr="007A0EEA">
        <w:tc>
          <w:tcPr>
            <w:tcW w:w="1530" w:type="dxa"/>
          </w:tcPr>
          <w:p w14:paraId="3A023ECF" w14:textId="581CBB4E" w:rsidR="007A0EEA" w:rsidRDefault="007A0EEA" w:rsidP="007A0EEA">
            <w:r w:rsidRPr="00C63694">
              <w:t>PPM</w:t>
            </w:r>
          </w:p>
        </w:tc>
        <w:tc>
          <w:tcPr>
            <w:tcW w:w="8550" w:type="dxa"/>
          </w:tcPr>
          <w:p w14:paraId="033066B1" w14:textId="614A8144" w:rsidR="007A0EEA" w:rsidRDefault="007A0EEA" w:rsidP="007A0EEA">
            <w:r w:rsidRPr="00C63694">
              <w:t xml:space="preserve">Emission limits for CO in ppm by volume (valid code only if “Table Applicability” is “HLIQ10” or “LLIQ10”, or  “GAS2” or “BM Subcategory” is “7499(D)”, or “7499(G)” </w:t>
            </w:r>
          </w:p>
        </w:tc>
      </w:tr>
      <w:tr w:rsidR="007A0EEA" w14:paraId="5F02CC46" w14:textId="77777777" w:rsidTr="007A0EEA">
        <w:tc>
          <w:tcPr>
            <w:tcW w:w="1530" w:type="dxa"/>
          </w:tcPr>
          <w:p w14:paraId="1FEF5D53" w14:textId="024DF70E" w:rsidR="007A0EEA" w:rsidRDefault="007A0EEA" w:rsidP="007A0EEA">
            <w:r w:rsidRPr="00C63694">
              <w:t>STM-CO</w:t>
            </w:r>
          </w:p>
        </w:tc>
        <w:tc>
          <w:tcPr>
            <w:tcW w:w="8550" w:type="dxa"/>
          </w:tcPr>
          <w:p w14:paraId="3CDC0043" w14:textId="040B9667" w:rsidR="007A0EEA" w:rsidRDefault="007A0EEA" w:rsidP="007A0EEA">
            <w:r w:rsidRPr="00C63694">
              <w:t>Emission limits for CO in pounds per MMBtu steam output (for steam generating units only).</w:t>
            </w:r>
          </w:p>
        </w:tc>
      </w:tr>
      <w:tr w:rsidR="007A0EEA" w14:paraId="1151AFD2" w14:textId="77777777" w:rsidTr="007A0EEA">
        <w:tc>
          <w:tcPr>
            <w:tcW w:w="1530" w:type="dxa"/>
          </w:tcPr>
          <w:p w14:paraId="096393A4" w14:textId="4B959761" w:rsidR="007A0EEA" w:rsidRDefault="007A0EEA" w:rsidP="007A0EEA">
            <w:r w:rsidRPr="00C63694">
              <w:t>MWH-CO</w:t>
            </w:r>
          </w:p>
        </w:tc>
        <w:tc>
          <w:tcPr>
            <w:tcW w:w="8550" w:type="dxa"/>
          </w:tcPr>
          <w:p w14:paraId="4C23B7DE" w14:textId="44DD4A48" w:rsidR="007A0EEA" w:rsidRDefault="007A0EEA" w:rsidP="007A0EEA">
            <w:r w:rsidRPr="00C63694">
              <w:t>Emission limits for CO in pounds per MWh power output (for boilers that generate electricity only)</w:t>
            </w:r>
          </w:p>
        </w:tc>
      </w:tr>
    </w:tbl>
    <w:p w14:paraId="6FBE0907" w14:textId="2C1500CF" w:rsidR="00CE490C" w:rsidRPr="00A11BC9" w:rsidRDefault="00CE490C" w:rsidP="00FD7888">
      <w:pPr>
        <w:pStyle w:val="APDContinueTriangle"/>
      </w:pPr>
      <w:r w:rsidRPr="00A11BC9">
        <w:t xml:space="preserve">Continue only if </w:t>
      </w:r>
      <w:r w:rsidRPr="00A60DB3">
        <w:t>“</w:t>
      </w:r>
      <w:r>
        <w:t xml:space="preserve">CO Emission” </w:t>
      </w:r>
      <w:r w:rsidRPr="00A60DB3">
        <w:t>is “</w:t>
      </w:r>
      <w:r>
        <w:t>PPM-CO</w:t>
      </w:r>
      <w:r w:rsidR="00CF4181">
        <w:t>,”</w:t>
      </w:r>
      <w:r>
        <w:t xml:space="preserve"> “STM-CO</w:t>
      </w:r>
      <w:r w:rsidR="00CF4181">
        <w:t>,”</w:t>
      </w:r>
      <w:r>
        <w:t xml:space="preserve"> or “MWH-CO.”</w:t>
      </w:r>
    </w:p>
    <w:p w14:paraId="441127B4" w14:textId="65EDADFA" w:rsidR="00CE490C" w:rsidRPr="00796ABB" w:rsidRDefault="00CE490C" w:rsidP="00277E85">
      <w:pPr>
        <w:pStyle w:val="APDStrong"/>
      </w:pPr>
      <w:r w:rsidRPr="00796ABB">
        <w:t>CO-CMS:</w:t>
      </w:r>
    </w:p>
    <w:p w14:paraId="612D02CC" w14:textId="77777777" w:rsidR="00CE490C" w:rsidRDefault="00CE490C" w:rsidP="0002614D">
      <w:pPr>
        <w:pStyle w:val="APDBodyText"/>
      </w:pPr>
      <w:r w:rsidRPr="00796ABB">
        <w:t>Select one of the following continuous monitoring system (CMS) options.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4C78E0" w14:paraId="75EA31D6" w14:textId="77777777" w:rsidTr="004C78E0">
        <w:tc>
          <w:tcPr>
            <w:tcW w:w="1530" w:type="dxa"/>
          </w:tcPr>
          <w:p w14:paraId="3C647600" w14:textId="4676F58C" w:rsidR="004C78E0" w:rsidRPr="00713CED" w:rsidRDefault="004C78E0" w:rsidP="004C78E0">
            <w:pPr>
              <w:rPr>
                <w:b/>
                <w:bCs/>
              </w:rPr>
            </w:pPr>
            <w:r w:rsidRPr="00713CED">
              <w:rPr>
                <w:b/>
                <w:bCs/>
              </w:rPr>
              <w:t>Code</w:t>
            </w:r>
          </w:p>
        </w:tc>
        <w:tc>
          <w:tcPr>
            <w:tcW w:w="8550" w:type="dxa"/>
          </w:tcPr>
          <w:p w14:paraId="750FB045" w14:textId="5CB6C7D6" w:rsidR="004C78E0" w:rsidRPr="00713CED" w:rsidRDefault="004C78E0" w:rsidP="004C78E0">
            <w:pPr>
              <w:rPr>
                <w:b/>
                <w:bCs/>
              </w:rPr>
            </w:pPr>
            <w:r w:rsidRPr="00713CED">
              <w:rPr>
                <w:b/>
                <w:bCs/>
              </w:rPr>
              <w:t>Description</w:t>
            </w:r>
          </w:p>
        </w:tc>
      </w:tr>
      <w:tr w:rsidR="004C78E0" w14:paraId="645537B7" w14:textId="77777777" w:rsidTr="004C78E0">
        <w:tc>
          <w:tcPr>
            <w:tcW w:w="1530" w:type="dxa"/>
          </w:tcPr>
          <w:p w14:paraId="3486D8CD" w14:textId="6B1D3D9F" w:rsidR="004C78E0" w:rsidRDefault="004C78E0" w:rsidP="004C78E0">
            <w:r w:rsidRPr="007F5657">
              <w:t>COCMS</w:t>
            </w:r>
          </w:p>
        </w:tc>
        <w:tc>
          <w:tcPr>
            <w:tcW w:w="8550" w:type="dxa"/>
          </w:tcPr>
          <w:p w14:paraId="34380644" w14:textId="5BD1F7A5" w:rsidR="004C78E0" w:rsidRDefault="004C78E0" w:rsidP="004C78E0">
            <w:r w:rsidRPr="007F5657">
              <w:t>CO CMS is used</w:t>
            </w:r>
          </w:p>
        </w:tc>
      </w:tr>
      <w:tr w:rsidR="004C78E0" w14:paraId="5A4D7C15" w14:textId="77777777" w:rsidTr="004C78E0">
        <w:tc>
          <w:tcPr>
            <w:tcW w:w="1530" w:type="dxa"/>
          </w:tcPr>
          <w:p w14:paraId="34475F97" w14:textId="21164A96" w:rsidR="004C78E0" w:rsidRDefault="004C78E0" w:rsidP="004C78E0">
            <w:r w:rsidRPr="007F5657">
              <w:t>NONE</w:t>
            </w:r>
          </w:p>
        </w:tc>
        <w:tc>
          <w:tcPr>
            <w:tcW w:w="8550" w:type="dxa"/>
          </w:tcPr>
          <w:p w14:paraId="312B0437" w14:textId="6F382791" w:rsidR="004C78E0" w:rsidRDefault="004C78E0" w:rsidP="004C78E0">
            <w:r w:rsidRPr="007F5657">
              <w:t>CMS is not being used</w:t>
            </w:r>
          </w:p>
        </w:tc>
      </w:tr>
    </w:tbl>
    <w:p w14:paraId="19E42BA7" w14:textId="77777777" w:rsidR="00CE490C" w:rsidRDefault="00CE490C" w:rsidP="00CA1DC2">
      <w:pPr>
        <w:pStyle w:val="APDStrong"/>
        <w:spacing w:before="120"/>
      </w:pPr>
      <w:r>
        <w:t>CO-Test</w:t>
      </w:r>
      <w:r w:rsidRPr="00E56859">
        <w:t>:</w:t>
      </w:r>
    </w:p>
    <w:p w14:paraId="616B58C4" w14:textId="77777777" w:rsidR="00CE490C" w:rsidRDefault="00CE490C" w:rsidP="00990EB0">
      <w:pPr>
        <w:pStyle w:val="APDBodyText"/>
      </w:pPr>
      <w:r w:rsidRPr="00C61FD3">
        <w:t>Select one of the following</w:t>
      </w:r>
      <w:r>
        <w:t xml:space="preserve"> CO performance test options. </w:t>
      </w:r>
      <w:r w:rsidRPr="00302226">
        <w:t>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056506" w14:paraId="5BBF9379" w14:textId="77777777" w:rsidTr="00056506">
        <w:trPr>
          <w:cantSplit/>
          <w:tblHeader/>
        </w:trPr>
        <w:tc>
          <w:tcPr>
            <w:tcW w:w="1530" w:type="dxa"/>
          </w:tcPr>
          <w:p w14:paraId="6EE00EF9" w14:textId="008D288E" w:rsidR="00056506" w:rsidRPr="00056506" w:rsidRDefault="00056506" w:rsidP="00056506">
            <w:pPr>
              <w:rPr>
                <w:b/>
                <w:bCs/>
              </w:rPr>
            </w:pPr>
            <w:r w:rsidRPr="00056506">
              <w:rPr>
                <w:b/>
                <w:bCs/>
              </w:rPr>
              <w:t>Code</w:t>
            </w:r>
          </w:p>
        </w:tc>
        <w:tc>
          <w:tcPr>
            <w:tcW w:w="8550" w:type="dxa"/>
          </w:tcPr>
          <w:p w14:paraId="24AB53EE" w14:textId="425983E3" w:rsidR="00056506" w:rsidRPr="00056506" w:rsidRDefault="00056506" w:rsidP="00056506">
            <w:pPr>
              <w:rPr>
                <w:b/>
                <w:bCs/>
              </w:rPr>
            </w:pPr>
            <w:r w:rsidRPr="00056506">
              <w:rPr>
                <w:b/>
                <w:bCs/>
              </w:rPr>
              <w:t>Description</w:t>
            </w:r>
          </w:p>
        </w:tc>
      </w:tr>
      <w:tr w:rsidR="00056506" w14:paraId="126B1BA1" w14:textId="77777777" w:rsidTr="00056506">
        <w:trPr>
          <w:cantSplit/>
          <w:tblHeader/>
        </w:trPr>
        <w:tc>
          <w:tcPr>
            <w:tcW w:w="1530" w:type="dxa"/>
          </w:tcPr>
          <w:p w14:paraId="5F8963C5" w14:textId="7F256D0F" w:rsidR="00056506" w:rsidRDefault="00056506" w:rsidP="00056506">
            <w:r w:rsidRPr="00BD050D">
              <w:t>PT</w:t>
            </w:r>
          </w:p>
        </w:tc>
        <w:tc>
          <w:tcPr>
            <w:tcW w:w="8550" w:type="dxa"/>
          </w:tcPr>
          <w:p w14:paraId="34C55C1A" w14:textId="59D5DCB2" w:rsidR="00056506" w:rsidRDefault="00056506" w:rsidP="00056506">
            <w:r w:rsidRPr="00BD050D">
              <w:t>Compliance is demonstrated by conducting a performance test for CO</w:t>
            </w:r>
          </w:p>
        </w:tc>
      </w:tr>
      <w:tr w:rsidR="00056506" w14:paraId="53F3A1A6" w14:textId="77777777" w:rsidTr="00056506">
        <w:trPr>
          <w:cantSplit/>
          <w:tblHeader/>
        </w:trPr>
        <w:tc>
          <w:tcPr>
            <w:tcW w:w="1530" w:type="dxa"/>
          </w:tcPr>
          <w:p w14:paraId="320F9C39" w14:textId="7C80896E" w:rsidR="00056506" w:rsidRDefault="00056506" w:rsidP="00056506">
            <w:r w:rsidRPr="00BD050D">
              <w:t>NPT</w:t>
            </w:r>
          </w:p>
        </w:tc>
        <w:tc>
          <w:tcPr>
            <w:tcW w:w="8550" w:type="dxa"/>
          </w:tcPr>
          <w:p w14:paraId="1BE8FB0B" w14:textId="6A2528F6" w:rsidR="00056506" w:rsidRDefault="00056506" w:rsidP="00056506">
            <w:r w:rsidRPr="00BD050D">
              <w:t>A performance test is not being used</w:t>
            </w:r>
          </w:p>
        </w:tc>
      </w:tr>
    </w:tbl>
    <w:p w14:paraId="25B46E5E" w14:textId="77777777" w:rsidR="00056506" w:rsidRDefault="00056506" w:rsidP="003E408D">
      <w:pPr>
        <w:pStyle w:val="APDCodeList"/>
      </w:pPr>
    </w:p>
    <w:p w14:paraId="72BA081D" w14:textId="77777777" w:rsidR="00056506" w:rsidRPr="003E408D" w:rsidRDefault="00056506" w:rsidP="003E408D">
      <w:pPr>
        <w:pStyle w:val="APDCodeList"/>
        <w:sectPr w:rsidR="00056506" w:rsidRPr="003E408D" w:rsidSect="0031268E">
          <w:pgSz w:w="12240" w:h="15840" w:code="1"/>
          <w:pgMar w:top="720" w:right="720" w:bottom="720" w:left="720" w:header="720" w:footer="720" w:gutter="0"/>
          <w:cols w:space="720"/>
          <w:titlePg/>
          <w:docGrid w:linePitch="360"/>
        </w:sectPr>
      </w:pPr>
    </w:p>
    <w:p w14:paraId="12DDE7AE" w14:textId="77777777" w:rsidR="007F5E11" w:rsidRPr="00EF0801" w:rsidRDefault="007F5E11" w:rsidP="007F5E11">
      <w:pPr>
        <w:pBdr>
          <w:bottom w:val="double" w:sz="6" w:space="1" w:color="auto"/>
        </w:pBdr>
      </w:pPr>
    </w:p>
    <w:bookmarkStart w:id="157" w:name="Table_15a"/>
    <w:p w14:paraId="66F0C249" w14:textId="6B7A0B41" w:rsidR="007F5E11" w:rsidRPr="003C7E79" w:rsidRDefault="008D1E2B" w:rsidP="002C7C54">
      <w:pPr>
        <w:pStyle w:val="APDChapterTitles"/>
        <w:rPr>
          <w:rStyle w:val="APDTableChapterChar"/>
          <w:b/>
          <w:bCs w:val="0"/>
        </w:rPr>
      </w:pPr>
      <w:r>
        <w:rPr>
          <w:rStyle w:val="Hyperlink"/>
          <w:b/>
          <w:bCs w:val="0"/>
        </w:rPr>
        <w:fldChar w:fldCharType="begin"/>
      </w:r>
      <w:r>
        <w:rPr>
          <w:rStyle w:val="Hyperlink"/>
          <w:b/>
          <w:bCs w:val="0"/>
        </w:rPr>
        <w:instrText>HYPERLINK  \l "TBL_15a" \o "Table 15a"</w:instrText>
      </w:r>
      <w:r>
        <w:rPr>
          <w:rStyle w:val="Hyperlink"/>
          <w:b/>
          <w:bCs w:val="0"/>
        </w:rPr>
      </w:r>
      <w:r>
        <w:rPr>
          <w:rStyle w:val="Hyperlink"/>
          <w:b/>
          <w:bCs w:val="0"/>
        </w:rPr>
        <w:fldChar w:fldCharType="separate"/>
      </w:r>
      <w:bookmarkStart w:id="158" w:name="_Toc180398531"/>
      <w:bookmarkStart w:id="159" w:name="_Toc180398585"/>
      <w:r w:rsidR="007F5E11" w:rsidRPr="008D1E2B">
        <w:rPr>
          <w:rStyle w:val="Hyperlink"/>
          <w:b/>
          <w:bCs w:val="0"/>
        </w:rPr>
        <w:t>Table 15</w:t>
      </w:r>
      <w:r w:rsidR="005A6479" w:rsidRPr="008D1E2B">
        <w:rPr>
          <w:rStyle w:val="Hyperlink"/>
          <w:b/>
          <w:bCs w:val="0"/>
        </w:rPr>
        <w:t>a</w:t>
      </w:r>
      <w:bookmarkEnd w:id="157"/>
      <w:r w:rsidR="007F5E11" w:rsidRPr="008D1E2B">
        <w:rPr>
          <w:rStyle w:val="Hyperlink"/>
          <w:b/>
          <w:bCs w:val="0"/>
        </w:rPr>
        <w:t>:</w:t>
      </w:r>
      <w:r>
        <w:rPr>
          <w:rStyle w:val="Hyperlink"/>
          <w:b/>
          <w:bCs w:val="0"/>
        </w:rPr>
        <w:fldChar w:fldCharType="end"/>
      </w:r>
      <w:r w:rsidR="007F5E11">
        <w:tab/>
      </w:r>
      <w:r w:rsidR="007F5E11" w:rsidRPr="003C7E79">
        <w:rPr>
          <w:rStyle w:val="APDTableChapterChar"/>
          <w:b/>
        </w:rPr>
        <w:t xml:space="preserve">Title 40 Code of Federal Regulations Part 60 (40 CFR Part 60), Subpart TTTT: Standards of Performance for Greenhouse Gas Emissions </w:t>
      </w:r>
      <w:r w:rsidR="003464F4" w:rsidRPr="003C7E79">
        <w:rPr>
          <w:rStyle w:val="APDTableChapterChar"/>
          <w:b/>
        </w:rPr>
        <w:t>for Electric Utility Generating Units</w:t>
      </w:r>
      <w:bookmarkEnd w:id="158"/>
      <w:bookmarkEnd w:id="159"/>
    </w:p>
    <w:p w14:paraId="68428878" w14:textId="5B037D9E" w:rsidR="00475783" w:rsidRDefault="00475783" w:rsidP="00390EE3">
      <w:pPr>
        <w:pStyle w:val="APDCompleteStar"/>
      </w:pPr>
      <w:r>
        <w:t xml:space="preserve">Do not complete this table for steam generating units or </w:t>
      </w:r>
      <w:r w:rsidR="000C4539">
        <w:t>integrated gasification combined cycle (</w:t>
      </w:r>
      <w:r>
        <w:t>IGCC</w:t>
      </w:r>
      <w:r w:rsidR="000C4539">
        <w:t>) facilities</w:t>
      </w:r>
      <w:r>
        <w:t xml:space="preserve"> that have been constructed after January 8, </w:t>
      </w:r>
      <w:r w:rsidR="00E36EDF">
        <w:t>2014,</w:t>
      </w:r>
      <w:r>
        <w:t xml:space="preserve"> or have been modified or reconstructed after June</w:t>
      </w:r>
      <w:r w:rsidR="003774AB">
        <w:t> </w:t>
      </w:r>
      <w:r>
        <w:t>18, 2014</w:t>
      </w:r>
      <w:r w:rsidR="00E36EDF">
        <w:t>,</w:t>
      </w:r>
      <w:r>
        <w:t xml:space="preserve"> that do not meet the applicability criteria listed in 40 CFR §60.5509(a)(1)-(2).</w:t>
      </w:r>
    </w:p>
    <w:p w14:paraId="30184AA8" w14:textId="4A5040D6" w:rsidR="00475783" w:rsidRPr="00475783" w:rsidRDefault="00475783" w:rsidP="00390EE3">
      <w:pPr>
        <w:pStyle w:val="APDCompleteStar"/>
      </w:pPr>
      <w:r>
        <w:t>Do not complete this table for steam generating units or IGCC</w:t>
      </w:r>
      <w:r w:rsidR="008E52F1">
        <w:t xml:space="preserve"> facilities</w:t>
      </w:r>
      <w:r>
        <w:t xml:space="preserve"> that meet any of the conditions specified in 40 CFR §60.5509(b)(1)-(10).</w:t>
      </w:r>
    </w:p>
    <w:p w14:paraId="47E7A203" w14:textId="04FA18AD" w:rsidR="003464F4" w:rsidRPr="001D6431" w:rsidRDefault="003464F4" w:rsidP="001D6431">
      <w:pPr>
        <w:pStyle w:val="APDStrong"/>
      </w:pPr>
      <w:r w:rsidRPr="001D6431">
        <w:t xml:space="preserve">Unit ID </w:t>
      </w:r>
      <w:r w:rsidR="00B42127">
        <w:t>N</w:t>
      </w:r>
      <w:r w:rsidR="0005593D">
        <w:t>o</w:t>
      </w:r>
      <w:r w:rsidRPr="001D6431">
        <w:t>.:</w:t>
      </w:r>
    </w:p>
    <w:p w14:paraId="1C3F371E" w14:textId="29485826" w:rsidR="003464F4" w:rsidRDefault="003464F4" w:rsidP="00F353D7">
      <w:pPr>
        <w:pStyle w:val="APDBodyText"/>
      </w:pPr>
      <w:r w:rsidRPr="00EF0801">
        <w:t xml:space="preserve">Enter the identification number (ID </w:t>
      </w:r>
      <w:r w:rsidR="00B42127">
        <w:t>N</w:t>
      </w:r>
      <w:r w:rsidR="005667BA">
        <w:t>o</w:t>
      </w:r>
      <w:r w:rsidRPr="00EF0801">
        <w:t>.) for the unit (maximum 10 characters) as listed on Form OP SUM (Individual</w:t>
      </w:r>
      <w:r>
        <w:t> </w:t>
      </w:r>
      <w:r w:rsidRPr="00EF0801">
        <w:t>Unit Summary).</w:t>
      </w:r>
    </w:p>
    <w:p w14:paraId="40322E33" w14:textId="28F8EE30" w:rsidR="003464F4" w:rsidRPr="001D6431" w:rsidRDefault="003464F4" w:rsidP="001D6431">
      <w:pPr>
        <w:pStyle w:val="APDStrong"/>
      </w:pPr>
      <w:r w:rsidRPr="001D6431">
        <w:rPr>
          <w:rStyle w:val="APDQuestion"/>
          <w:b/>
        </w:rPr>
        <w:t>SOP</w:t>
      </w:r>
      <w:r w:rsidRPr="001D6431">
        <w:t xml:space="preserve"> Index </w:t>
      </w:r>
      <w:r w:rsidR="00B42127">
        <w:t>N</w:t>
      </w:r>
      <w:r w:rsidR="0005593D">
        <w:t>o</w:t>
      </w:r>
      <w:r w:rsidRPr="001D6431">
        <w:t>.:</w:t>
      </w:r>
    </w:p>
    <w:p w14:paraId="60232C1F" w14:textId="62240284" w:rsidR="003464F4" w:rsidRDefault="003464F4" w:rsidP="00F353D7">
      <w:pPr>
        <w:pStyle w:val="APDBodyText"/>
      </w:pPr>
      <w:r w:rsidRPr="00492A62">
        <w:t>Site operating permit (SOP) applicants should indicate the SOP index number for the unit or group of units (maximum 15 characters consisting of numeric, alphanumeric characters, and/or dashes prefixed by a code for the applicable regulation [i.e., 60KB-XXXX]).</w:t>
      </w:r>
      <w:r w:rsidR="0088264A">
        <w:t xml:space="preserve"> </w:t>
      </w:r>
      <w:r w:rsidR="00CC2143" w:rsidRPr="00EF0801">
        <w:t xml:space="preserve">For additional information relating to SOP index numbers, please </w:t>
      </w:r>
      <w:r w:rsidR="00CC2143">
        <w:t xml:space="preserve">see the Completing FOP Applications – Additional Guidance on the </w:t>
      </w:r>
      <w:r w:rsidR="00CC2143" w:rsidRPr="00EF0801">
        <w:t xml:space="preserve">TCEQ website at </w:t>
      </w:r>
      <w:hyperlink r:id="rId57" w:tooltip="TCEQ - Completing FOP Applications - Additional Guidance" w:history="1">
        <w:r w:rsidR="00B51B26" w:rsidRPr="00677F90">
          <w:rPr>
            <w:rStyle w:val="Hyperlink"/>
          </w:rPr>
          <w:t>www.tceq.texas.gov/permitting/air/guidance/titlev/tv_fop_guidance.html</w:t>
        </w:r>
      </w:hyperlink>
      <w:r w:rsidR="00CC2143" w:rsidRPr="00EF0801">
        <w:t>.</w:t>
      </w:r>
    </w:p>
    <w:p w14:paraId="6594AC08" w14:textId="77777777" w:rsidR="003464F4" w:rsidRPr="001D6431" w:rsidRDefault="003464F4" w:rsidP="001D6431">
      <w:pPr>
        <w:pStyle w:val="APDStrong"/>
      </w:pPr>
      <w:r w:rsidRPr="001D6431">
        <w:t>Unit Type:</w:t>
      </w:r>
    </w:p>
    <w:p w14:paraId="139898DC" w14:textId="1E302833" w:rsidR="003464F4" w:rsidRDefault="003464F4" w:rsidP="00F353D7">
      <w:pPr>
        <w:pStyle w:val="APDBodyText"/>
      </w:pPr>
      <w:r w:rsidRPr="003464F4">
        <w:t>Select one of the following unit type</w:t>
      </w:r>
      <w:r>
        <w:t xml:space="preserve"> options</w:t>
      </w:r>
      <w:r w:rsidRPr="003464F4">
        <w: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25"/>
        <w:gridCol w:w="8555"/>
      </w:tblGrid>
      <w:tr w:rsidR="006B3414" w14:paraId="0B7A3E56" w14:textId="77777777" w:rsidTr="006B3414">
        <w:trPr>
          <w:cantSplit/>
          <w:tblHeader/>
        </w:trPr>
        <w:tc>
          <w:tcPr>
            <w:tcW w:w="1525" w:type="dxa"/>
          </w:tcPr>
          <w:p w14:paraId="07D8DD9F" w14:textId="199E1F1D" w:rsidR="006B3414" w:rsidRPr="006B3414" w:rsidRDefault="006B3414" w:rsidP="006B3414">
            <w:pPr>
              <w:rPr>
                <w:b/>
                <w:bCs/>
              </w:rPr>
            </w:pPr>
            <w:r w:rsidRPr="006B3414">
              <w:rPr>
                <w:b/>
                <w:bCs/>
              </w:rPr>
              <w:t>Code</w:t>
            </w:r>
          </w:p>
        </w:tc>
        <w:tc>
          <w:tcPr>
            <w:tcW w:w="8555" w:type="dxa"/>
          </w:tcPr>
          <w:p w14:paraId="25BAD496" w14:textId="621C5D18" w:rsidR="006B3414" w:rsidRPr="006B3414" w:rsidRDefault="006B3414" w:rsidP="006B3414">
            <w:pPr>
              <w:rPr>
                <w:b/>
                <w:bCs/>
              </w:rPr>
            </w:pPr>
            <w:r w:rsidRPr="006B3414">
              <w:rPr>
                <w:b/>
                <w:bCs/>
              </w:rPr>
              <w:t>Description</w:t>
            </w:r>
          </w:p>
        </w:tc>
      </w:tr>
      <w:tr w:rsidR="006B3414" w14:paraId="7631A70C" w14:textId="77777777" w:rsidTr="006B3414">
        <w:trPr>
          <w:cantSplit/>
          <w:tblHeader/>
        </w:trPr>
        <w:tc>
          <w:tcPr>
            <w:tcW w:w="1525" w:type="dxa"/>
          </w:tcPr>
          <w:p w14:paraId="6BB6136D" w14:textId="752C5F72" w:rsidR="006B3414" w:rsidRDefault="006B3414" w:rsidP="006B3414">
            <w:r w:rsidRPr="00073837">
              <w:t>STEAM</w:t>
            </w:r>
          </w:p>
        </w:tc>
        <w:tc>
          <w:tcPr>
            <w:tcW w:w="8555" w:type="dxa"/>
          </w:tcPr>
          <w:p w14:paraId="4314208D" w14:textId="425690AD" w:rsidR="006B3414" w:rsidRDefault="006B3414" w:rsidP="006B3414">
            <w:r w:rsidRPr="00073837">
              <w:t>Steam generating unit</w:t>
            </w:r>
          </w:p>
        </w:tc>
      </w:tr>
      <w:tr w:rsidR="006B3414" w14:paraId="0431A31A" w14:textId="77777777" w:rsidTr="006B3414">
        <w:trPr>
          <w:cantSplit/>
          <w:tblHeader/>
        </w:trPr>
        <w:tc>
          <w:tcPr>
            <w:tcW w:w="1525" w:type="dxa"/>
          </w:tcPr>
          <w:p w14:paraId="69E271CA" w14:textId="0DF904DB" w:rsidR="006B3414" w:rsidRDefault="006B3414" w:rsidP="006B3414">
            <w:r w:rsidRPr="00073837">
              <w:t>IGCC</w:t>
            </w:r>
          </w:p>
        </w:tc>
        <w:tc>
          <w:tcPr>
            <w:tcW w:w="8555" w:type="dxa"/>
          </w:tcPr>
          <w:p w14:paraId="2F344B18" w14:textId="253C0E64" w:rsidR="006B3414" w:rsidRDefault="006B3414" w:rsidP="006B3414">
            <w:r w:rsidRPr="00073837">
              <w:t>Integrated gasification combined cycle facility</w:t>
            </w:r>
          </w:p>
        </w:tc>
      </w:tr>
    </w:tbl>
    <w:p w14:paraId="60B34A2D" w14:textId="77777777" w:rsidR="003464F4" w:rsidRPr="001D6431" w:rsidRDefault="003464F4" w:rsidP="006B3414">
      <w:pPr>
        <w:pStyle w:val="APDStrong"/>
        <w:spacing w:before="120"/>
      </w:pPr>
      <w:r w:rsidRPr="001D6431">
        <w:t>Construction/Modification Date:</w:t>
      </w:r>
    </w:p>
    <w:p w14:paraId="59318700" w14:textId="68EE6DA5" w:rsidR="003464F4" w:rsidRDefault="003464F4" w:rsidP="00F353D7">
      <w:pPr>
        <w:pStyle w:val="APDBodyText"/>
      </w:pPr>
      <w:r w:rsidRPr="003464F4">
        <w:t xml:space="preserve">Select one of the following options </w:t>
      </w:r>
      <w:r>
        <w:t>describing</w:t>
      </w:r>
      <w:r w:rsidRPr="003464F4">
        <w:t xml:space="preserve"> the date of commencement of the most recent construction, modification, or reconstruction.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CA380B" w14:paraId="1995CCF8" w14:textId="77777777" w:rsidTr="006D40A0">
        <w:tc>
          <w:tcPr>
            <w:tcW w:w="1530" w:type="dxa"/>
          </w:tcPr>
          <w:p w14:paraId="0879EB92" w14:textId="680B9487" w:rsidR="00CA380B" w:rsidRPr="00CA380B" w:rsidRDefault="00CA380B" w:rsidP="00CA380B">
            <w:pPr>
              <w:rPr>
                <w:b/>
                <w:bCs/>
              </w:rPr>
            </w:pPr>
            <w:r w:rsidRPr="00CA380B">
              <w:rPr>
                <w:b/>
                <w:bCs/>
              </w:rPr>
              <w:t>Code</w:t>
            </w:r>
          </w:p>
        </w:tc>
        <w:tc>
          <w:tcPr>
            <w:tcW w:w="8550" w:type="dxa"/>
          </w:tcPr>
          <w:p w14:paraId="484EFEE7" w14:textId="1F4DF189" w:rsidR="00CA380B" w:rsidRPr="00CA380B" w:rsidRDefault="00CA380B" w:rsidP="00CA380B">
            <w:pPr>
              <w:rPr>
                <w:b/>
                <w:bCs/>
              </w:rPr>
            </w:pPr>
            <w:r w:rsidRPr="00CA380B">
              <w:rPr>
                <w:b/>
                <w:bCs/>
              </w:rPr>
              <w:t>Description</w:t>
            </w:r>
          </w:p>
        </w:tc>
      </w:tr>
      <w:tr w:rsidR="00CA380B" w14:paraId="6EC3198C" w14:textId="77777777" w:rsidTr="006D40A0">
        <w:tc>
          <w:tcPr>
            <w:tcW w:w="1530" w:type="dxa"/>
          </w:tcPr>
          <w:p w14:paraId="22E512E6" w14:textId="0C37DD3B" w:rsidR="00CA380B" w:rsidRDefault="00CA380B" w:rsidP="00CA380B">
            <w:r w:rsidRPr="00E22DE3">
              <w:t>2014-</w:t>
            </w:r>
          </w:p>
        </w:tc>
        <w:tc>
          <w:tcPr>
            <w:tcW w:w="8550" w:type="dxa"/>
          </w:tcPr>
          <w:p w14:paraId="4912BC00" w14:textId="562EC659" w:rsidR="00CA380B" w:rsidRDefault="00CA380B" w:rsidP="00CA380B">
            <w:r w:rsidRPr="00E22DE3">
              <w:t>Constructed on or before January 8, 2014</w:t>
            </w:r>
          </w:p>
        </w:tc>
      </w:tr>
      <w:tr w:rsidR="00CA380B" w14:paraId="1CE44F4A" w14:textId="77777777" w:rsidTr="006D40A0">
        <w:tc>
          <w:tcPr>
            <w:tcW w:w="1530" w:type="dxa"/>
          </w:tcPr>
          <w:p w14:paraId="4DB80FFC" w14:textId="5B7C1AB9" w:rsidR="00CA380B" w:rsidRDefault="00CA380B" w:rsidP="00CA380B">
            <w:r w:rsidRPr="00E22DE3">
              <w:t>2014+</w:t>
            </w:r>
          </w:p>
        </w:tc>
        <w:tc>
          <w:tcPr>
            <w:tcW w:w="8550" w:type="dxa"/>
          </w:tcPr>
          <w:p w14:paraId="294A27C4" w14:textId="431A159B" w:rsidR="00CA380B" w:rsidRDefault="00CA380B" w:rsidP="00CA380B">
            <w:r w:rsidRPr="00E22DE3">
              <w:t>Constructed after January 8, 2014</w:t>
            </w:r>
          </w:p>
        </w:tc>
      </w:tr>
      <w:tr w:rsidR="00CA380B" w14:paraId="3C49FFA6" w14:textId="77777777" w:rsidTr="006D40A0">
        <w:tc>
          <w:tcPr>
            <w:tcW w:w="1530" w:type="dxa"/>
          </w:tcPr>
          <w:p w14:paraId="7DC28F7D" w14:textId="5ABBB273" w:rsidR="00CA380B" w:rsidRDefault="00CA380B" w:rsidP="00CA380B">
            <w:r w:rsidRPr="00E22DE3">
              <w:t>2014-M</w:t>
            </w:r>
          </w:p>
        </w:tc>
        <w:tc>
          <w:tcPr>
            <w:tcW w:w="8550" w:type="dxa"/>
          </w:tcPr>
          <w:p w14:paraId="2C07A4CC" w14:textId="6DB9C921" w:rsidR="00CA380B" w:rsidRDefault="00CA380B" w:rsidP="00CA380B">
            <w:r w:rsidRPr="00E22DE3">
              <w:t>Modified on or before June 18, 2014</w:t>
            </w:r>
          </w:p>
        </w:tc>
      </w:tr>
      <w:tr w:rsidR="00CA380B" w14:paraId="1FACD29D" w14:textId="77777777" w:rsidTr="006D40A0">
        <w:tc>
          <w:tcPr>
            <w:tcW w:w="1530" w:type="dxa"/>
          </w:tcPr>
          <w:p w14:paraId="7DE15F77" w14:textId="0B65F1A6" w:rsidR="00CA380B" w:rsidRDefault="00CA380B" w:rsidP="00CA380B">
            <w:r w:rsidRPr="00E22DE3">
              <w:t>2014+M</w:t>
            </w:r>
          </w:p>
        </w:tc>
        <w:tc>
          <w:tcPr>
            <w:tcW w:w="8550" w:type="dxa"/>
          </w:tcPr>
          <w:p w14:paraId="4A18421B" w14:textId="60F42E1E" w:rsidR="00CA380B" w:rsidRDefault="00CA380B" w:rsidP="00CA380B">
            <w:r w:rsidRPr="00E22DE3">
              <w:t>Modified after June 18, 2014</w:t>
            </w:r>
          </w:p>
        </w:tc>
      </w:tr>
      <w:tr w:rsidR="00CA380B" w14:paraId="633AC68F" w14:textId="77777777" w:rsidTr="006D40A0">
        <w:tc>
          <w:tcPr>
            <w:tcW w:w="1530" w:type="dxa"/>
          </w:tcPr>
          <w:p w14:paraId="44188B7B" w14:textId="129A1350" w:rsidR="00CA380B" w:rsidRDefault="00CA380B" w:rsidP="00CA380B">
            <w:r w:rsidRPr="00E22DE3">
              <w:t>2014-R</w:t>
            </w:r>
          </w:p>
        </w:tc>
        <w:tc>
          <w:tcPr>
            <w:tcW w:w="8550" w:type="dxa"/>
          </w:tcPr>
          <w:p w14:paraId="7CABBB3B" w14:textId="3BE39272" w:rsidR="00CA380B" w:rsidRDefault="00CA380B" w:rsidP="00CA380B">
            <w:r w:rsidRPr="00E22DE3">
              <w:t>Reconstructed on or before June 18, 2014</w:t>
            </w:r>
          </w:p>
        </w:tc>
      </w:tr>
      <w:tr w:rsidR="00CA380B" w14:paraId="671BF85C" w14:textId="77777777" w:rsidTr="006D40A0">
        <w:tc>
          <w:tcPr>
            <w:tcW w:w="1530" w:type="dxa"/>
          </w:tcPr>
          <w:p w14:paraId="60E04D2A" w14:textId="2475E39A" w:rsidR="00CA380B" w:rsidRDefault="00CA380B" w:rsidP="00CA380B">
            <w:r w:rsidRPr="00E22DE3">
              <w:t>2014+R</w:t>
            </w:r>
          </w:p>
        </w:tc>
        <w:tc>
          <w:tcPr>
            <w:tcW w:w="8550" w:type="dxa"/>
          </w:tcPr>
          <w:p w14:paraId="17FD2FB5" w14:textId="59A949A9" w:rsidR="00CA380B" w:rsidRDefault="00CA380B" w:rsidP="00CA380B">
            <w:r w:rsidRPr="00E22DE3">
              <w:t>Reconstructed after June 18, 2014</w:t>
            </w:r>
          </w:p>
        </w:tc>
      </w:tr>
    </w:tbl>
    <w:p w14:paraId="6BCA86F4" w14:textId="1FAABBB4" w:rsidR="001D5326" w:rsidRDefault="001D5326" w:rsidP="00FD7888">
      <w:pPr>
        <w:pStyle w:val="APDContinueTriangle"/>
        <w:rPr>
          <w:rFonts w:eastAsia="Calibri"/>
          <w:bCs/>
        </w:rPr>
      </w:pPr>
      <w:r w:rsidRPr="009E7B99">
        <w:t>Do not continue if “Construction/Modification Date” is “20</w:t>
      </w:r>
      <w:r>
        <w:t>14</w:t>
      </w:r>
      <w:r w:rsidRPr="009E7B99">
        <w:t>-”</w:t>
      </w:r>
      <w:r>
        <w:t>, “2014-M”, or “2014-R.”</w:t>
      </w:r>
    </w:p>
    <w:p w14:paraId="1826254E" w14:textId="193940ED" w:rsidR="001D5326" w:rsidRDefault="000C4539" w:rsidP="00390EE3">
      <w:pPr>
        <w:pStyle w:val="APDCompleteStar"/>
      </w:pPr>
      <w:r>
        <w:t>Do not complete “Base Load Rating” if Unit Type is “STEAM” or “IGCC”  and Construction/Modification Date is “2014+.”</w:t>
      </w:r>
    </w:p>
    <w:p w14:paraId="785E5B5A" w14:textId="77777777" w:rsidR="00231738" w:rsidRDefault="00231738" w:rsidP="001D6431">
      <w:pPr>
        <w:pStyle w:val="APDStrong"/>
        <w:sectPr w:rsidR="00231738" w:rsidSect="0031268E">
          <w:pgSz w:w="12240" w:h="15840" w:code="1"/>
          <w:pgMar w:top="720" w:right="720" w:bottom="720" w:left="720" w:header="720" w:footer="720" w:gutter="0"/>
          <w:cols w:space="720"/>
          <w:titlePg/>
          <w:docGrid w:linePitch="360"/>
        </w:sectPr>
      </w:pPr>
    </w:p>
    <w:p w14:paraId="2C5C1577" w14:textId="2F474626" w:rsidR="007F5E11" w:rsidRPr="001D6431" w:rsidRDefault="003464F4" w:rsidP="001D6431">
      <w:pPr>
        <w:pStyle w:val="APDStrong"/>
      </w:pPr>
      <w:r w:rsidRPr="001D6431">
        <w:lastRenderedPageBreak/>
        <w:t>Base Load Rating:</w:t>
      </w:r>
    </w:p>
    <w:p w14:paraId="5ECB6A56" w14:textId="67ECC985" w:rsidR="007F5E11" w:rsidRDefault="003464F4" w:rsidP="00F353D7">
      <w:pPr>
        <w:pStyle w:val="APDBodyText"/>
      </w:pPr>
      <w:r>
        <w:t>Select one of the following options describing the Base Load Rating.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25"/>
        <w:gridCol w:w="8555"/>
      </w:tblGrid>
      <w:tr w:rsidR="0077548D" w14:paraId="01725111" w14:textId="77777777" w:rsidTr="0077548D">
        <w:trPr>
          <w:cantSplit/>
          <w:tblHeader/>
        </w:trPr>
        <w:tc>
          <w:tcPr>
            <w:tcW w:w="1525" w:type="dxa"/>
          </w:tcPr>
          <w:p w14:paraId="4614C37E" w14:textId="7F77FE24" w:rsidR="0077548D" w:rsidRDefault="0077548D" w:rsidP="0077548D">
            <w:r w:rsidRPr="006F7DC8">
              <w:t>Code</w:t>
            </w:r>
          </w:p>
        </w:tc>
        <w:tc>
          <w:tcPr>
            <w:tcW w:w="8555" w:type="dxa"/>
          </w:tcPr>
          <w:p w14:paraId="259C8A4C" w14:textId="395DA1C4" w:rsidR="0077548D" w:rsidRDefault="0077548D" w:rsidP="0077548D">
            <w:r w:rsidRPr="006F7DC8">
              <w:t>Description</w:t>
            </w:r>
          </w:p>
        </w:tc>
      </w:tr>
      <w:tr w:rsidR="0077548D" w14:paraId="4E87D56A" w14:textId="77777777" w:rsidTr="0077548D">
        <w:trPr>
          <w:cantSplit/>
          <w:tblHeader/>
        </w:trPr>
        <w:tc>
          <w:tcPr>
            <w:tcW w:w="1525" w:type="dxa"/>
          </w:tcPr>
          <w:p w14:paraId="199CA948" w14:textId="5813AB40" w:rsidR="0077548D" w:rsidRDefault="0077548D" w:rsidP="0077548D">
            <w:r w:rsidRPr="006F7DC8">
              <w:t>2100-</w:t>
            </w:r>
          </w:p>
        </w:tc>
        <w:tc>
          <w:tcPr>
            <w:tcW w:w="8555" w:type="dxa"/>
          </w:tcPr>
          <w:p w14:paraId="2A16FA2A" w14:textId="059DA84B" w:rsidR="0077548D" w:rsidRDefault="0077548D" w:rsidP="0077548D">
            <w:r w:rsidRPr="006F7DC8">
              <w:t>The unit has a base load rating of 2,100 GJ/h (2,000 MMBtu/h) or less</w:t>
            </w:r>
          </w:p>
        </w:tc>
      </w:tr>
      <w:tr w:rsidR="0077548D" w14:paraId="62FE33E1" w14:textId="77777777" w:rsidTr="0077548D">
        <w:trPr>
          <w:cantSplit/>
          <w:tblHeader/>
        </w:trPr>
        <w:tc>
          <w:tcPr>
            <w:tcW w:w="1525" w:type="dxa"/>
          </w:tcPr>
          <w:p w14:paraId="4C1335E3" w14:textId="0C4E0A42" w:rsidR="0077548D" w:rsidRDefault="0077548D" w:rsidP="0077548D">
            <w:r w:rsidRPr="006F7DC8">
              <w:t>2100+</w:t>
            </w:r>
          </w:p>
        </w:tc>
        <w:tc>
          <w:tcPr>
            <w:tcW w:w="8555" w:type="dxa"/>
          </w:tcPr>
          <w:p w14:paraId="180716B1" w14:textId="28EC449E" w:rsidR="0077548D" w:rsidRDefault="0077548D" w:rsidP="0077548D">
            <w:r w:rsidRPr="006F7DC8">
              <w:t>The unit has a base load rating greater than 2,100 GJ/h (2,000 MMBtu/h)</w:t>
            </w:r>
          </w:p>
        </w:tc>
      </w:tr>
    </w:tbl>
    <w:p w14:paraId="5427BDC2" w14:textId="77777777" w:rsidR="00185E2F" w:rsidRPr="001D6431" w:rsidRDefault="00185E2F" w:rsidP="001D6431">
      <w:pPr>
        <w:pStyle w:val="APDStrong"/>
      </w:pPr>
      <w:r w:rsidRPr="001D6431">
        <w:t>Commercial Operation Date:</w:t>
      </w:r>
    </w:p>
    <w:p w14:paraId="13A79924" w14:textId="5796F0C8" w:rsidR="00185E2F" w:rsidRDefault="00185E2F" w:rsidP="00722CAB">
      <w:pPr>
        <w:pStyle w:val="APDBodyText"/>
      </w:pPr>
      <w:r w:rsidRPr="00185E2F">
        <w:t xml:space="preserve">Select one of the following options </w:t>
      </w:r>
      <w:r w:rsidR="00307C34">
        <w:t>describing</w:t>
      </w:r>
      <w:r w:rsidRPr="00185E2F">
        <w:t xml:space="preserve"> the date of commencement of commercial operation.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6D40A0" w14:paraId="5851293A" w14:textId="77777777" w:rsidTr="006D40A0">
        <w:trPr>
          <w:cantSplit/>
          <w:tblHeader/>
        </w:trPr>
        <w:tc>
          <w:tcPr>
            <w:tcW w:w="1530" w:type="dxa"/>
          </w:tcPr>
          <w:p w14:paraId="1573C990" w14:textId="77EDC579" w:rsidR="006D40A0" w:rsidRDefault="006D40A0" w:rsidP="006D40A0">
            <w:r w:rsidRPr="00C111A6">
              <w:t>Code</w:t>
            </w:r>
          </w:p>
        </w:tc>
        <w:tc>
          <w:tcPr>
            <w:tcW w:w="8550" w:type="dxa"/>
          </w:tcPr>
          <w:p w14:paraId="1608527C" w14:textId="77BDABD0" w:rsidR="006D40A0" w:rsidRDefault="006D40A0" w:rsidP="006D40A0">
            <w:r w:rsidRPr="00C111A6">
              <w:t>Description</w:t>
            </w:r>
          </w:p>
        </w:tc>
      </w:tr>
      <w:tr w:rsidR="006D40A0" w14:paraId="5A0035A7" w14:textId="77777777" w:rsidTr="006D40A0">
        <w:trPr>
          <w:cantSplit/>
          <w:tblHeader/>
        </w:trPr>
        <w:tc>
          <w:tcPr>
            <w:tcW w:w="1530" w:type="dxa"/>
          </w:tcPr>
          <w:p w14:paraId="3CA7692B" w14:textId="42754A51" w:rsidR="006D40A0" w:rsidRDefault="006D40A0" w:rsidP="006D40A0">
            <w:r w:rsidRPr="00C111A6">
              <w:t>2015-</w:t>
            </w:r>
          </w:p>
        </w:tc>
        <w:tc>
          <w:tcPr>
            <w:tcW w:w="8550" w:type="dxa"/>
          </w:tcPr>
          <w:p w14:paraId="7D7A5AF4" w14:textId="28B0D3BA" w:rsidR="006D40A0" w:rsidRDefault="006D40A0" w:rsidP="006D40A0">
            <w:r w:rsidRPr="00C111A6">
              <w:t>The unit commenced commercial operation before October 23, 2015</w:t>
            </w:r>
          </w:p>
        </w:tc>
      </w:tr>
      <w:tr w:rsidR="006D40A0" w14:paraId="2E3E9006" w14:textId="77777777" w:rsidTr="006D40A0">
        <w:trPr>
          <w:cantSplit/>
          <w:tblHeader/>
        </w:trPr>
        <w:tc>
          <w:tcPr>
            <w:tcW w:w="1530" w:type="dxa"/>
          </w:tcPr>
          <w:p w14:paraId="551740FA" w14:textId="22B7594B" w:rsidR="006D40A0" w:rsidRDefault="006D40A0" w:rsidP="006D40A0">
            <w:r w:rsidRPr="00C111A6">
              <w:t>2015+</w:t>
            </w:r>
          </w:p>
        </w:tc>
        <w:tc>
          <w:tcPr>
            <w:tcW w:w="8550" w:type="dxa"/>
          </w:tcPr>
          <w:p w14:paraId="78249394" w14:textId="6EE95A1A" w:rsidR="006D40A0" w:rsidRDefault="006D40A0" w:rsidP="006D40A0">
            <w:r w:rsidRPr="00C111A6">
              <w:t>The unit commenced commercial operation on or after October 23, 2015</w:t>
            </w:r>
          </w:p>
        </w:tc>
      </w:tr>
    </w:tbl>
    <w:p w14:paraId="269D1CF3" w14:textId="596A27A9" w:rsidR="000C4539" w:rsidRDefault="000C4539" w:rsidP="00390EE3">
      <w:pPr>
        <w:pStyle w:val="APDCompleteStar"/>
      </w:pPr>
      <w:r>
        <w:t>Complete “Emissions Reporting Date” only if “Commercial Operation Date” is “2015-.”</w:t>
      </w:r>
    </w:p>
    <w:p w14:paraId="180C6FD0" w14:textId="5C5AE3D7" w:rsidR="000C4539" w:rsidRPr="001D6431" w:rsidRDefault="000C4539" w:rsidP="001D6431">
      <w:pPr>
        <w:pStyle w:val="APDStrong"/>
      </w:pPr>
      <w:r w:rsidRPr="001D6431">
        <w:t>Emissions Reporting Date:</w:t>
      </w:r>
    </w:p>
    <w:p w14:paraId="302A338A" w14:textId="77777777" w:rsidR="000C4539" w:rsidRDefault="000C4539" w:rsidP="005F1EB6">
      <w:pPr>
        <w:pStyle w:val="APDBodyText"/>
      </w:pPr>
      <w:r>
        <w:t>Select one of the following options describing when emissions reporting is required to begin.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AD523C" w14:paraId="3E5FEC93" w14:textId="77777777" w:rsidTr="00AD523C">
        <w:trPr>
          <w:cantSplit/>
          <w:tblHeader/>
        </w:trPr>
        <w:tc>
          <w:tcPr>
            <w:tcW w:w="1530" w:type="dxa"/>
          </w:tcPr>
          <w:p w14:paraId="18E396C6" w14:textId="34D91CCB" w:rsidR="00AD523C" w:rsidRPr="00AD523C" w:rsidRDefault="00AD523C" w:rsidP="00AD523C">
            <w:pPr>
              <w:rPr>
                <w:b/>
                <w:bCs/>
              </w:rPr>
            </w:pPr>
            <w:r w:rsidRPr="00AD523C">
              <w:rPr>
                <w:b/>
                <w:bCs/>
              </w:rPr>
              <w:t>Code</w:t>
            </w:r>
          </w:p>
        </w:tc>
        <w:tc>
          <w:tcPr>
            <w:tcW w:w="8550" w:type="dxa"/>
          </w:tcPr>
          <w:p w14:paraId="6E1BDFA7" w14:textId="08326693" w:rsidR="00AD523C" w:rsidRPr="00AD523C" w:rsidRDefault="00AD523C" w:rsidP="00AD523C">
            <w:pPr>
              <w:rPr>
                <w:b/>
                <w:bCs/>
              </w:rPr>
            </w:pPr>
            <w:r w:rsidRPr="00AD523C">
              <w:rPr>
                <w:b/>
                <w:bCs/>
              </w:rPr>
              <w:t>Description</w:t>
            </w:r>
          </w:p>
        </w:tc>
      </w:tr>
      <w:tr w:rsidR="00AD523C" w14:paraId="230225AD" w14:textId="77777777" w:rsidTr="00AD523C">
        <w:trPr>
          <w:cantSplit/>
          <w:tblHeader/>
        </w:trPr>
        <w:tc>
          <w:tcPr>
            <w:tcW w:w="1530" w:type="dxa"/>
          </w:tcPr>
          <w:p w14:paraId="01039441" w14:textId="1095CC2E" w:rsidR="00AD523C" w:rsidRDefault="00AD523C" w:rsidP="00AD523C">
            <w:r w:rsidRPr="00C70DFE">
              <w:t>OCT2015-</w:t>
            </w:r>
          </w:p>
        </w:tc>
        <w:tc>
          <w:tcPr>
            <w:tcW w:w="8550" w:type="dxa"/>
          </w:tcPr>
          <w:p w14:paraId="015B34B8" w14:textId="5DC6ABB8" w:rsidR="00AD523C" w:rsidRDefault="00AD523C" w:rsidP="00AD523C">
            <w:r w:rsidRPr="00C70DFE">
              <w:t>The date on which emissions reporting was required to begin passed prior to October 23, 2015</w:t>
            </w:r>
          </w:p>
        </w:tc>
      </w:tr>
      <w:tr w:rsidR="00AD523C" w14:paraId="3F28B88D" w14:textId="77777777" w:rsidTr="00AD523C">
        <w:trPr>
          <w:cantSplit/>
          <w:tblHeader/>
        </w:trPr>
        <w:tc>
          <w:tcPr>
            <w:tcW w:w="1530" w:type="dxa"/>
          </w:tcPr>
          <w:p w14:paraId="246C30FB" w14:textId="29B695BA" w:rsidR="00AD523C" w:rsidRDefault="00AD523C" w:rsidP="00AD523C">
            <w:r w:rsidRPr="00C70DFE">
              <w:t>OCT2015+</w:t>
            </w:r>
          </w:p>
        </w:tc>
        <w:tc>
          <w:tcPr>
            <w:tcW w:w="8550" w:type="dxa"/>
          </w:tcPr>
          <w:p w14:paraId="659FD12E" w14:textId="5C9AB8EA" w:rsidR="00AD523C" w:rsidRDefault="00AD523C" w:rsidP="00AD523C">
            <w:r w:rsidRPr="00C70DFE">
              <w:t>The date on which emissions reporting was required to begin was after October 23, 2015</w:t>
            </w:r>
          </w:p>
        </w:tc>
      </w:tr>
    </w:tbl>
    <w:p w14:paraId="2F336D88" w14:textId="77777777" w:rsidR="00185E2F" w:rsidRPr="001D6431" w:rsidRDefault="00185E2F" w:rsidP="00AD523C">
      <w:pPr>
        <w:pStyle w:val="APDStrong"/>
        <w:spacing w:before="120"/>
      </w:pPr>
      <w:r w:rsidRPr="001D6431">
        <w:t>Acid Rain Program:</w:t>
      </w:r>
    </w:p>
    <w:p w14:paraId="62FDB573" w14:textId="6F318CEC" w:rsidR="00185E2F" w:rsidRDefault="00185E2F" w:rsidP="001023A5">
      <w:pPr>
        <w:pStyle w:val="APDBodyText"/>
      </w:pPr>
      <w:r w:rsidRPr="00185E2F">
        <w:t xml:space="preserve">Select one of the following options </w:t>
      </w:r>
      <w:r w:rsidR="00307C34">
        <w:t>describing</w:t>
      </w:r>
      <w:r w:rsidRPr="00185E2F">
        <w:t xml:space="preserve"> Acid Rain Program applicability.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AD523C" w14:paraId="6C5A285E" w14:textId="77777777" w:rsidTr="00AD523C">
        <w:tc>
          <w:tcPr>
            <w:tcW w:w="1530" w:type="dxa"/>
          </w:tcPr>
          <w:p w14:paraId="162D2922" w14:textId="67263784" w:rsidR="00AD523C" w:rsidRPr="00AD523C" w:rsidRDefault="00AD523C" w:rsidP="00AD523C">
            <w:pPr>
              <w:rPr>
                <w:b/>
                <w:bCs/>
              </w:rPr>
            </w:pPr>
            <w:r w:rsidRPr="00AD523C">
              <w:rPr>
                <w:b/>
                <w:bCs/>
              </w:rPr>
              <w:t>Code</w:t>
            </w:r>
          </w:p>
        </w:tc>
        <w:tc>
          <w:tcPr>
            <w:tcW w:w="8550" w:type="dxa"/>
          </w:tcPr>
          <w:p w14:paraId="5D8FAFDA" w14:textId="402CBCB6" w:rsidR="00AD523C" w:rsidRPr="00AD523C" w:rsidRDefault="00AD523C" w:rsidP="00AD523C">
            <w:pPr>
              <w:rPr>
                <w:b/>
                <w:bCs/>
              </w:rPr>
            </w:pPr>
            <w:r w:rsidRPr="00AD523C">
              <w:rPr>
                <w:b/>
                <w:bCs/>
              </w:rPr>
              <w:t>Description</w:t>
            </w:r>
          </w:p>
        </w:tc>
      </w:tr>
      <w:tr w:rsidR="00AD523C" w14:paraId="611E07FA" w14:textId="77777777" w:rsidTr="00AD523C">
        <w:tc>
          <w:tcPr>
            <w:tcW w:w="1530" w:type="dxa"/>
          </w:tcPr>
          <w:p w14:paraId="59CB86BF" w14:textId="0F507254" w:rsidR="00AD523C" w:rsidRDefault="00AD523C" w:rsidP="00AD523C">
            <w:r w:rsidRPr="00BA1335">
              <w:t>ARP</w:t>
            </w:r>
          </w:p>
        </w:tc>
        <w:tc>
          <w:tcPr>
            <w:tcW w:w="8550" w:type="dxa"/>
          </w:tcPr>
          <w:p w14:paraId="6FFD3D1A" w14:textId="1C3EBCB0" w:rsidR="00AD523C" w:rsidRDefault="00AD523C" w:rsidP="00AD523C">
            <w:r w:rsidRPr="00BA1335">
              <w:t>The unit is subject to the Acid Rain Program</w:t>
            </w:r>
          </w:p>
        </w:tc>
      </w:tr>
      <w:tr w:rsidR="00AD523C" w14:paraId="490C2694" w14:textId="77777777" w:rsidTr="00AD523C">
        <w:tc>
          <w:tcPr>
            <w:tcW w:w="1530" w:type="dxa"/>
          </w:tcPr>
          <w:p w14:paraId="5824F3A3" w14:textId="2DD959F2" w:rsidR="00AD523C" w:rsidRDefault="00AD523C" w:rsidP="00AD523C">
            <w:r w:rsidRPr="00BA1335">
              <w:t>NARP</w:t>
            </w:r>
          </w:p>
        </w:tc>
        <w:tc>
          <w:tcPr>
            <w:tcW w:w="8550" w:type="dxa"/>
          </w:tcPr>
          <w:p w14:paraId="1CA38AAF" w14:textId="065C60A0" w:rsidR="00AD523C" w:rsidRDefault="00AD523C" w:rsidP="00AD523C">
            <w:r w:rsidRPr="00BA1335">
              <w:t>The unit is not subject to the Acid Rain Program</w:t>
            </w:r>
          </w:p>
        </w:tc>
      </w:tr>
    </w:tbl>
    <w:p w14:paraId="0DA3DA94" w14:textId="77777777" w:rsidR="005A6479" w:rsidRPr="00EF0801" w:rsidRDefault="005A6479" w:rsidP="005A6479">
      <w:pPr>
        <w:pBdr>
          <w:bottom w:val="double" w:sz="6" w:space="1" w:color="auto"/>
        </w:pBdr>
      </w:pPr>
    </w:p>
    <w:bookmarkStart w:id="160" w:name="Table_15b"/>
    <w:p w14:paraId="78415D5F" w14:textId="1792BF5C" w:rsidR="005A6479" w:rsidRPr="005F3B95" w:rsidRDefault="00CB55CF" w:rsidP="002C7C54">
      <w:pPr>
        <w:pStyle w:val="APDChapterTitles"/>
        <w:rPr>
          <w:rStyle w:val="APDTableChapterChar"/>
          <w:b/>
          <w:bCs w:val="0"/>
        </w:rPr>
      </w:pPr>
      <w:r>
        <w:rPr>
          <w:rStyle w:val="Hyperlink"/>
          <w:b/>
          <w:bCs w:val="0"/>
        </w:rPr>
        <w:fldChar w:fldCharType="begin"/>
      </w:r>
      <w:r>
        <w:rPr>
          <w:rStyle w:val="Hyperlink"/>
          <w:b/>
          <w:bCs w:val="0"/>
        </w:rPr>
        <w:instrText>HYPERLINK  \l "TBL_15b" \o "Table 15b"</w:instrText>
      </w:r>
      <w:r>
        <w:rPr>
          <w:rStyle w:val="Hyperlink"/>
          <w:b/>
          <w:bCs w:val="0"/>
        </w:rPr>
      </w:r>
      <w:r>
        <w:rPr>
          <w:rStyle w:val="Hyperlink"/>
          <w:b/>
          <w:bCs w:val="0"/>
        </w:rPr>
        <w:fldChar w:fldCharType="separate"/>
      </w:r>
      <w:bookmarkStart w:id="161" w:name="_Toc180398532"/>
      <w:bookmarkStart w:id="162" w:name="_Toc180398586"/>
      <w:r w:rsidR="005A6479" w:rsidRPr="00CB55CF">
        <w:rPr>
          <w:rStyle w:val="Hyperlink"/>
          <w:b/>
          <w:bCs w:val="0"/>
        </w:rPr>
        <w:t>Table 15b</w:t>
      </w:r>
      <w:bookmarkEnd w:id="160"/>
      <w:r w:rsidR="005A6479" w:rsidRPr="00CB55CF">
        <w:rPr>
          <w:rStyle w:val="Hyperlink"/>
          <w:b/>
          <w:bCs w:val="0"/>
        </w:rPr>
        <w:t>:</w:t>
      </w:r>
      <w:r>
        <w:rPr>
          <w:rStyle w:val="Hyperlink"/>
          <w:b/>
          <w:bCs w:val="0"/>
        </w:rPr>
        <w:fldChar w:fldCharType="end"/>
      </w:r>
      <w:r w:rsidR="005A6479">
        <w:tab/>
      </w:r>
      <w:r w:rsidR="005A6479" w:rsidRPr="005F3B95">
        <w:rPr>
          <w:rStyle w:val="APDTableChapterChar"/>
          <w:b/>
        </w:rPr>
        <w:t>Title 40 Code of Federal Regulations Part 60 (40 CFR Part 60), Subpart TTTT: Standards of Performance for Greenhouse Gas Emissions for Electric Utility Generating Units</w:t>
      </w:r>
      <w:bookmarkEnd w:id="161"/>
      <w:bookmarkEnd w:id="162"/>
    </w:p>
    <w:p w14:paraId="7EA80BA1" w14:textId="6C41FF78" w:rsidR="005A6479" w:rsidRPr="001D6431" w:rsidRDefault="005A6479" w:rsidP="001D6431">
      <w:pPr>
        <w:pStyle w:val="APDStrong"/>
      </w:pPr>
      <w:r w:rsidRPr="001D6431">
        <w:t xml:space="preserve">Unit ID </w:t>
      </w:r>
      <w:r w:rsidR="00B42127">
        <w:t>N</w:t>
      </w:r>
      <w:r w:rsidR="0005593D">
        <w:t>o</w:t>
      </w:r>
      <w:r w:rsidRPr="001D6431">
        <w:t>.:</w:t>
      </w:r>
    </w:p>
    <w:p w14:paraId="37FB89D4" w14:textId="2A915667" w:rsidR="005A6479" w:rsidRPr="0066734C" w:rsidRDefault="005A6479" w:rsidP="0066734C">
      <w:pPr>
        <w:pStyle w:val="APDBodyText"/>
      </w:pPr>
      <w:r w:rsidRPr="0066734C">
        <w:t xml:space="preserve">Enter the identification number (ID </w:t>
      </w:r>
      <w:r w:rsidR="00B42127">
        <w:t>N</w:t>
      </w:r>
      <w:r w:rsidR="005667BA">
        <w:t>o</w:t>
      </w:r>
      <w:r w:rsidRPr="0066734C">
        <w:t>.) for the unit (maximum 10 characters) as listed on Form OP SUM (Individual Unit Summary).</w:t>
      </w:r>
    </w:p>
    <w:p w14:paraId="324291BD" w14:textId="052AF33F" w:rsidR="005A6479" w:rsidRPr="001D6431" w:rsidRDefault="005A6479" w:rsidP="001D6431">
      <w:pPr>
        <w:pStyle w:val="APDStrong"/>
      </w:pPr>
      <w:r w:rsidRPr="001D6431">
        <w:rPr>
          <w:rStyle w:val="APDQuestion"/>
          <w:b/>
        </w:rPr>
        <w:t>SOP</w:t>
      </w:r>
      <w:r w:rsidRPr="001D6431">
        <w:t xml:space="preserve"> Index </w:t>
      </w:r>
      <w:r w:rsidR="00B42127">
        <w:t>N</w:t>
      </w:r>
      <w:r w:rsidR="0005593D">
        <w:t>o</w:t>
      </w:r>
      <w:r w:rsidRPr="001D6431">
        <w:t>.:</w:t>
      </w:r>
    </w:p>
    <w:p w14:paraId="3EDDC3D8" w14:textId="448D457B" w:rsidR="005A6479" w:rsidRDefault="005A6479" w:rsidP="0066734C">
      <w:pPr>
        <w:pStyle w:val="APDBodyText"/>
      </w:pPr>
      <w:r w:rsidRPr="0066734C">
        <w:t>Site operating permit (SOP) applicants should indicate the SOP index number for the unit or group of units (maximum 15 characters consisting of numeric, alphanumeric characters, and/or dashes prefixed by a code for the applicable regulation [i.e., 60KB-XXXX]).</w:t>
      </w:r>
      <w:r w:rsidR="0088264A" w:rsidRPr="0066734C">
        <w:t xml:space="preserve"> </w:t>
      </w:r>
      <w:r w:rsidR="00CC2143" w:rsidRPr="0066734C">
        <w:t>For additional information relating to SOP index numbers, please see the Completing FOP Applications – Additional Guidance on the TCEQ website at</w:t>
      </w:r>
      <w:r w:rsidR="00CC2143" w:rsidRPr="00EF0801">
        <w:t xml:space="preserve"> </w:t>
      </w:r>
      <w:hyperlink r:id="rId58" w:tooltip="TCEQ - Completing FOP Applications - Additional Guidance" w:history="1">
        <w:r w:rsidR="00B51B26" w:rsidRPr="00677F90">
          <w:rPr>
            <w:rStyle w:val="Hyperlink"/>
          </w:rPr>
          <w:t>www.tceq.texas.gov/permitting/air/guidance/titlev/tv_fop_guidance.html</w:t>
        </w:r>
      </w:hyperlink>
      <w:r w:rsidR="00CC2143" w:rsidRPr="00EF0801">
        <w:t>.</w:t>
      </w:r>
    </w:p>
    <w:p w14:paraId="56E38F58" w14:textId="77777777" w:rsidR="00231738" w:rsidRDefault="00231738" w:rsidP="001D6431">
      <w:pPr>
        <w:pStyle w:val="APDStrong"/>
        <w:sectPr w:rsidR="00231738" w:rsidSect="0031268E">
          <w:pgSz w:w="12240" w:h="15840" w:code="1"/>
          <w:pgMar w:top="720" w:right="720" w:bottom="720" w:left="720" w:header="720" w:footer="720" w:gutter="0"/>
          <w:cols w:space="720"/>
          <w:titlePg/>
          <w:docGrid w:linePitch="360"/>
        </w:sectPr>
      </w:pPr>
    </w:p>
    <w:p w14:paraId="0ADD5A56" w14:textId="139141FB" w:rsidR="00185E2F" w:rsidRPr="001D6431" w:rsidRDefault="00185E2F" w:rsidP="001D6431">
      <w:pPr>
        <w:pStyle w:val="APDStrong"/>
      </w:pPr>
      <w:r w:rsidRPr="001D6431">
        <w:lastRenderedPageBreak/>
        <w:t>CO</w:t>
      </w:r>
      <w:r w:rsidRPr="00894F47">
        <w:rPr>
          <w:vertAlign w:val="subscript"/>
        </w:rPr>
        <w:t>2</w:t>
      </w:r>
      <w:r w:rsidRPr="001D6431">
        <w:t xml:space="preserve"> Capture:</w:t>
      </w:r>
    </w:p>
    <w:p w14:paraId="68DF3A7B" w14:textId="7A25FD71" w:rsidR="00185E2F" w:rsidRDefault="00185E2F" w:rsidP="0066734C">
      <w:pPr>
        <w:pStyle w:val="APDBodyText"/>
      </w:pPr>
      <w:r w:rsidRPr="0066734C">
        <w:t xml:space="preserve">Select one of the following options </w:t>
      </w:r>
      <w:r w:rsidR="00307C34" w:rsidRPr="0066734C">
        <w:t>describing</w:t>
      </w:r>
      <w:r w:rsidRPr="0066734C">
        <w:t xml:space="preserve"> if the affected EGU captures CO</w:t>
      </w:r>
      <w:r w:rsidRPr="001023A5">
        <w:rPr>
          <w:vertAlign w:val="subscript"/>
        </w:rPr>
        <w:t>2</w:t>
      </w:r>
      <w:r w:rsidRPr="0066734C">
        <w: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440"/>
        <w:gridCol w:w="8640"/>
      </w:tblGrid>
      <w:tr w:rsidR="00BC219A" w14:paraId="3EDBB4C0" w14:textId="77777777" w:rsidTr="00FA18A2">
        <w:trPr>
          <w:cantSplit/>
          <w:tblHeader/>
        </w:trPr>
        <w:tc>
          <w:tcPr>
            <w:tcW w:w="1440" w:type="dxa"/>
          </w:tcPr>
          <w:p w14:paraId="53800BCD" w14:textId="0101EB28" w:rsidR="00BC219A" w:rsidRDefault="00BC219A" w:rsidP="00BC219A">
            <w:r w:rsidRPr="00C363C1">
              <w:t>Code</w:t>
            </w:r>
          </w:p>
        </w:tc>
        <w:tc>
          <w:tcPr>
            <w:tcW w:w="8640" w:type="dxa"/>
          </w:tcPr>
          <w:p w14:paraId="7251955B" w14:textId="41A71893" w:rsidR="00BC219A" w:rsidRDefault="00BC219A" w:rsidP="00BC219A">
            <w:r w:rsidRPr="00C363C1">
              <w:t>Description</w:t>
            </w:r>
          </w:p>
        </w:tc>
      </w:tr>
      <w:tr w:rsidR="00BC219A" w14:paraId="7E508EEF" w14:textId="77777777" w:rsidTr="00FA18A2">
        <w:trPr>
          <w:cantSplit/>
          <w:tblHeader/>
        </w:trPr>
        <w:tc>
          <w:tcPr>
            <w:tcW w:w="1440" w:type="dxa"/>
          </w:tcPr>
          <w:p w14:paraId="0DB20AC9" w14:textId="42669E56" w:rsidR="00BC219A" w:rsidRDefault="00BC219A" w:rsidP="00BC219A">
            <w:r w:rsidRPr="00C363C1">
              <w:t>CAP</w:t>
            </w:r>
          </w:p>
        </w:tc>
        <w:tc>
          <w:tcPr>
            <w:tcW w:w="8640" w:type="dxa"/>
          </w:tcPr>
          <w:p w14:paraId="02547D1E" w14:textId="75D533DD" w:rsidR="00BC219A" w:rsidRDefault="00BC219A" w:rsidP="00FA18A2">
            <w:pPr>
              <w:ind w:left="-62" w:firstLine="62"/>
            </w:pPr>
            <w:r w:rsidRPr="00C363C1">
              <w:t>The EGU captures CO</w:t>
            </w:r>
            <w:r w:rsidRPr="00C363C1">
              <w:rPr>
                <w:vertAlign w:val="subscript"/>
              </w:rPr>
              <w:t>2</w:t>
            </w:r>
            <w:r w:rsidRPr="00C363C1">
              <w:t xml:space="preserve"> to meet the applicable CO</w:t>
            </w:r>
            <w:r w:rsidRPr="00C363C1">
              <w:rPr>
                <w:vertAlign w:val="subscript"/>
              </w:rPr>
              <w:t>2</w:t>
            </w:r>
            <w:r w:rsidRPr="00C363C1">
              <w:t xml:space="preserve"> emission limit</w:t>
            </w:r>
          </w:p>
        </w:tc>
      </w:tr>
      <w:tr w:rsidR="00BC219A" w14:paraId="373C9B0F" w14:textId="77777777" w:rsidTr="00FA18A2">
        <w:trPr>
          <w:cantSplit/>
          <w:tblHeader/>
        </w:trPr>
        <w:tc>
          <w:tcPr>
            <w:tcW w:w="1440" w:type="dxa"/>
          </w:tcPr>
          <w:p w14:paraId="73885904" w14:textId="0F339156" w:rsidR="00BC219A" w:rsidRDefault="00BC219A" w:rsidP="00BC219A">
            <w:r w:rsidRPr="00C363C1">
              <w:t>NOCAP</w:t>
            </w:r>
          </w:p>
        </w:tc>
        <w:tc>
          <w:tcPr>
            <w:tcW w:w="8640" w:type="dxa"/>
          </w:tcPr>
          <w:p w14:paraId="50CBD87A" w14:textId="485B4105" w:rsidR="00BC219A" w:rsidRDefault="00BC219A" w:rsidP="00BC219A">
            <w:r w:rsidRPr="00C363C1">
              <w:t>The EGU does not capture CO</w:t>
            </w:r>
            <w:r w:rsidRPr="00C363C1">
              <w:rPr>
                <w:vertAlign w:val="subscript"/>
              </w:rPr>
              <w:t>2</w:t>
            </w:r>
            <w:r w:rsidRPr="00C363C1">
              <w:t xml:space="preserve"> to meet the applicable CO</w:t>
            </w:r>
            <w:r w:rsidRPr="00C363C1">
              <w:rPr>
                <w:vertAlign w:val="subscript"/>
              </w:rPr>
              <w:t>2</w:t>
            </w:r>
            <w:r w:rsidRPr="00C363C1">
              <w:t xml:space="preserve"> emission limit</w:t>
            </w:r>
          </w:p>
        </w:tc>
      </w:tr>
    </w:tbl>
    <w:p w14:paraId="08982D33" w14:textId="24C1A63B" w:rsidR="0055159F" w:rsidRDefault="0055159F" w:rsidP="00390EE3">
      <w:pPr>
        <w:pStyle w:val="APDCompleteStar"/>
        <w:rPr>
          <w:bCs/>
        </w:rPr>
      </w:pPr>
      <w:r w:rsidRPr="00494396">
        <w:t xml:space="preserve">Complete </w:t>
      </w:r>
      <w:r>
        <w:t>“CO</w:t>
      </w:r>
      <w:r w:rsidRPr="007059BD">
        <w:rPr>
          <w:vertAlign w:val="subscript"/>
        </w:rPr>
        <w:t>2</w:t>
      </w:r>
      <w:r>
        <w:t xml:space="preserve"> Transfer” </w:t>
      </w:r>
      <w:r w:rsidRPr="00A60DB3">
        <w:t>only if “</w:t>
      </w:r>
      <w:r>
        <w:t>CO</w:t>
      </w:r>
      <w:r w:rsidRPr="007059BD">
        <w:rPr>
          <w:vertAlign w:val="subscript"/>
        </w:rPr>
        <w:t>2</w:t>
      </w:r>
      <w:r>
        <w:t xml:space="preserve"> Capture” is “CAP.”</w:t>
      </w:r>
    </w:p>
    <w:p w14:paraId="28EA826D" w14:textId="1D4E18DA" w:rsidR="0055159F" w:rsidRPr="001D6431" w:rsidRDefault="0055159F" w:rsidP="001D6431">
      <w:pPr>
        <w:pStyle w:val="APDStrong"/>
      </w:pPr>
      <w:r w:rsidRPr="001D6431">
        <w:t>CO</w:t>
      </w:r>
      <w:r w:rsidRPr="00306475">
        <w:rPr>
          <w:vertAlign w:val="subscript"/>
        </w:rPr>
        <w:t>2</w:t>
      </w:r>
      <w:r w:rsidRPr="001D6431">
        <w:t xml:space="preserve"> Transfer:</w:t>
      </w:r>
    </w:p>
    <w:p w14:paraId="641EBFFC" w14:textId="616E5486" w:rsidR="0055159F" w:rsidRDefault="0055159F" w:rsidP="0066734C">
      <w:pPr>
        <w:pStyle w:val="APDBodyText"/>
      </w:pPr>
      <w:r w:rsidRPr="0066734C">
        <w:t xml:space="preserve">Select one of the following options </w:t>
      </w:r>
      <w:r w:rsidR="00307C34" w:rsidRPr="0066734C">
        <w:t>describing</w:t>
      </w:r>
      <w:r w:rsidRPr="0066734C">
        <w:t xml:space="preserve"> if captured CO2 is transferred.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7C1869" w14:paraId="61AE6BAD" w14:textId="77777777" w:rsidTr="00FA18A2">
        <w:trPr>
          <w:cantSplit/>
          <w:tblHeader/>
        </w:trPr>
        <w:tc>
          <w:tcPr>
            <w:tcW w:w="1530" w:type="dxa"/>
          </w:tcPr>
          <w:p w14:paraId="222240E8" w14:textId="12A54F7F" w:rsidR="007C1869" w:rsidRPr="007C1869" w:rsidRDefault="007C1869" w:rsidP="007C1869">
            <w:pPr>
              <w:rPr>
                <w:b/>
                <w:bCs/>
              </w:rPr>
            </w:pPr>
            <w:r w:rsidRPr="007C1869">
              <w:rPr>
                <w:b/>
                <w:bCs/>
              </w:rPr>
              <w:t>Code</w:t>
            </w:r>
          </w:p>
        </w:tc>
        <w:tc>
          <w:tcPr>
            <w:tcW w:w="8550" w:type="dxa"/>
          </w:tcPr>
          <w:p w14:paraId="1720D595" w14:textId="6AE77893" w:rsidR="007C1869" w:rsidRPr="007C1869" w:rsidRDefault="007C1869" w:rsidP="007C1869">
            <w:pPr>
              <w:rPr>
                <w:b/>
                <w:bCs/>
              </w:rPr>
            </w:pPr>
            <w:r w:rsidRPr="007C1869">
              <w:rPr>
                <w:b/>
                <w:bCs/>
              </w:rPr>
              <w:t>Description</w:t>
            </w:r>
          </w:p>
        </w:tc>
      </w:tr>
      <w:tr w:rsidR="007C1869" w14:paraId="03483718" w14:textId="77777777" w:rsidTr="00FA18A2">
        <w:trPr>
          <w:cantSplit/>
          <w:tblHeader/>
        </w:trPr>
        <w:tc>
          <w:tcPr>
            <w:tcW w:w="1530" w:type="dxa"/>
          </w:tcPr>
          <w:p w14:paraId="7B65AEAD" w14:textId="4D099D82" w:rsidR="007C1869" w:rsidRDefault="007C1869" w:rsidP="007C1869">
            <w:r w:rsidRPr="005007A4">
              <w:t>TRAN</w:t>
            </w:r>
          </w:p>
        </w:tc>
        <w:tc>
          <w:tcPr>
            <w:tcW w:w="8550" w:type="dxa"/>
          </w:tcPr>
          <w:p w14:paraId="06EB1318" w14:textId="04EC52AE" w:rsidR="007C1869" w:rsidRDefault="007C1869" w:rsidP="007C1869">
            <w:r w:rsidRPr="005007A4">
              <w:t>The administrator has granted approval for the captured CO</w:t>
            </w:r>
            <w:r w:rsidRPr="005007A4">
              <w:rPr>
                <w:vertAlign w:val="subscript"/>
              </w:rPr>
              <w:t>2</w:t>
            </w:r>
            <w:r w:rsidRPr="005007A4">
              <w:t xml:space="preserve"> from the affected EGU to be transferred to a facility reporting under 40 CFR Part 98, Subpart RR</w:t>
            </w:r>
          </w:p>
        </w:tc>
      </w:tr>
      <w:tr w:rsidR="007C1869" w14:paraId="044BAD1E" w14:textId="77777777" w:rsidTr="00FA18A2">
        <w:trPr>
          <w:cantSplit/>
          <w:tblHeader/>
        </w:trPr>
        <w:tc>
          <w:tcPr>
            <w:tcW w:w="1530" w:type="dxa"/>
          </w:tcPr>
          <w:p w14:paraId="0476501D" w14:textId="792C9781" w:rsidR="007C1869" w:rsidRDefault="007C1869" w:rsidP="007C1869">
            <w:r w:rsidRPr="005007A4">
              <w:t>NOTRAN</w:t>
            </w:r>
          </w:p>
        </w:tc>
        <w:tc>
          <w:tcPr>
            <w:tcW w:w="8550" w:type="dxa"/>
          </w:tcPr>
          <w:p w14:paraId="49EC2B73" w14:textId="3EBD15D7" w:rsidR="007C1869" w:rsidRDefault="007C1869" w:rsidP="007C1869">
            <w:r w:rsidRPr="005007A4">
              <w:t>CO</w:t>
            </w:r>
            <w:r w:rsidRPr="005007A4">
              <w:rPr>
                <w:vertAlign w:val="subscript"/>
              </w:rPr>
              <w:t>2</w:t>
            </w:r>
            <w:r w:rsidRPr="005007A4">
              <w:t xml:space="preserve"> captured from the affected EGU is not transferred</w:t>
            </w:r>
          </w:p>
        </w:tc>
      </w:tr>
    </w:tbl>
    <w:p w14:paraId="200450DF" w14:textId="302BC3A0" w:rsidR="00087521" w:rsidRPr="001D6431" w:rsidRDefault="00087521" w:rsidP="007C1869">
      <w:pPr>
        <w:pStyle w:val="APDStrong"/>
        <w:spacing w:before="120"/>
      </w:pPr>
      <w:r w:rsidRPr="001D6431">
        <w:t>Monitoring:</w:t>
      </w:r>
    </w:p>
    <w:p w14:paraId="609F2C03" w14:textId="6F6DB4EA" w:rsidR="00087521" w:rsidRDefault="00087521" w:rsidP="0066734C">
      <w:pPr>
        <w:pStyle w:val="APDBodyText"/>
      </w:pPr>
      <w:r w:rsidRPr="0066734C">
        <w:t xml:space="preserve">Select one of the following options </w:t>
      </w:r>
      <w:r w:rsidR="00307C34" w:rsidRPr="0066734C">
        <w:t>describing</w:t>
      </w:r>
      <w:r w:rsidRPr="0066734C">
        <w:t xml:space="preserve"> emissions monitoring.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Description w:val="OPUA6 - Codes and Descriptions"/>
      </w:tblPr>
      <w:tblGrid>
        <w:gridCol w:w="1530"/>
        <w:gridCol w:w="8550"/>
      </w:tblGrid>
      <w:tr w:rsidR="007C1869" w14:paraId="32E13147" w14:textId="77777777" w:rsidTr="00FA18A2">
        <w:trPr>
          <w:cantSplit/>
          <w:tblHeader/>
        </w:trPr>
        <w:tc>
          <w:tcPr>
            <w:tcW w:w="1530" w:type="dxa"/>
          </w:tcPr>
          <w:p w14:paraId="33B81D78" w14:textId="09592F80" w:rsidR="007C1869" w:rsidRPr="007C1869" w:rsidRDefault="007C1869" w:rsidP="007C1869">
            <w:pPr>
              <w:rPr>
                <w:b/>
                <w:bCs/>
              </w:rPr>
            </w:pPr>
            <w:r w:rsidRPr="007C1869">
              <w:rPr>
                <w:b/>
                <w:bCs/>
              </w:rPr>
              <w:t>Code</w:t>
            </w:r>
          </w:p>
        </w:tc>
        <w:tc>
          <w:tcPr>
            <w:tcW w:w="8550" w:type="dxa"/>
          </w:tcPr>
          <w:p w14:paraId="394F50F2" w14:textId="3D7FF5BA" w:rsidR="007C1869" w:rsidRPr="007C1869" w:rsidRDefault="007C1869" w:rsidP="007C1869">
            <w:pPr>
              <w:rPr>
                <w:b/>
                <w:bCs/>
              </w:rPr>
            </w:pPr>
            <w:r w:rsidRPr="007C1869">
              <w:rPr>
                <w:b/>
                <w:bCs/>
              </w:rPr>
              <w:t>Description</w:t>
            </w:r>
          </w:p>
        </w:tc>
      </w:tr>
      <w:tr w:rsidR="007C1869" w14:paraId="1D67A1E7" w14:textId="77777777" w:rsidTr="00FA18A2">
        <w:trPr>
          <w:cantSplit/>
          <w:tblHeader/>
        </w:trPr>
        <w:tc>
          <w:tcPr>
            <w:tcW w:w="1530" w:type="dxa"/>
          </w:tcPr>
          <w:p w14:paraId="042C30B6" w14:textId="7102AB32" w:rsidR="007C1869" w:rsidRDefault="007C1869" w:rsidP="007C1869">
            <w:r w:rsidRPr="00125A9F">
              <w:t>CEMS</w:t>
            </w:r>
          </w:p>
        </w:tc>
        <w:tc>
          <w:tcPr>
            <w:tcW w:w="8550" w:type="dxa"/>
          </w:tcPr>
          <w:p w14:paraId="2E556746" w14:textId="0E6E9A13" w:rsidR="007C1869" w:rsidRDefault="007C1869" w:rsidP="007C1869">
            <w:r w:rsidRPr="00125A9F">
              <w:t>The affected EGU uses CO</w:t>
            </w:r>
            <w:r w:rsidRPr="00125A9F">
              <w:rPr>
                <w:vertAlign w:val="subscript"/>
              </w:rPr>
              <w:t>2</w:t>
            </w:r>
            <w:r w:rsidRPr="00125A9F">
              <w:t xml:space="preserve"> Continuous Emissions Monitoring (CEMS)</w:t>
            </w:r>
          </w:p>
        </w:tc>
      </w:tr>
      <w:tr w:rsidR="007C1869" w14:paraId="4311975A" w14:textId="77777777" w:rsidTr="00FA18A2">
        <w:trPr>
          <w:cantSplit/>
          <w:tblHeader/>
        </w:trPr>
        <w:tc>
          <w:tcPr>
            <w:tcW w:w="1530" w:type="dxa"/>
          </w:tcPr>
          <w:p w14:paraId="2BBADA9C" w14:textId="44197696" w:rsidR="007C1869" w:rsidRDefault="007C1869" w:rsidP="007C1869">
            <w:r w:rsidRPr="00125A9F">
              <w:t>NOCEMS</w:t>
            </w:r>
          </w:p>
        </w:tc>
        <w:tc>
          <w:tcPr>
            <w:tcW w:w="8550" w:type="dxa"/>
          </w:tcPr>
          <w:p w14:paraId="3A615549" w14:textId="1FE72E5D" w:rsidR="007C1869" w:rsidRDefault="007C1869" w:rsidP="007C1869">
            <w:r w:rsidRPr="00125A9F">
              <w:t>The affected EGU does not use CO</w:t>
            </w:r>
            <w:r w:rsidRPr="00125A9F">
              <w:rPr>
                <w:vertAlign w:val="subscript"/>
              </w:rPr>
              <w:t>2</w:t>
            </w:r>
            <w:r w:rsidRPr="00125A9F">
              <w:t xml:space="preserve"> Continuous Emissions Monitoring (CEMS)</w:t>
            </w:r>
          </w:p>
        </w:tc>
      </w:tr>
    </w:tbl>
    <w:p w14:paraId="66ACBDF8" w14:textId="1A2D1E3F" w:rsidR="0055159F" w:rsidRPr="007059BD" w:rsidRDefault="0087220D" w:rsidP="007C1869">
      <w:pPr>
        <w:pStyle w:val="APDCompleteStar"/>
        <w:rPr>
          <w:bCs/>
        </w:rPr>
      </w:pPr>
      <w:r w:rsidRPr="00494396">
        <w:t xml:space="preserve">Complete </w:t>
      </w:r>
      <w:r>
        <w:t xml:space="preserve">“Common Stack” </w:t>
      </w:r>
      <w:r w:rsidRPr="00A60DB3">
        <w:t>only if “</w:t>
      </w:r>
      <w:r>
        <w:t>Monitoring” is “CEMS.”</w:t>
      </w:r>
    </w:p>
    <w:p w14:paraId="610F8C63" w14:textId="2CBF00B9" w:rsidR="0087220D" w:rsidRPr="001D6431" w:rsidRDefault="0087220D" w:rsidP="001D6431">
      <w:pPr>
        <w:pStyle w:val="APDStrong"/>
      </w:pPr>
      <w:r w:rsidRPr="001D6431">
        <w:t xml:space="preserve">Common </w:t>
      </w:r>
      <w:r w:rsidR="00BF2784" w:rsidRPr="001D6431">
        <w:t>St</w:t>
      </w:r>
      <w:r w:rsidR="00BF2784">
        <w:t>a</w:t>
      </w:r>
      <w:r w:rsidR="00BF2784" w:rsidRPr="001D6431">
        <w:t>ck</w:t>
      </w:r>
      <w:r w:rsidRPr="001D6431">
        <w:t>:</w:t>
      </w:r>
    </w:p>
    <w:p w14:paraId="2C8991CD" w14:textId="0704C787" w:rsidR="0087220D" w:rsidRDefault="0087220D" w:rsidP="00815777">
      <w:pPr>
        <w:pStyle w:val="APDBodyText"/>
      </w:pPr>
      <w:r w:rsidRPr="00815777">
        <w:t xml:space="preserve">Select one of the following options </w:t>
      </w:r>
      <w:r w:rsidR="00307C34" w:rsidRPr="00815777">
        <w:t>describing if</w:t>
      </w:r>
      <w:r w:rsidR="0076429E" w:rsidRPr="00815777">
        <w:t xml:space="preserve"> the EGUs share a common stack</w:t>
      </w:r>
      <w:r w:rsidRPr="00815777">
        <w: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530"/>
        <w:gridCol w:w="8550"/>
      </w:tblGrid>
      <w:tr w:rsidR="00B23284" w14:paraId="5F36C12E" w14:textId="77777777" w:rsidTr="00FA18A2">
        <w:tc>
          <w:tcPr>
            <w:tcW w:w="1530" w:type="dxa"/>
          </w:tcPr>
          <w:p w14:paraId="4E4651FF" w14:textId="28B4E90A" w:rsidR="00B23284" w:rsidRDefault="00B23284" w:rsidP="00B23284">
            <w:r w:rsidRPr="002C0F92">
              <w:t>Code</w:t>
            </w:r>
          </w:p>
        </w:tc>
        <w:tc>
          <w:tcPr>
            <w:tcW w:w="8550" w:type="dxa"/>
          </w:tcPr>
          <w:p w14:paraId="7AC47E85" w14:textId="3F5CE466" w:rsidR="00B23284" w:rsidRDefault="00B23284" w:rsidP="00B23284">
            <w:r w:rsidRPr="002C0F92">
              <w:t>Description</w:t>
            </w:r>
          </w:p>
        </w:tc>
      </w:tr>
      <w:tr w:rsidR="00B23284" w14:paraId="22469C78" w14:textId="77777777" w:rsidTr="00FA18A2">
        <w:tc>
          <w:tcPr>
            <w:tcW w:w="1530" w:type="dxa"/>
          </w:tcPr>
          <w:p w14:paraId="529DEE22" w14:textId="69B2E6A2" w:rsidR="00B23284" w:rsidRDefault="00B23284" w:rsidP="00B23284">
            <w:r w:rsidRPr="002C0F92">
              <w:t>C-STK</w:t>
            </w:r>
          </w:p>
        </w:tc>
        <w:tc>
          <w:tcPr>
            <w:tcW w:w="8550" w:type="dxa"/>
          </w:tcPr>
          <w:p w14:paraId="0FC561D3" w14:textId="0F46BCEE" w:rsidR="00B23284" w:rsidRDefault="00B23284" w:rsidP="00B23284">
            <w:r w:rsidRPr="002C0F92">
              <w:t>Two or more affected EGUs share a common exhaust stack, are subject to the same emissions standard, and are choosing to monitor emissions at the common stack</w:t>
            </w:r>
          </w:p>
        </w:tc>
      </w:tr>
      <w:tr w:rsidR="00B23284" w14:paraId="70A29356" w14:textId="77777777" w:rsidTr="00FA18A2">
        <w:tc>
          <w:tcPr>
            <w:tcW w:w="1530" w:type="dxa"/>
          </w:tcPr>
          <w:p w14:paraId="09ED5FA5" w14:textId="27CAB567" w:rsidR="00B23284" w:rsidRDefault="00B23284" w:rsidP="00B23284">
            <w:r w:rsidRPr="002C0F92">
              <w:t>I-STK</w:t>
            </w:r>
          </w:p>
        </w:tc>
        <w:tc>
          <w:tcPr>
            <w:tcW w:w="8550" w:type="dxa"/>
          </w:tcPr>
          <w:p w14:paraId="727AEB52" w14:textId="269DFA13" w:rsidR="00B23284" w:rsidRDefault="00B23284" w:rsidP="00B23284">
            <w:r w:rsidRPr="002C0F92">
              <w:t>Each affected EGU emits exhaust gases through individual stacks</w:t>
            </w:r>
          </w:p>
        </w:tc>
      </w:tr>
    </w:tbl>
    <w:p w14:paraId="0E1CE9F9" w14:textId="3A160C45" w:rsidR="0055159F" w:rsidRPr="007059BD" w:rsidRDefault="0087220D" w:rsidP="00390EE3">
      <w:pPr>
        <w:pStyle w:val="APDCompleteStar"/>
        <w:rPr>
          <w:bCs/>
        </w:rPr>
      </w:pPr>
      <w:r w:rsidRPr="00494396">
        <w:t xml:space="preserve">Complete </w:t>
      </w:r>
      <w:r>
        <w:t xml:space="preserve">“Multiple Stacks” </w:t>
      </w:r>
      <w:r w:rsidRPr="00A60DB3">
        <w:t>only if “</w:t>
      </w:r>
      <w:r>
        <w:t>Monitoring” is “CEMS.”</w:t>
      </w:r>
    </w:p>
    <w:p w14:paraId="323916EE" w14:textId="30752F34" w:rsidR="0087220D" w:rsidRDefault="0087220D" w:rsidP="001D6431">
      <w:pPr>
        <w:pStyle w:val="APDStrong"/>
      </w:pPr>
      <w:r w:rsidRPr="001D6431">
        <w:t>Multiple Stacks:</w:t>
      </w:r>
    </w:p>
    <w:p w14:paraId="3C90000B" w14:textId="77777777" w:rsidR="008977F4" w:rsidRPr="00185E2F" w:rsidRDefault="008977F4" w:rsidP="008977F4">
      <w:pPr>
        <w:tabs>
          <w:tab w:val="left" w:pos="0"/>
        </w:tabs>
        <w:spacing w:after="120"/>
      </w:pPr>
      <w:r w:rsidRPr="00185E2F">
        <w:t xml:space="preserve">Select one of the following </w:t>
      </w:r>
      <w:r>
        <w:t>describing if multiple stacks are used for exhaust gases</w:t>
      </w:r>
      <w:r w:rsidRPr="00185E2F">
        <w:t xml:space="preserve">. Enter the code on the form. </w:t>
      </w:r>
    </w:p>
    <w:p w14:paraId="7B5E727F" w14:textId="77777777" w:rsidR="008977F4" w:rsidRPr="00185E2F" w:rsidRDefault="008977F4" w:rsidP="008977F4">
      <w:pPr>
        <w:tabs>
          <w:tab w:val="left" w:pos="720"/>
          <w:tab w:val="left" w:pos="2160"/>
        </w:tabs>
        <w:ind w:left="2160" w:hanging="1440"/>
        <w:rPr>
          <w:b/>
        </w:rPr>
      </w:pPr>
      <w:r w:rsidRPr="00185E2F">
        <w:rPr>
          <w:b/>
        </w:rPr>
        <w:t>Code</w:t>
      </w:r>
      <w:r w:rsidRPr="00185E2F">
        <w:rPr>
          <w:b/>
        </w:rPr>
        <w:tab/>
        <w:t>Description</w:t>
      </w:r>
    </w:p>
    <w:p w14:paraId="715B5D6E" w14:textId="77777777" w:rsidR="008977F4" w:rsidRPr="00185E2F" w:rsidRDefault="008977F4" w:rsidP="008977F4">
      <w:pPr>
        <w:tabs>
          <w:tab w:val="left" w:pos="720"/>
          <w:tab w:val="left" w:pos="2160"/>
        </w:tabs>
        <w:ind w:left="2160" w:hanging="1440"/>
      </w:pPr>
      <w:r>
        <w:t>M-STK</w:t>
      </w:r>
      <w:r w:rsidRPr="00185E2F">
        <w:tab/>
      </w:r>
      <w:r>
        <w:t xml:space="preserve">The exhaust gases from the affected EGU are emitted to the atmosphere through multiple stacks, or the exhaust gases are routed to a common stack through multiple ducts and are electing to monitor in the ducts </w:t>
      </w:r>
    </w:p>
    <w:p w14:paraId="591C495C" w14:textId="77777777" w:rsidR="008977F4" w:rsidRDefault="008977F4" w:rsidP="008977F4">
      <w:pPr>
        <w:tabs>
          <w:tab w:val="left" w:pos="720"/>
          <w:tab w:val="left" w:pos="2160"/>
        </w:tabs>
        <w:spacing w:after="120"/>
        <w:ind w:left="2160" w:hanging="1440"/>
      </w:pPr>
      <w:r w:rsidRPr="00D813D0">
        <w:t>S-STK</w:t>
      </w:r>
      <w:r w:rsidRPr="00D813D0">
        <w:tab/>
      </w:r>
      <w:r>
        <w:t>The exhaust gases are emitted through a single stack</w:t>
      </w:r>
    </w:p>
    <w:p w14:paraId="37D6E699" w14:textId="77777777" w:rsidR="008977F4" w:rsidRPr="00185E2F" w:rsidRDefault="008977F4" w:rsidP="008977F4">
      <w:pPr>
        <w:tabs>
          <w:tab w:val="left" w:pos="0"/>
        </w:tabs>
        <w:rPr>
          <w:b/>
          <w:bCs/>
        </w:rPr>
      </w:pPr>
      <w:r>
        <w:rPr>
          <w:b/>
          <w:bCs/>
        </w:rPr>
        <w:t>Common Electric Generator</w:t>
      </w:r>
      <w:r w:rsidRPr="00185E2F">
        <w:rPr>
          <w:b/>
          <w:bCs/>
        </w:rPr>
        <w:t>:</w:t>
      </w:r>
    </w:p>
    <w:p w14:paraId="4A595AAA" w14:textId="77777777" w:rsidR="008977F4" w:rsidRPr="00185E2F" w:rsidRDefault="008977F4" w:rsidP="008977F4">
      <w:pPr>
        <w:tabs>
          <w:tab w:val="left" w:pos="0"/>
        </w:tabs>
        <w:spacing w:after="120"/>
      </w:pPr>
      <w:r w:rsidRPr="00185E2F">
        <w:t xml:space="preserve">Select one of the following options </w:t>
      </w:r>
      <w:r>
        <w:t>describing</w:t>
      </w:r>
      <w:r w:rsidRPr="00D813D0">
        <w:t xml:space="preserve"> if </w:t>
      </w:r>
      <w:r>
        <w:t>a common electric generator is used</w:t>
      </w:r>
      <w:r w:rsidRPr="00185E2F">
        <w:t xml:space="preserve">. Enter the code on the form. </w:t>
      </w:r>
    </w:p>
    <w:p w14:paraId="60F818DA" w14:textId="77777777" w:rsidR="008977F4" w:rsidRPr="00185E2F" w:rsidRDefault="008977F4" w:rsidP="008977F4">
      <w:pPr>
        <w:tabs>
          <w:tab w:val="left" w:pos="720"/>
          <w:tab w:val="left" w:pos="2160"/>
        </w:tabs>
        <w:ind w:left="2160" w:hanging="1440"/>
        <w:rPr>
          <w:b/>
        </w:rPr>
      </w:pPr>
      <w:r w:rsidRPr="00185E2F">
        <w:rPr>
          <w:b/>
        </w:rPr>
        <w:t>Code</w:t>
      </w:r>
      <w:r w:rsidRPr="00185E2F">
        <w:rPr>
          <w:b/>
        </w:rPr>
        <w:tab/>
        <w:t>Description</w:t>
      </w:r>
    </w:p>
    <w:p w14:paraId="28DE4F05" w14:textId="77777777" w:rsidR="008977F4" w:rsidRPr="00185E2F" w:rsidRDefault="008977F4" w:rsidP="008977F4">
      <w:pPr>
        <w:tabs>
          <w:tab w:val="left" w:pos="720"/>
          <w:tab w:val="left" w:pos="2160"/>
        </w:tabs>
        <w:ind w:left="2160" w:hanging="1440"/>
      </w:pPr>
      <w:r>
        <w:t>C-GEN</w:t>
      </w:r>
      <w:r w:rsidRPr="00185E2F">
        <w:tab/>
      </w:r>
      <w:r>
        <w:t>Two or more affected EGUs serve a common electric generator</w:t>
      </w:r>
    </w:p>
    <w:p w14:paraId="0F775B99" w14:textId="77777777" w:rsidR="00A727DA" w:rsidRDefault="008977F4" w:rsidP="008977F4">
      <w:pPr>
        <w:tabs>
          <w:tab w:val="left" w:pos="720"/>
          <w:tab w:val="left" w:pos="2160"/>
        </w:tabs>
        <w:spacing w:after="120"/>
        <w:ind w:left="2160" w:hanging="1440"/>
        <w:sectPr w:rsidR="00A727DA" w:rsidSect="00A727DA">
          <w:headerReference w:type="even" r:id="rId59"/>
          <w:headerReference w:type="default" r:id="rId60"/>
          <w:headerReference w:type="first" r:id="rId61"/>
          <w:footerReference w:type="first" r:id="rId62"/>
          <w:pgSz w:w="12240" w:h="15840" w:code="1"/>
          <w:pgMar w:top="720" w:right="720" w:bottom="720" w:left="720" w:header="720" w:footer="720" w:gutter="0"/>
          <w:cols w:space="720"/>
          <w:titlePg/>
          <w:docGrid w:linePitch="360"/>
        </w:sectPr>
      </w:pPr>
      <w:r>
        <w:t>I-GEN</w:t>
      </w:r>
      <w:r w:rsidRPr="00D813D0">
        <w:tab/>
      </w:r>
      <w:r>
        <w:t>Two or more affected EGUs have individual electric generators</w:t>
      </w:r>
    </w:p>
    <w:p w14:paraId="4DAE5251" w14:textId="77777777" w:rsidR="00DA702B" w:rsidRPr="00DA702B" w:rsidRDefault="00DA702B" w:rsidP="00A727DA">
      <w:pPr>
        <w:widowControl w:val="0"/>
        <w:jc w:val="center"/>
        <w:rPr>
          <w:rFonts w:eastAsiaTheme="majorEastAsia"/>
          <w:b/>
          <w:bCs/>
        </w:rPr>
      </w:pPr>
      <w:r w:rsidRPr="00DA702B">
        <w:rPr>
          <w:rFonts w:eastAsiaTheme="majorEastAsia"/>
          <w:b/>
          <w:bCs/>
        </w:rPr>
        <w:lastRenderedPageBreak/>
        <w:t>Boiler/Steam Generator/Steam Generating Unit Attributes</w:t>
      </w:r>
    </w:p>
    <w:p w14:paraId="3398D9A0" w14:textId="77777777" w:rsidR="00DA702B" w:rsidRPr="00DA702B" w:rsidRDefault="00DA702B" w:rsidP="00A727DA">
      <w:pPr>
        <w:widowControl w:val="0"/>
        <w:jc w:val="center"/>
        <w:rPr>
          <w:rFonts w:eastAsiaTheme="majorEastAsia"/>
          <w:b/>
          <w:bCs/>
        </w:rPr>
      </w:pPr>
      <w:r w:rsidRPr="00DA702B">
        <w:rPr>
          <w:rFonts w:eastAsiaTheme="majorEastAsia"/>
          <w:b/>
          <w:bCs/>
        </w:rPr>
        <w:t>Form OP-UA6 (Page 1)</w:t>
      </w:r>
    </w:p>
    <w:p w14:paraId="09E18DB2" w14:textId="77777777" w:rsidR="00DA702B" w:rsidRPr="00DA702B" w:rsidRDefault="00DA702B" w:rsidP="00A727DA">
      <w:pPr>
        <w:widowControl w:val="0"/>
        <w:jc w:val="center"/>
        <w:rPr>
          <w:rFonts w:eastAsiaTheme="majorEastAsia"/>
          <w:b/>
          <w:bCs/>
        </w:rPr>
      </w:pPr>
      <w:r w:rsidRPr="00DA702B">
        <w:rPr>
          <w:rFonts w:eastAsiaTheme="majorEastAsia"/>
          <w:b/>
          <w:bCs/>
        </w:rPr>
        <w:t>Federal Operating Permit Program</w:t>
      </w:r>
    </w:p>
    <w:p w14:paraId="2D058C7A" w14:textId="77777777" w:rsidR="00DA702B" w:rsidRPr="00DA702B" w:rsidRDefault="00DA702B" w:rsidP="00A727DA">
      <w:pPr>
        <w:widowControl w:val="0"/>
        <w:contextualSpacing/>
        <w:jc w:val="center"/>
        <w:outlineLvl w:val="0"/>
        <w:rPr>
          <w:b/>
          <w:bCs/>
        </w:rPr>
      </w:pPr>
      <w:bookmarkStart w:id="163" w:name="TBL_1a"/>
      <w:r w:rsidRPr="00DA702B">
        <w:rPr>
          <w:b/>
          <w:bCs/>
        </w:rPr>
        <w:t>Table 1a</w:t>
      </w:r>
      <w:bookmarkEnd w:id="163"/>
      <w:r w:rsidRPr="00DA702B">
        <w:rPr>
          <w:b/>
          <w:bCs/>
        </w:rPr>
        <w:t>:  Title 40 Code of Federal Regulations Part 60 (40 CFR Part 60)</w:t>
      </w:r>
    </w:p>
    <w:p w14:paraId="48EB019B" w14:textId="77777777" w:rsidR="00DA702B" w:rsidRPr="00DA702B" w:rsidRDefault="00DA702B" w:rsidP="00A727DA">
      <w:pPr>
        <w:widowControl w:val="0"/>
        <w:contextualSpacing/>
        <w:jc w:val="center"/>
        <w:outlineLvl w:val="0"/>
        <w:rPr>
          <w:b/>
          <w:bCs/>
        </w:rPr>
      </w:pPr>
      <w:r w:rsidRPr="00DA702B">
        <w:rPr>
          <w:b/>
          <w:bCs/>
        </w:rPr>
        <w:t>Subpart D:  Standards of Performance for Fossil Fuel-Fired Steam Generators</w:t>
      </w:r>
    </w:p>
    <w:p w14:paraId="7AA9769D" w14:textId="77777777" w:rsidR="00DA702B" w:rsidRPr="00DA702B" w:rsidRDefault="00DA702B" w:rsidP="00A727DA">
      <w:pPr>
        <w:widowControl w:val="0"/>
        <w:contextualSpacing/>
        <w:jc w:val="center"/>
        <w:outlineLvl w:val="0"/>
        <w:rPr>
          <w:b/>
          <w:bCs/>
        </w:rPr>
      </w:pPr>
      <w:r w:rsidRPr="00DA702B">
        <w:rPr>
          <w:b/>
          <w:bCs/>
        </w:rPr>
        <w:t>Texas Commission on Environmental Quality</w:t>
      </w:r>
    </w:p>
    <w:p w14:paraId="52386709" w14:textId="77777777" w:rsidR="00DA702B" w:rsidRPr="00DA702B" w:rsidRDefault="00DA702B" w:rsidP="00DA702B">
      <w:pPr>
        <w:spacing w:before="24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a:  Title 40 Code of Federal Regulations Part 60 (40 CFR Part 60)&#10;Subpart D:  Standards of Performance for Fossil Fuel-Fired Steam Generators&#10;"/>
      </w:tblPr>
      <w:tblGrid>
        <w:gridCol w:w="4800"/>
        <w:gridCol w:w="4800"/>
        <w:gridCol w:w="4800"/>
      </w:tblGrid>
      <w:tr w:rsidR="00DA702B" w:rsidRPr="00DA702B" w14:paraId="119B018F" w14:textId="77777777" w:rsidTr="00247007">
        <w:trPr>
          <w:cantSplit/>
          <w:tblHeader/>
        </w:trPr>
        <w:tc>
          <w:tcPr>
            <w:tcW w:w="4800" w:type="dxa"/>
            <w:shd w:val="clear" w:color="auto" w:fill="D9D9D9" w:themeFill="background1" w:themeFillShade="D9"/>
          </w:tcPr>
          <w:p w14:paraId="58D5A3CD"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16F9E005"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0B13CC8D"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61E836DA" w14:textId="77777777" w:rsidTr="00247007">
        <w:trPr>
          <w:cantSplit/>
          <w:tblHeader/>
        </w:trPr>
        <w:tc>
          <w:tcPr>
            <w:tcW w:w="4800" w:type="dxa"/>
          </w:tcPr>
          <w:p w14:paraId="0297979B" w14:textId="77777777" w:rsidR="00DA702B" w:rsidRPr="00DA702B" w:rsidRDefault="00DA702B" w:rsidP="00DA702B">
            <w:pPr>
              <w:rPr>
                <w:rFonts w:asciiTheme="majorHAnsi" w:hAnsiTheme="majorHAnsi" w:cstheme="majorHAnsi"/>
              </w:rPr>
            </w:pPr>
          </w:p>
        </w:tc>
        <w:tc>
          <w:tcPr>
            <w:tcW w:w="4800" w:type="dxa"/>
          </w:tcPr>
          <w:p w14:paraId="0C9FC1D2" w14:textId="77777777" w:rsidR="00DA702B" w:rsidRPr="00DA702B" w:rsidRDefault="00DA702B" w:rsidP="00DA702B">
            <w:pPr>
              <w:rPr>
                <w:rFonts w:asciiTheme="majorHAnsi" w:hAnsiTheme="majorHAnsi" w:cstheme="majorHAnsi"/>
              </w:rPr>
            </w:pPr>
          </w:p>
        </w:tc>
        <w:tc>
          <w:tcPr>
            <w:tcW w:w="4800" w:type="dxa"/>
          </w:tcPr>
          <w:p w14:paraId="67DB44B8" w14:textId="77777777" w:rsidR="00DA702B" w:rsidRPr="00DA702B" w:rsidRDefault="00DA702B" w:rsidP="00DA702B">
            <w:pPr>
              <w:rPr>
                <w:rFonts w:asciiTheme="majorHAnsi" w:hAnsiTheme="majorHAnsi" w:cstheme="majorHAnsi"/>
              </w:rPr>
            </w:pPr>
          </w:p>
        </w:tc>
      </w:tr>
    </w:tbl>
    <w:p w14:paraId="248D28F5"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a:  Title 40 Code of Federal Regulations Part 60 (40 CFR Part 60)&#10;Subpart D:  Standards of Performance for Fossil Fuel-Fired Steam Generators&#10;"/>
      </w:tblPr>
      <w:tblGrid>
        <w:gridCol w:w="1199"/>
        <w:gridCol w:w="1199"/>
        <w:gridCol w:w="1359"/>
        <w:gridCol w:w="1041"/>
        <w:gridCol w:w="1200"/>
        <w:gridCol w:w="1200"/>
        <w:gridCol w:w="1200"/>
        <w:gridCol w:w="1200"/>
        <w:gridCol w:w="1200"/>
        <w:gridCol w:w="1200"/>
        <w:gridCol w:w="1201"/>
        <w:gridCol w:w="1201"/>
      </w:tblGrid>
      <w:tr w:rsidR="00DA702B" w:rsidRPr="00DA702B" w14:paraId="5FC5BD8E" w14:textId="77777777" w:rsidTr="00247007">
        <w:trPr>
          <w:cantSplit/>
          <w:tblHeader/>
        </w:trPr>
        <w:tc>
          <w:tcPr>
            <w:tcW w:w="1199" w:type="dxa"/>
            <w:shd w:val="clear" w:color="auto" w:fill="D9D9D9" w:themeFill="background1" w:themeFillShade="D9"/>
            <w:vAlign w:val="bottom"/>
          </w:tcPr>
          <w:p w14:paraId="5668F7B9" w14:textId="77777777" w:rsidR="00DA702B" w:rsidRPr="00DA702B" w:rsidRDefault="00DA702B" w:rsidP="00DA702B">
            <w:pPr>
              <w:jc w:val="center"/>
            </w:pPr>
            <w:r w:rsidRPr="00DA702B">
              <w:rPr>
                <w:b/>
                <w:sz w:val="20"/>
                <w:szCs w:val="20"/>
              </w:rPr>
              <w:t>Unit ID No.</w:t>
            </w:r>
          </w:p>
        </w:tc>
        <w:tc>
          <w:tcPr>
            <w:tcW w:w="1199" w:type="dxa"/>
            <w:shd w:val="clear" w:color="auto" w:fill="D9D9D9" w:themeFill="background1" w:themeFillShade="D9"/>
            <w:vAlign w:val="bottom"/>
          </w:tcPr>
          <w:p w14:paraId="13F4614E" w14:textId="77777777" w:rsidR="00DA702B" w:rsidRPr="00DA702B" w:rsidRDefault="00DA702B" w:rsidP="00DA702B">
            <w:pPr>
              <w:jc w:val="center"/>
              <w:rPr>
                <w:b/>
                <w:sz w:val="20"/>
                <w:szCs w:val="20"/>
              </w:rPr>
            </w:pPr>
            <w:r w:rsidRPr="00DA702B">
              <w:rPr>
                <w:b/>
                <w:sz w:val="20"/>
                <w:szCs w:val="20"/>
              </w:rPr>
              <w:t>SOP</w:t>
            </w:r>
          </w:p>
          <w:p w14:paraId="2145B2CC" w14:textId="77777777" w:rsidR="00DA702B" w:rsidRPr="00DA702B" w:rsidRDefault="00DA702B" w:rsidP="00DA702B">
            <w:pPr>
              <w:jc w:val="center"/>
            </w:pPr>
            <w:r w:rsidRPr="00DA702B">
              <w:rPr>
                <w:b/>
                <w:sz w:val="20"/>
                <w:szCs w:val="20"/>
              </w:rPr>
              <w:t>Index No.</w:t>
            </w:r>
          </w:p>
        </w:tc>
        <w:tc>
          <w:tcPr>
            <w:tcW w:w="1359" w:type="dxa"/>
            <w:shd w:val="clear" w:color="auto" w:fill="D9D9D9" w:themeFill="background1" w:themeFillShade="D9"/>
            <w:vAlign w:val="bottom"/>
          </w:tcPr>
          <w:p w14:paraId="09E8FE33" w14:textId="77777777" w:rsidR="00DA702B" w:rsidRPr="00DA702B" w:rsidRDefault="00DA702B" w:rsidP="00DA702B">
            <w:pPr>
              <w:jc w:val="center"/>
            </w:pPr>
            <w:r w:rsidRPr="00DA702B">
              <w:rPr>
                <w:b/>
                <w:sz w:val="20"/>
                <w:szCs w:val="20"/>
              </w:rPr>
              <w:t>Construction/Modification Date</w:t>
            </w:r>
          </w:p>
        </w:tc>
        <w:tc>
          <w:tcPr>
            <w:tcW w:w="1041" w:type="dxa"/>
            <w:shd w:val="clear" w:color="auto" w:fill="D9D9D9" w:themeFill="background1" w:themeFillShade="D9"/>
            <w:vAlign w:val="bottom"/>
          </w:tcPr>
          <w:p w14:paraId="4A6CA5F2" w14:textId="77777777" w:rsidR="00DA702B" w:rsidRPr="00DA702B" w:rsidRDefault="00DA702B" w:rsidP="00DA702B">
            <w:pPr>
              <w:jc w:val="center"/>
            </w:pPr>
            <w:r w:rsidRPr="00DA702B">
              <w:rPr>
                <w:b/>
                <w:sz w:val="20"/>
                <w:szCs w:val="20"/>
              </w:rPr>
              <w:t>Covered Under Subpart Da or KKKK</w:t>
            </w:r>
          </w:p>
        </w:tc>
        <w:tc>
          <w:tcPr>
            <w:tcW w:w="1200" w:type="dxa"/>
            <w:shd w:val="clear" w:color="auto" w:fill="D9D9D9" w:themeFill="background1" w:themeFillShade="D9"/>
            <w:vAlign w:val="bottom"/>
          </w:tcPr>
          <w:p w14:paraId="45271054" w14:textId="77777777" w:rsidR="00DA702B" w:rsidRPr="00DA702B" w:rsidRDefault="00DA702B" w:rsidP="00DA702B">
            <w:pPr>
              <w:jc w:val="center"/>
            </w:pPr>
            <w:r w:rsidRPr="00DA702B">
              <w:rPr>
                <w:b/>
                <w:sz w:val="20"/>
                <w:szCs w:val="20"/>
              </w:rPr>
              <w:t>Changes to Existing Affected Facility</w:t>
            </w:r>
          </w:p>
        </w:tc>
        <w:tc>
          <w:tcPr>
            <w:tcW w:w="1200" w:type="dxa"/>
            <w:shd w:val="clear" w:color="auto" w:fill="D9D9D9" w:themeFill="background1" w:themeFillShade="D9"/>
            <w:vAlign w:val="bottom"/>
          </w:tcPr>
          <w:p w14:paraId="06AA3113" w14:textId="77777777" w:rsidR="00DA702B" w:rsidRPr="00DA702B" w:rsidRDefault="00DA702B" w:rsidP="00DA702B">
            <w:pPr>
              <w:jc w:val="center"/>
            </w:pPr>
            <w:r w:rsidRPr="00DA702B">
              <w:rPr>
                <w:b/>
                <w:sz w:val="20"/>
                <w:szCs w:val="20"/>
              </w:rPr>
              <w:t>Heat Input Rate</w:t>
            </w:r>
          </w:p>
        </w:tc>
        <w:tc>
          <w:tcPr>
            <w:tcW w:w="1200" w:type="dxa"/>
            <w:shd w:val="clear" w:color="auto" w:fill="D9D9D9" w:themeFill="background1" w:themeFillShade="D9"/>
            <w:vAlign w:val="bottom"/>
          </w:tcPr>
          <w:p w14:paraId="4A294F1D" w14:textId="77777777" w:rsidR="00DA702B" w:rsidRPr="00DA702B" w:rsidRDefault="00DA702B" w:rsidP="00DA702B">
            <w:pPr>
              <w:jc w:val="center"/>
            </w:pPr>
            <w:r w:rsidRPr="00DA702B">
              <w:rPr>
                <w:b/>
                <w:sz w:val="20"/>
                <w:szCs w:val="20"/>
              </w:rPr>
              <w:t>Alternate 42C</w:t>
            </w:r>
          </w:p>
        </w:tc>
        <w:tc>
          <w:tcPr>
            <w:tcW w:w="1200" w:type="dxa"/>
            <w:shd w:val="clear" w:color="auto" w:fill="D9D9D9" w:themeFill="background1" w:themeFillShade="D9"/>
            <w:vAlign w:val="bottom"/>
          </w:tcPr>
          <w:p w14:paraId="2DCCE1A1" w14:textId="77777777" w:rsidR="00DA702B" w:rsidRPr="00DA702B" w:rsidRDefault="00DA702B" w:rsidP="00DA702B">
            <w:pPr>
              <w:jc w:val="center"/>
            </w:pPr>
            <w:r w:rsidRPr="00DA702B">
              <w:rPr>
                <w:b/>
                <w:sz w:val="20"/>
                <w:szCs w:val="20"/>
              </w:rPr>
              <w:t>PM CEMS</w:t>
            </w:r>
          </w:p>
        </w:tc>
        <w:tc>
          <w:tcPr>
            <w:tcW w:w="1200" w:type="dxa"/>
            <w:shd w:val="clear" w:color="auto" w:fill="D9D9D9" w:themeFill="background1" w:themeFillShade="D9"/>
            <w:vAlign w:val="bottom"/>
          </w:tcPr>
          <w:p w14:paraId="27F8AC04" w14:textId="77777777" w:rsidR="00DA702B" w:rsidRPr="00DA702B" w:rsidRDefault="00DA702B" w:rsidP="00DA702B">
            <w:pPr>
              <w:jc w:val="center"/>
            </w:pPr>
            <w:r w:rsidRPr="00DA702B">
              <w:rPr>
                <w:b/>
                <w:sz w:val="20"/>
                <w:szCs w:val="20"/>
              </w:rPr>
              <w:t>Opacity Monitoring</w:t>
            </w:r>
          </w:p>
        </w:tc>
        <w:tc>
          <w:tcPr>
            <w:tcW w:w="1200" w:type="dxa"/>
            <w:shd w:val="clear" w:color="auto" w:fill="D9D9D9" w:themeFill="background1" w:themeFillShade="D9"/>
            <w:vAlign w:val="bottom"/>
          </w:tcPr>
          <w:p w14:paraId="09EBD6B8" w14:textId="77777777" w:rsidR="00DA702B" w:rsidRPr="00DA702B" w:rsidRDefault="00DA702B" w:rsidP="00DA702B">
            <w:pPr>
              <w:jc w:val="center"/>
            </w:pPr>
            <w:r w:rsidRPr="00DA702B">
              <w:rPr>
                <w:b/>
                <w:sz w:val="20"/>
                <w:szCs w:val="20"/>
              </w:rPr>
              <w:t>Gas/Liquid Fuel</w:t>
            </w:r>
          </w:p>
        </w:tc>
        <w:tc>
          <w:tcPr>
            <w:tcW w:w="1201" w:type="dxa"/>
            <w:shd w:val="clear" w:color="auto" w:fill="D9D9D9" w:themeFill="background1" w:themeFillShade="D9"/>
            <w:vAlign w:val="bottom"/>
          </w:tcPr>
          <w:p w14:paraId="37990C56" w14:textId="77777777" w:rsidR="00DA702B" w:rsidRPr="00DA702B" w:rsidRDefault="00DA702B" w:rsidP="00DA702B">
            <w:pPr>
              <w:jc w:val="center"/>
            </w:pPr>
            <w:r w:rsidRPr="00DA702B">
              <w:rPr>
                <w:b/>
                <w:sz w:val="20"/>
                <w:szCs w:val="20"/>
              </w:rPr>
              <w:t>Fuels with 0.33 % or Less Sulfur</w:t>
            </w:r>
          </w:p>
        </w:tc>
        <w:tc>
          <w:tcPr>
            <w:tcW w:w="1201" w:type="dxa"/>
            <w:shd w:val="clear" w:color="auto" w:fill="D9D9D9" w:themeFill="background1" w:themeFillShade="D9"/>
            <w:vAlign w:val="bottom"/>
          </w:tcPr>
          <w:p w14:paraId="057B21A0" w14:textId="77777777" w:rsidR="00DA702B" w:rsidRPr="00DA702B" w:rsidRDefault="00DA702B" w:rsidP="00DA702B">
            <w:pPr>
              <w:jc w:val="center"/>
            </w:pPr>
            <w:r w:rsidRPr="00DA702B">
              <w:rPr>
                <w:b/>
                <w:sz w:val="20"/>
                <w:szCs w:val="20"/>
              </w:rPr>
              <w:t>Specific Site</w:t>
            </w:r>
          </w:p>
        </w:tc>
      </w:tr>
      <w:tr w:rsidR="00DA702B" w:rsidRPr="00DA702B" w14:paraId="76C7A8D6" w14:textId="77777777" w:rsidTr="00247007">
        <w:trPr>
          <w:cantSplit/>
          <w:tblHeader/>
        </w:trPr>
        <w:tc>
          <w:tcPr>
            <w:tcW w:w="1199" w:type="dxa"/>
          </w:tcPr>
          <w:p w14:paraId="4005E6E6" w14:textId="77777777" w:rsidR="00DA702B" w:rsidRPr="00DA702B" w:rsidRDefault="00DA702B" w:rsidP="00DA702B"/>
        </w:tc>
        <w:tc>
          <w:tcPr>
            <w:tcW w:w="1199" w:type="dxa"/>
          </w:tcPr>
          <w:p w14:paraId="3D77D820" w14:textId="77777777" w:rsidR="00DA702B" w:rsidRPr="00DA702B" w:rsidRDefault="00DA702B" w:rsidP="00DA702B"/>
        </w:tc>
        <w:tc>
          <w:tcPr>
            <w:tcW w:w="1359" w:type="dxa"/>
          </w:tcPr>
          <w:p w14:paraId="39AB23E9" w14:textId="77777777" w:rsidR="00DA702B" w:rsidRPr="00DA702B" w:rsidRDefault="00DA702B" w:rsidP="00DA702B"/>
        </w:tc>
        <w:tc>
          <w:tcPr>
            <w:tcW w:w="1041" w:type="dxa"/>
          </w:tcPr>
          <w:p w14:paraId="758D64C7" w14:textId="77777777" w:rsidR="00DA702B" w:rsidRPr="00DA702B" w:rsidRDefault="00DA702B" w:rsidP="00DA702B"/>
        </w:tc>
        <w:tc>
          <w:tcPr>
            <w:tcW w:w="1200" w:type="dxa"/>
          </w:tcPr>
          <w:p w14:paraId="4C601CE7" w14:textId="77777777" w:rsidR="00DA702B" w:rsidRPr="00DA702B" w:rsidRDefault="00DA702B" w:rsidP="00DA702B"/>
        </w:tc>
        <w:tc>
          <w:tcPr>
            <w:tcW w:w="1200" w:type="dxa"/>
          </w:tcPr>
          <w:p w14:paraId="1E41B871" w14:textId="77777777" w:rsidR="00DA702B" w:rsidRPr="00DA702B" w:rsidRDefault="00DA702B" w:rsidP="00DA702B"/>
        </w:tc>
        <w:tc>
          <w:tcPr>
            <w:tcW w:w="1200" w:type="dxa"/>
          </w:tcPr>
          <w:p w14:paraId="5A4D7774" w14:textId="77777777" w:rsidR="00DA702B" w:rsidRPr="00DA702B" w:rsidRDefault="00DA702B" w:rsidP="00DA702B"/>
        </w:tc>
        <w:tc>
          <w:tcPr>
            <w:tcW w:w="1200" w:type="dxa"/>
          </w:tcPr>
          <w:p w14:paraId="68EC8404" w14:textId="77777777" w:rsidR="00DA702B" w:rsidRPr="00DA702B" w:rsidRDefault="00DA702B" w:rsidP="00DA702B"/>
        </w:tc>
        <w:tc>
          <w:tcPr>
            <w:tcW w:w="1200" w:type="dxa"/>
          </w:tcPr>
          <w:p w14:paraId="5491765A" w14:textId="77777777" w:rsidR="00DA702B" w:rsidRPr="00DA702B" w:rsidRDefault="00DA702B" w:rsidP="00DA702B"/>
        </w:tc>
        <w:tc>
          <w:tcPr>
            <w:tcW w:w="1200" w:type="dxa"/>
          </w:tcPr>
          <w:p w14:paraId="6B763FEC" w14:textId="77777777" w:rsidR="00DA702B" w:rsidRPr="00DA702B" w:rsidRDefault="00DA702B" w:rsidP="00DA702B"/>
        </w:tc>
        <w:tc>
          <w:tcPr>
            <w:tcW w:w="1201" w:type="dxa"/>
          </w:tcPr>
          <w:p w14:paraId="327F29C9" w14:textId="77777777" w:rsidR="00DA702B" w:rsidRPr="00DA702B" w:rsidRDefault="00DA702B" w:rsidP="00DA702B"/>
        </w:tc>
        <w:tc>
          <w:tcPr>
            <w:tcW w:w="1201" w:type="dxa"/>
          </w:tcPr>
          <w:p w14:paraId="5372D0F8" w14:textId="77777777" w:rsidR="00DA702B" w:rsidRPr="00DA702B" w:rsidRDefault="00DA702B" w:rsidP="00DA702B"/>
        </w:tc>
      </w:tr>
      <w:tr w:rsidR="00DA702B" w:rsidRPr="00DA702B" w14:paraId="57FA99DE" w14:textId="77777777" w:rsidTr="00247007">
        <w:trPr>
          <w:cantSplit/>
          <w:tblHeader/>
        </w:trPr>
        <w:tc>
          <w:tcPr>
            <w:tcW w:w="1199" w:type="dxa"/>
          </w:tcPr>
          <w:p w14:paraId="64A5056A" w14:textId="77777777" w:rsidR="00DA702B" w:rsidRPr="00DA702B" w:rsidRDefault="00DA702B" w:rsidP="00DA702B"/>
        </w:tc>
        <w:tc>
          <w:tcPr>
            <w:tcW w:w="1199" w:type="dxa"/>
          </w:tcPr>
          <w:p w14:paraId="29CD8E19" w14:textId="77777777" w:rsidR="00DA702B" w:rsidRPr="00DA702B" w:rsidRDefault="00DA702B" w:rsidP="00DA702B"/>
        </w:tc>
        <w:tc>
          <w:tcPr>
            <w:tcW w:w="1359" w:type="dxa"/>
          </w:tcPr>
          <w:p w14:paraId="4DD11FB6" w14:textId="77777777" w:rsidR="00DA702B" w:rsidRPr="00DA702B" w:rsidRDefault="00DA702B" w:rsidP="00DA702B"/>
        </w:tc>
        <w:tc>
          <w:tcPr>
            <w:tcW w:w="1041" w:type="dxa"/>
          </w:tcPr>
          <w:p w14:paraId="6ABA5FA8" w14:textId="77777777" w:rsidR="00DA702B" w:rsidRPr="00DA702B" w:rsidRDefault="00DA702B" w:rsidP="00DA702B"/>
        </w:tc>
        <w:tc>
          <w:tcPr>
            <w:tcW w:w="1200" w:type="dxa"/>
          </w:tcPr>
          <w:p w14:paraId="0AF4A85F" w14:textId="77777777" w:rsidR="00DA702B" w:rsidRPr="00DA702B" w:rsidRDefault="00DA702B" w:rsidP="00DA702B"/>
        </w:tc>
        <w:tc>
          <w:tcPr>
            <w:tcW w:w="1200" w:type="dxa"/>
          </w:tcPr>
          <w:p w14:paraId="66EBED0C" w14:textId="77777777" w:rsidR="00DA702B" w:rsidRPr="00DA702B" w:rsidRDefault="00DA702B" w:rsidP="00DA702B"/>
        </w:tc>
        <w:tc>
          <w:tcPr>
            <w:tcW w:w="1200" w:type="dxa"/>
          </w:tcPr>
          <w:p w14:paraId="03F1C978" w14:textId="77777777" w:rsidR="00DA702B" w:rsidRPr="00DA702B" w:rsidRDefault="00DA702B" w:rsidP="00DA702B"/>
        </w:tc>
        <w:tc>
          <w:tcPr>
            <w:tcW w:w="1200" w:type="dxa"/>
          </w:tcPr>
          <w:p w14:paraId="6DCAA77B" w14:textId="77777777" w:rsidR="00DA702B" w:rsidRPr="00DA702B" w:rsidRDefault="00DA702B" w:rsidP="00DA702B"/>
        </w:tc>
        <w:tc>
          <w:tcPr>
            <w:tcW w:w="1200" w:type="dxa"/>
          </w:tcPr>
          <w:p w14:paraId="1287FDF1" w14:textId="77777777" w:rsidR="00DA702B" w:rsidRPr="00DA702B" w:rsidRDefault="00DA702B" w:rsidP="00DA702B"/>
        </w:tc>
        <w:tc>
          <w:tcPr>
            <w:tcW w:w="1200" w:type="dxa"/>
          </w:tcPr>
          <w:p w14:paraId="0625BB87" w14:textId="77777777" w:rsidR="00DA702B" w:rsidRPr="00DA702B" w:rsidRDefault="00DA702B" w:rsidP="00DA702B"/>
        </w:tc>
        <w:tc>
          <w:tcPr>
            <w:tcW w:w="1201" w:type="dxa"/>
          </w:tcPr>
          <w:p w14:paraId="7097EDA0" w14:textId="77777777" w:rsidR="00DA702B" w:rsidRPr="00DA702B" w:rsidRDefault="00DA702B" w:rsidP="00DA702B"/>
        </w:tc>
        <w:tc>
          <w:tcPr>
            <w:tcW w:w="1201" w:type="dxa"/>
          </w:tcPr>
          <w:p w14:paraId="0F840D30" w14:textId="77777777" w:rsidR="00DA702B" w:rsidRPr="00DA702B" w:rsidRDefault="00DA702B" w:rsidP="00DA702B"/>
        </w:tc>
      </w:tr>
      <w:tr w:rsidR="00DA702B" w:rsidRPr="00DA702B" w14:paraId="57CB8B21" w14:textId="77777777" w:rsidTr="00247007">
        <w:trPr>
          <w:cantSplit/>
          <w:tblHeader/>
        </w:trPr>
        <w:tc>
          <w:tcPr>
            <w:tcW w:w="1199" w:type="dxa"/>
          </w:tcPr>
          <w:p w14:paraId="43EDB2AA" w14:textId="77777777" w:rsidR="00DA702B" w:rsidRPr="00DA702B" w:rsidRDefault="00DA702B" w:rsidP="00DA702B"/>
        </w:tc>
        <w:tc>
          <w:tcPr>
            <w:tcW w:w="1199" w:type="dxa"/>
          </w:tcPr>
          <w:p w14:paraId="10EBF582" w14:textId="77777777" w:rsidR="00DA702B" w:rsidRPr="00DA702B" w:rsidRDefault="00DA702B" w:rsidP="00DA702B"/>
        </w:tc>
        <w:tc>
          <w:tcPr>
            <w:tcW w:w="1359" w:type="dxa"/>
          </w:tcPr>
          <w:p w14:paraId="47363639" w14:textId="77777777" w:rsidR="00DA702B" w:rsidRPr="00DA702B" w:rsidRDefault="00DA702B" w:rsidP="00DA702B"/>
        </w:tc>
        <w:tc>
          <w:tcPr>
            <w:tcW w:w="1041" w:type="dxa"/>
          </w:tcPr>
          <w:p w14:paraId="05CAF2D1" w14:textId="77777777" w:rsidR="00DA702B" w:rsidRPr="00DA702B" w:rsidRDefault="00DA702B" w:rsidP="00DA702B"/>
        </w:tc>
        <w:tc>
          <w:tcPr>
            <w:tcW w:w="1200" w:type="dxa"/>
          </w:tcPr>
          <w:p w14:paraId="55D1E1B0" w14:textId="77777777" w:rsidR="00DA702B" w:rsidRPr="00DA702B" w:rsidRDefault="00DA702B" w:rsidP="00DA702B"/>
        </w:tc>
        <w:tc>
          <w:tcPr>
            <w:tcW w:w="1200" w:type="dxa"/>
          </w:tcPr>
          <w:p w14:paraId="6FCC0BC1" w14:textId="77777777" w:rsidR="00DA702B" w:rsidRPr="00DA702B" w:rsidRDefault="00DA702B" w:rsidP="00DA702B"/>
        </w:tc>
        <w:tc>
          <w:tcPr>
            <w:tcW w:w="1200" w:type="dxa"/>
          </w:tcPr>
          <w:p w14:paraId="01EBDDC2" w14:textId="77777777" w:rsidR="00DA702B" w:rsidRPr="00DA702B" w:rsidRDefault="00DA702B" w:rsidP="00DA702B"/>
        </w:tc>
        <w:tc>
          <w:tcPr>
            <w:tcW w:w="1200" w:type="dxa"/>
          </w:tcPr>
          <w:p w14:paraId="50A70BA8" w14:textId="77777777" w:rsidR="00DA702B" w:rsidRPr="00DA702B" w:rsidRDefault="00DA702B" w:rsidP="00DA702B"/>
        </w:tc>
        <w:tc>
          <w:tcPr>
            <w:tcW w:w="1200" w:type="dxa"/>
          </w:tcPr>
          <w:p w14:paraId="3376FE02" w14:textId="77777777" w:rsidR="00DA702B" w:rsidRPr="00DA702B" w:rsidRDefault="00DA702B" w:rsidP="00DA702B"/>
        </w:tc>
        <w:tc>
          <w:tcPr>
            <w:tcW w:w="1200" w:type="dxa"/>
          </w:tcPr>
          <w:p w14:paraId="76FB5243" w14:textId="77777777" w:rsidR="00DA702B" w:rsidRPr="00DA702B" w:rsidRDefault="00DA702B" w:rsidP="00DA702B"/>
        </w:tc>
        <w:tc>
          <w:tcPr>
            <w:tcW w:w="1201" w:type="dxa"/>
          </w:tcPr>
          <w:p w14:paraId="228FD5BE" w14:textId="77777777" w:rsidR="00DA702B" w:rsidRPr="00DA702B" w:rsidRDefault="00DA702B" w:rsidP="00DA702B"/>
        </w:tc>
        <w:tc>
          <w:tcPr>
            <w:tcW w:w="1201" w:type="dxa"/>
          </w:tcPr>
          <w:p w14:paraId="0307A82D" w14:textId="77777777" w:rsidR="00DA702B" w:rsidRPr="00DA702B" w:rsidRDefault="00DA702B" w:rsidP="00DA702B"/>
        </w:tc>
      </w:tr>
      <w:tr w:rsidR="00DA702B" w:rsidRPr="00DA702B" w14:paraId="1745A1C3" w14:textId="77777777" w:rsidTr="00247007">
        <w:trPr>
          <w:cantSplit/>
          <w:tblHeader/>
        </w:trPr>
        <w:tc>
          <w:tcPr>
            <w:tcW w:w="1199" w:type="dxa"/>
          </w:tcPr>
          <w:p w14:paraId="36A56774" w14:textId="77777777" w:rsidR="00DA702B" w:rsidRPr="00DA702B" w:rsidRDefault="00DA702B" w:rsidP="00DA702B"/>
        </w:tc>
        <w:tc>
          <w:tcPr>
            <w:tcW w:w="1199" w:type="dxa"/>
          </w:tcPr>
          <w:p w14:paraId="027E9E4B" w14:textId="77777777" w:rsidR="00DA702B" w:rsidRPr="00DA702B" w:rsidRDefault="00DA702B" w:rsidP="00DA702B"/>
        </w:tc>
        <w:tc>
          <w:tcPr>
            <w:tcW w:w="1359" w:type="dxa"/>
          </w:tcPr>
          <w:p w14:paraId="4E8B4BDB" w14:textId="77777777" w:rsidR="00DA702B" w:rsidRPr="00DA702B" w:rsidRDefault="00DA702B" w:rsidP="00DA702B"/>
        </w:tc>
        <w:tc>
          <w:tcPr>
            <w:tcW w:w="1041" w:type="dxa"/>
          </w:tcPr>
          <w:p w14:paraId="50E9FBA2" w14:textId="77777777" w:rsidR="00DA702B" w:rsidRPr="00DA702B" w:rsidRDefault="00DA702B" w:rsidP="00DA702B"/>
        </w:tc>
        <w:tc>
          <w:tcPr>
            <w:tcW w:w="1200" w:type="dxa"/>
          </w:tcPr>
          <w:p w14:paraId="3B6755FC" w14:textId="77777777" w:rsidR="00DA702B" w:rsidRPr="00DA702B" w:rsidRDefault="00DA702B" w:rsidP="00DA702B"/>
        </w:tc>
        <w:tc>
          <w:tcPr>
            <w:tcW w:w="1200" w:type="dxa"/>
          </w:tcPr>
          <w:p w14:paraId="065A801D" w14:textId="77777777" w:rsidR="00DA702B" w:rsidRPr="00DA702B" w:rsidRDefault="00DA702B" w:rsidP="00DA702B"/>
        </w:tc>
        <w:tc>
          <w:tcPr>
            <w:tcW w:w="1200" w:type="dxa"/>
          </w:tcPr>
          <w:p w14:paraId="58F18AA9" w14:textId="77777777" w:rsidR="00DA702B" w:rsidRPr="00DA702B" w:rsidRDefault="00DA702B" w:rsidP="00DA702B"/>
        </w:tc>
        <w:tc>
          <w:tcPr>
            <w:tcW w:w="1200" w:type="dxa"/>
          </w:tcPr>
          <w:p w14:paraId="45616317" w14:textId="77777777" w:rsidR="00DA702B" w:rsidRPr="00DA702B" w:rsidRDefault="00DA702B" w:rsidP="00DA702B"/>
        </w:tc>
        <w:tc>
          <w:tcPr>
            <w:tcW w:w="1200" w:type="dxa"/>
          </w:tcPr>
          <w:p w14:paraId="44234033" w14:textId="77777777" w:rsidR="00DA702B" w:rsidRPr="00DA702B" w:rsidRDefault="00DA702B" w:rsidP="00DA702B"/>
        </w:tc>
        <w:tc>
          <w:tcPr>
            <w:tcW w:w="1200" w:type="dxa"/>
          </w:tcPr>
          <w:p w14:paraId="1762AC03" w14:textId="77777777" w:rsidR="00DA702B" w:rsidRPr="00DA702B" w:rsidRDefault="00DA702B" w:rsidP="00DA702B"/>
        </w:tc>
        <w:tc>
          <w:tcPr>
            <w:tcW w:w="1201" w:type="dxa"/>
          </w:tcPr>
          <w:p w14:paraId="3F6DAD81" w14:textId="77777777" w:rsidR="00DA702B" w:rsidRPr="00DA702B" w:rsidRDefault="00DA702B" w:rsidP="00DA702B"/>
        </w:tc>
        <w:tc>
          <w:tcPr>
            <w:tcW w:w="1201" w:type="dxa"/>
          </w:tcPr>
          <w:p w14:paraId="6DA61377" w14:textId="77777777" w:rsidR="00DA702B" w:rsidRPr="00DA702B" w:rsidRDefault="00DA702B" w:rsidP="00DA702B"/>
        </w:tc>
      </w:tr>
      <w:tr w:rsidR="00DA702B" w:rsidRPr="00DA702B" w14:paraId="7E82DF6D" w14:textId="77777777" w:rsidTr="00247007">
        <w:trPr>
          <w:cantSplit/>
          <w:tblHeader/>
        </w:trPr>
        <w:tc>
          <w:tcPr>
            <w:tcW w:w="1199" w:type="dxa"/>
          </w:tcPr>
          <w:p w14:paraId="655B6E1C" w14:textId="77777777" w:rsidR="00DA702B" w:rsidRPr="00DA702B" w:rsidRDefault="00DA702B" w:rsidP="00DA702B"/>
        </w:tc>
        <w:tc>
          <w:tcPr>
            <w:tcW w:w="1199" w:type="dxa"/>
          </w:tcPr>
          <w:p w14:paraId="7F9C11D1" w14:textId="77777777" w:rsidR="00DA702B" w:rsidRPr="00DA702B" w:rsidRDefault="00DA702B" w:rsidP="00DA702B"/>
        </w:tc>
        <w:tc>
          <w:tcPr>
            <w:tcW w:w="1359" w:type="dxa"/>
          </w:tcPr>
          <w:p w14:paraId="2164837A" w14:textId="77777777" w:rsidR="00DA702B" w:rsidRPr="00DA702B" w:rsidRDefault="00DA702B" w:rsidP="00DA702B"/>
        </w:tc>
        <w:tc>
          <w:tcPr>
            <w:tcW w:w="1041" w:type="dxa"/>
          </w:tcPr>
          <w:p w14:paraId="28149F3C" w14:textId="77777777" w:rsidR="00DA702B" w:rsidRPr="00DA702B" w:rsidRDefault="00DA702B" w:rsidP="00DA702B"/>
        </w:tc>
        <w:tc>
          <w:tcPr>
            <w:tcW w:w="1200" w:type="dxa"/>
          </w:tcPr>
          <w:p w14:paraId="3A2D9850" w14:textId="77777777" w:rsidR="00DA702B" w:rsidRPr="00DA702B" w:rsidRDefault="00DA702B" w:rsidP="00DA702B"/>
        </w:tc>
        <w:tc>
          <w:tcPr>
            <w:tcW w:w="1200" w:type="dxa"/>
          </w:tcPr>
          <w:p w14:paraId="023914E6" w14:textId="77777777" w:rsidR="00DA702B" w:rsidRPr="00DA702B" w:rsidRDefault="00DA702B" w:rsidP="00DA702B"/>
        </w:tc>
        <w:tc>
          <w:tcPr>
            <w:tcW w:w="1200" w:type="dxa"/>
          </w:tcPr>
          <w:p w14:paraId="62E37B3E" w14:textId="77777777" w:rsidR="00DA702B" w:rsidRPr="00DA702B" w:rsidRDefault="00DA702B" w:rsidP="00DA702B"/>
        </w:tc>
        <w:tc>
          <w:tcPr>
            <w:tcW w:w="1200" w:type="dxa"/>
          </w:tcPr>
          <w:p w14:paraId="4BFBE280" w14:textId="77777777" w:rsidR="00DA702B" w:rsidRPr="00DA702B" w:rsidRDefault="00DA702B" w:rsidP="00DA702B"/>
        </w:tc>
        <w:tc>
          <w:tcPr>
            <w:tcW w:w="1200" w:type="dxa"/>
          </w:tcPr>
          <w:p w14:paraId="192D2557" w14:textId="77777777" w:rsidR="00DA702B" w:rsidRPr="00DA702B" w:rsidRDefault="00DA702B" w:rsidP="00DA702B"/>
        </w:tc>
        <w:tc>
          <w:tcPr>
            <w:tcW w:w="1200" w:type="dxa"/>
          </w:tcPr>
          <w:p w14:paraId="73FE301A" w14:textId="77777777" w:rsidR="00DA702B" w:rsidRPr="00DA702B" w:rsidRDefault="00DA702B" w:rsidP="00DA702B"/>
        </w:tc>
        <w:tc>
          <w:tcPr>
            <w:tcW w:w="1201" w:type="dxa"/>
          </w:tcPr>
          <w:p w14:paraId="798849CE" w14:textId="77777777" w:rsidR="00DA702B" w:rsidRPr="00DA702B" w:rsidRDefault="00DA702B" w:rsidP="00DA702B"/>
        </w:tc>
        <w:tc>
          <w:tcPr>
            <w:tcW w:w="1201" w:type="dxa"/>
          </w:tcPr>
          <w:p w14:paraId="7C84677B" w14:textId="77777777" w:rsidR="00DA702B" w:rsidRPr="00DA702B" w:rsidRDefault="00DA702B" w:rsidP="00DA702B"/>
        </w:tc>
      </w:tr>
      <w:tr w:rsidR="00DA702B" w:rsidRPr="00DA702B" w14:paraId="7AA1A4EF" w14:textId="77777777" w:rsidTr="00247007">
        <w:trPr>
          <w:cantSplit/>
          <w:tblHeader/>
        </w:trPr>
        <w:tc>
          <w:tcPr>
            <w:tcW w:w="1199" w:type="dxa"/>
          </w:tcPr>
          <w:p w14:paraId="7DC261A3" w14:textId="77777777" w:rsidR="00DA702B" w:rsidRPr="00DA702B" w:rsidRDefault="00DA702B" w:rsidP="00DA702B"/>
        </w:tc>
        <w:tc>
          <w:tcPr>
            <w:tcW w:w="1199" w:type="dxa"/>
          </w:tcPr>
          <w:p w14:paraId="2528B2F6" w14:textId="77777777" w:rsidR="00DA702B" w:rsidRPr="00DA702B" w:rsidRDefault="00DA702B" w:rsidP="00DA702B"/>
        </w:tc>
        <w:tc>
          <w:tcPr>
            <w:tcW w:w="1359" w:type="dxa"/>
          </w:tcPr>
          <w:p w14:paraId="25664DE0" w14:textId="77777777" w:rsidR="00DA702B" w:rsidRPr="00DA702B" w:rsidRDefault="00DA702B" w:rsidP="00DA702B"/>
        </w:tc>
        <w:tc>
          <w:tcPr>
            <w:tcW w:w="1041" w:type="dxa"/>
          </w:tcPr>
          <w:p w14:paraId="60C6614A" w14:textId="77777777" w:rsidR="00DA702B" w:rsidRPr="00DA702B" w:rsidRDefault="00DA702B" w:rsidP="00DA702B"/>
        </w:tc>
        <w:tc>
          <w:tcPr>
            <w:tcW w:w="1200" w:type="dxa"/>
          </w:tcPr>
          <w:p w14:paraId="358F48B2" w14:textId="77777777" w:rsidR="00DA702B" w:rsidRPr="00DA702B" w:rsidRDefault="00DA702B" w:rsidP="00DA702B"/>
        </w:tc>
        <w:tc>
          <w:tcPr>
            <w:tcW w:w="1200" w:type="dxa"/>
          </w:tcPr>
          <w:p w14:paraId="54E4B552" w14:textId="77777777" w:rsidR="00DA702B" w:rsidRPr="00DA702B" w:rsidRDefault="00DA702B" w:rsidP="00DA702B"/>
        </w:tc>
        <w:tc>
          <w:tcPr>
            <w:tcW w:w="1200" w:type="dxa"/>
          </w:tcPr>
          <w:p w14:paraId="650CF0C4" w14:textId="77777777" w:rsidR="00DA702B" w:rsidRPr="00DA702B" w:rsidRDefault="00DA702B" w:rsidP="00DA702B"/>
        </w:tc>
        <w:tc>
          <w:tcPr>
            <w:tcW w:w="1200" w:type="dxa"/>
          </w:tcPr>
          <w:p w14:paraId="3C7D7136" w14:textId="77777777" w:rsidR="00DA702B" w:rsidRPr="00DA702B" w:rsidRDefault="00DA702B" w:rsidP="00DA702B"/>
        </w:tc>
        <w:tc>
          <w:tcPr>
            <w:tcW w:w="1200" w:type="dxa"/>
          </w:tcPr>
          <w:p w14:paraId="336CEE93" w14:textId="77777777" w:rsidR="00DA702B" w:rsidRPr="00DA702B" w:rsidRDefault="00DA702B" w:rsidP="00DA702B"/>
        </w:tc>
        <w:tc>
          <w:tcPr>
            <w:tcW w:w="1200" w:type="dxa"/>
          </w:tcPr>
          <w:p w14:paraId="75093B97" w14:textId="77777777" w:rsidR="00DA702B" w:rsidRPr="00DA702B" w:rsidRDefault="00DA702B" w:rsidP="00DA702B"/>
        </w:tc>
        <w:tc>
          <w:tcPr>
            <w:tcW w:w="1201" w:type="dxa"/>
          </w:tcPr>
          <w:p w14:paraId="7E4006EA" w14:textId="77777777" w:rsidR="00DA702B" w:rsidRPr="00DA702B" w:rsidRDefault="00DA702B" w:rsidP="00DA702B"/>
        </w:tc>
        <w:tc>
          <w:tcPr>
            <w:tcW w:w="1201" w:type="dxa"/>
          </w:tcPr>
          <w:p w14:paraId="795630F8" w14:textId="77777777" w:rsidR="00DA702B" w:rsidRPr="00DA702B" w:rsidRDefault="00DA702B" w:rsidP="00DA702B"/>
        </w:tc>
      </w:tr>
      <w:tr w:rsidR="00DA702B" w:rsidRPr="00DA702B" w14:paraId="71728F08" w14:textId="77777777" w:rsidTr="00247007">
        <w:trPr>
          <w:cantSplit/>
          <w:tblHeader/>
        </w:trPr>
        <w:tc>
          <w:tcPr>
            <w:tcW w:w="1199" w:type="dxa"/>
          </w:tcPr>
          <w:p w14:paraId="264154FE" w14:textId="77777777" w:rsidR="00DA702B" w:rsidRPr="00DA702B" w:rsidRDefault="00DA702B" w:rsidP="00DA702B"/>
        </w:tc>
        <w:tc>
          <w:tcPr>
            <w:tcW w:w="1199" w:type="dxa"/>
          </w:tcPr>
          <w:p w14:paraId="33666AF7" w14:textId="77777777" w:rsidR="00DA702B" w:rsidRPr="00DA702B" w:rsidRDefault="00DA702B" w:rsidP="00DA702B"/>
        </w:tc>
        <w:tc>
          <w:tcPr>
            <w:tcW w:w="1359" w:type="dxa"/>
          </w:tcPr>
          <w:p w14:paraId="7B2265A3" w14:textId="77777777" w:rsidR="00DA702B" w:rsidRPr="00DA702B" w:rsidRDefault="00DA702B" w:rsidP="00DA702B"/>
        </w:tc>
        <w:tc>
          <w:tcPr>
            <w:tcW w:w="1041" w:type="dxa"/>
          </w:tcPr>
          <w:p w14:paraId="71A20B3C" w14:textId="77777777" w:rsidR="00DA702B" w:rsidRPr="00DA702B" w:rsidRDefault="00DA702B" w:rsidP="00DA702B"/>
        </w:tc>
        <w:tc>
          <w:tcPr>
            <w:tcW w:w="1200" w:type="dxa"/>
          </w:tcPr>
          <w:p w14:paraId="7095E1B9" w14:textId="77777777" w:rsidR="00DA702B" w:rsidRPr="00DA702B" w:rsidRDefault="00DA702B" w:rsidP="00DA702B"/>
        </w:tc>
        <w:tc>
          <w:tcPr>
            <w:tcW w:w="1200" w:type="dxa"/>
          </w:tcPr>
          <w:p w14:paraId="410169D2" w14:textId="77777777" w:rsidR="00DA702B" w:rsidRPr="00DA702B" w:rsidRDefault="00DA702B" w:rsidP="00DA702B"/>
        </w:tc>
        <w:tc>
          <w:tcPr>
            <w:tcW w:w="1200" w:type="dxa"/>
          </w:tcPr>
          <w:p w14:paraId="6E45819E" w14:textId="77777777" w:rsidR="00DA702B" w:rsidRPr="00DA702B" w:rsidRDefault="00DA702B" w:rsidP="00DA702B"/>
        </w:tc>
        <w:tc>
          <w:tcPr>
            <w:tcW w:w="1200" w:type="dxa"/>
          </w:tcPr>
          <w:p w14:paraId="7B8A6C8D" w14:textId="77777777" w:rsidR="00DA702B" w:rsidRPr="00DA702B" w:rsidRDefault="00DA702B" w:rsidP="00DA702B"/>
        </w:tc>
        <w:tc>
          <w:tcPr>
            <w:tcW w:w="1200" w:type="dxa"/>
          </w:tcPr>
          <w:p w14:paraId="08735BA1" w14:textId="77777777" w:rsidR="00DA702B" w:rsidRPr="00DA702B" w:rsidRDefault="00DA702B" w:rsidP="00DA702B"/>
        </w:tc>
        <w:tc>
          <w:tcPr>
            <w:tcW w:w="1200" w:type="dxa"/>
          </w:tcPr>
          <w:p w14:paraId="4C8EF373" w14:textId="77777777" w:rsidR="00DA702B" w:rsidRPr="00DA702B" w:rsidRDefault="00DA702B" w:rsidP="00DA702B"/>
        </w:tc>
        <w:tc>
          <w:tcPr>
            <w:tcW w:w="1201" w:type="dxa"/>
          </w:tcPr>
          <w:p w14:paraId="231E52F4" w14:textId="77777777" w:rsidR="00DA702B" w:rsidRPr="00DA702B" w:rsidRDefault="00DA702B" w:rsidP="00DA702B"/>
        </w:tc>
        <w:tc>
          <w:tcPr>
            <w:tcW w:w="1201" w:type="dxa"/>
          </w:tcPr>
          <w:p w14:paraId="5D611BC0" w14:textId="77777777" w:rsidR="00DA702B" w:rsidRPr="00DA702B" w:rsidRDefault="00DA702B" w:rsidP="00DA702B"/>
        </w:tc>
      </w:tr>
      <w:tr w:rsidR="00DA702B" w:rsidRPr="00DA702B" w14:paraId="30810F6F" w14:textId="77777777" w:rsidTr="00247007">
        <w:trPr>
          <w:cantSplit/>
          <w:tblHeader/>
        </w:trPr>
        <w:tc>
          <w:tcPr>
            <w:tcW w:w="1199" w:type="dxa"/>
          </w:tcPr>
          <w:p w14:paraId="52E61087" w14:textId="77777777" w:rsidR="00DA702B" w:rsidRPr="00DA702B" w:rsidRDefault="00DA702B" w:rsidP="00DA702B"/>
        </w:tc>
        <w:tc>
          <w:tcPr>
            <w:tcW w:w="1199" w:type="dxa"/>
          </w:tcPr>
          <w:p w14:paraId="5F14F72A" w14:textId="77777777" w:rsidR="00DA702B" w:rsidRPr="00DA702B" w:rsidRDefault="00DA702B" w:rsidP="00DA702B"/>
        </w:tc>
        <w:tc>
          <w:tcPr>
            <w:tcW w:w="1359" w:type="dxa"/>
          </w:tcPr>
          <w:p w14:paraId="425AE438" w14:textId="77777777" w:rsidR="00DA702B" w:rsidRPr="00DA702B" w:rsidRDefault="00DA702B" w:rsidP="00DA702B"/>
        </w:tc>
        <w:tc>
          <w:tcPr>
            <w:tcW w:w="1041" w:type="dxa"/>
          </w:tcPr>
          <w:p w14:paraId="33F209A4" w14:textId="77777777" w:rsidR="00DA702B" w:rsidRPr="00DA702B" w:rsidRDefault="00DA702B" w:rsidP="00DA702B"/>
        </w:tc>
        <w:tc>
          <w:tcPr>
            <w:tcW w:w="1200" w:type="dxa"/>
          </w:tcPr>
          <w:p w14:paraId="6768B57D" w14:textId="77777777" w:rsidR="00DA702B" w:rsidRPr="00DA702B" w:rsidRDefault="00DA702B" w:rsidP="00DA702B"/>
        </w:tc>
        <w:tc>
          <w:tcPr>
            <w:tcW w:w="1200" w:type="dxa"/>
          </w:tcPr>
          <w:p w14:paraId="37075F3E" w14:textId="77777777" w:rsidR="00DA702B" w:rsidRPr="00DA702B" w:rsidRDefault="00DA702B" w:rsidP="00DA702B"/>
        </w:tc>
        <w:tc>
          <w:tcPr>
            <w:tcW w:w="1200" w:type="dxa"/>
          </w:tcPr>
          <w:p w14:paraId="30DD9767" w14:textId="77777777" w:rsidR="00DA702B" w:rsidRPr="00DA702B" w:rsidRDefault="00DA702B" w:rsidP="00DA702B"/>
        </w:tc>
        <w:tc>
          <w:tcPr>
            <w:tcW w:w="1200" w:type="dxa"/>
          </w:tcPr>
          <w:p w14:paraId="40062801" w14:textId="77777777" w:rsidR="00DA702B" w:rsidRPr="00DA702B" w:rsidRDefault="00DA702B" w:rsidP="00DA702B"/>
        </w:tc>
        <w:tc>
          <w:tcPr>
            <w:tcW w:w="1200" w:type="dxa"/>
          </w:tcPr>
          <w:p w14:paraId="4739832F" w14:textId="77777777" w:rsidR="00DA702B" w:rsidRPr="00DA702B" w:rsidRDefault="00DA702B" w:rsidP="00DA702B"/>
        </w:tc>
        <w:tc>
          <w:tcPr>
            <w:tcW w:w="1200" w:type="dxa"/>
          </w:tcPr>
          <w:p w14:paraId="046A6D3B" w14:textId="77777777" w:rsidR="00DA702B" w:rsidRPr="00DA702B" w:rsidRDefault="00DA702B" w:rsidP="00DA702B"/>
        </w:tc>
        <w:tc>
          <w:tcPr>
            <w:tcW w:w="1201" w:type="dxa"/>
          </w:tcPr>
          <w:p w14:paraId="01ED2B08" w14:textId="77777777" w:rsidR="00DA702B" w:rsidRPr="00DA702B" w:rsidRDefault="00DA702B" w:rsidP="00DA702B"/>
        </w:tc>
        <w:tc>
          <w:tcPr>
            <w:tcW w:w="1201" w:type="dxa"/>
          </w:tcPr>
          <w:p w14:paraId="02988709" w14:textId="77777777" w:rsidR="00DA702B" w:rsidRPr="00DA702B" w:rsidRDefault="00DA702B" w:rsidP="00DA702B"/>
        </w:tc>
      </w:tr>
      <w:tr w:rsidR="00DA702B" w:rsidRPr="00DA702B" w14:paraId="03A83250" w14:textId="77777777" w:rsidTr="00247007">
        <w:trPr>
          <w:cantSplit/>
          <w:tblHeader/>
        </w:trPr>
        <w:tc>
          <w:tcPr>
            <w:tcW w:w="1199" w:type="dxa"/>
          </w:tcPr>
          <w:p w14:paraId="6239D169" w14:textId="77777777" w:rsidR="00DA702B" w:rsidRPr="00DA702B" w:rsidRDefault="00DA702B" w:rsidP="00DA702B"/>
        </w:tc>
        <w:tc>
          <w:tcPr>
            <w:tcW w:w="1199" w:type="dxa"/>
          </w:tcPr>
          <w:p w14:paraId="5F239544" w14:textId="77777777" w:rsidR="00DA702B" w:rsidRPr="00DA702B" w:rsidRDefault="00DA702B" w:rsidP="00DA702B"/>
        </w:tc>
        <w:tc>
          <w:tcPr>
            <w:tcW w:w="1359" w:type="dxa"/>
          </w:tcPr>
          <w:p w14:paraId="73222FA9" w14:textId="77777777" w:rsidR="00DA702B" w:rsidRPr="00DA702B" w:rsidRDefault="00DA702B" w:rsidP="00DA702B"/>
        </w:tc>
        <w:tc>
          <w:tcPr>
            <w:tcW w:w="1041" w:type="dxa"/>
          </w:tcPr>
          <w:p w14:paraId="018B5E0F" w14:textId="77777777" w:rsidR="00DA702B" w:rsidRPr="00DA702B" w:rsidRDefault="00DA702B" w:rsidP="00DA702B"/>
        </w:tc>
        <w:tc>
          <w:tcPr>
            <w:tcW w:w="1200" w:type="dxa"/>
          </w:tcPr>
          <w:p w14:paraId="5AA41C12" w14:textId="77777777" w:rsidR="00DA702B" w:rsidRPr="00DA702B" w:rsidRDefault="00DA702B" w:rsidP="00DA702B"/>
        </w:tc>
        <w:tc>
          <w:tcPr>
            <w:tcW w:w="1200" w:type="dxa"/>
          </w:tcPr>
          <w:p w14:paraId="64D5C856" w14:textId="77777777" w:rsidR="00DA702B" w:rsidRPr="00DA702B" w:rsidRDefault="00DA702B" w:rsidP="00DA702B"/>
        </w:tc>
        <w:tc>
          <w:tcPr>
            <w:tcW w:w="1200" w:type="dxa"/>
          </w:tcPr>
          <w:p w14:paraId="787382D3" w14:textId="77777777" w:rsidR="00DA702B" w:rsidRPr="00DA702B" w:rsidRDefault="00DA702B" w:rsidP="00DA702B"/>
        </w:tc>
        <w:tc>
          <w:tcPr>
            <w:tcW w:w="1200" w:type="dxa"/>
          </w:tcPr>
          <w:p w14:paraId="026ED4F6" w14:textId="77777777" w:rsidR="00DA702B" w:rsidRPr="00DA702B" w:rsidRDefault="00DA702B" w:rsidP="00DA702B"/>
        </w:tc>
        <w:tc>
          <w:tcPr>
            <w:tcW w:w="1200" w:type="dxa"/>
          </w:tcPr>
          <w:p w14:paraId="70ECA207" w14:textId="77777777" w:rsidR="00DA702B" w:rsidRPr="00DA702B" w:rsidRDefault="00DA702B" w:rsidP="00DA702B"/>
        </w:tc>
        <w:tc>
          <w:tcPr>
            <w:tcW w:w="1200" w:type="dxa"/>
          </w:tcPr>
          <w:p w14:paraId="4110DD62" w14:textId="77777777" w:rsidR="00DA702B" w:rsidRPr="00DA702B" w:rsidRDefault="00DA702B" w:rsidP="00DA702B"/>
        </w:tc>
        <w:tc>
          <w:tcPr>
            <w:tcW w:w="1201" w:type="dxa"/>
          </w:tcPr>
          <w:p w14:paraId="3F09C64D" w14:textId="77777777" w:rsidR="00DA702B" w:rsidRPr="00DA702B" w:rsidRDefault="00DA702B" w:rsidP="00DA702B"/>
        </w:tc>
        <w:tc>
          <w:tcPr>
            <w:tcW w:w="1201" w:type="dxa"/>
          </w:tcPr>
          <w:p w14:paraId="75095FAC" w14:textId="77777777" w:rsidR="00DA702B" w:rsidRPr="00DA702B" w:rsidRDefault="00DA702B" w:rsidP="00DA702B"/>
        </w:tc>
      </w:tr>
      <w:tr w:rsidR="00DA702B" w:rsidRPr="00DA702B" w14:paraId="2C265CD5" w14:textId="77777777" w:rsidTr="00247007">
        <w:trPr>
          <w:cantSplit/>
          <w:tblHeader/>
        </w:trPr>
        <w:tc>
          <w:tcPr>
            <w:tcW w:w="1199" w:type="dxa"/>
          </w:tcPr>
          <w:p w14:paraId="669EDF08" w14:textId="77777777" w:rsidR="00DA702B" w:rsidRPr="00DA702B" w:rsidRDefault="00DA702B" w:rsidP="00DA702B"/>
        </w:tc>
        <w:tc>
          <w:tcPr>
            <w:tcW w:w="1199" w:type="dxa"/>
          </w:tcPr>
          <w:p w14:paraId="77DF2A0B" w14:textId="77777777" w:rsidR="00DA702B" w:rsidRPr="00DA702B" w:rsidRDefault="00DA702B" w:rsidP="00DA702B"/>
        </w:tc>
        <w:tc>
          <w:tcPr>
            <w:tcW w:w="1359" w:type="dxa"/>
          </w:tcPr>
          <w:p w14:paraId="475CD6AA" w14:textId="77777777" w:rsidR="00DA702B" w:rsidRPr="00DA702B" w:rsidRDefault="00DA702B" w:rsidP="00DA702B"/>
        </w:tc>
        <w:tc>
          <w:tcPr>
            <w:tcW w:w="1041" w:type="dxa"/>
          </w:tcPr>
          <w:p w14:paraId="4FA41C89" w14:textId="77777777" w:rsidR="00DA702B" w:rsidRPr="00DA702B" w:rsidRDefault="00DA702B" w:rsidP="00DA702B"/>
        </w:tc>
        <w:tc>
          <w:tcPr>
            <w:tcW w:w="1200" w:type="dxa"/>
          </w:tcPr>
          <w:p w14:paraId="65E7995F" w14:textId="77777777" w:rsidR="00DA702B" w:rsidRPr="00DA702B" w:rsidRDefault="00DA702B" w:rsidP="00DA702B"/>
        </w:tc>
        <w:tc>
          <w:tcPr>
            <w:tcW w:w="1200" w:type="dxa"/>
          </w:tcPr>
          <w:p w14:paraId="00F3B70B" w14:textId="77777777" w:rsidR="00DA702B" w:rsidRPr="00DA702B" w:rsidRDefault="00DA702B" w:rsidP="00DA702B"/>
        </w:tc>
        <w:tc>
          <w:tcPr>
            <w:tcW w:w="1200" w:type="dxa"/>
          </w:tcPr>
          <w:p w14:paraId="20C1D932" w14:textId="77777777" w:rsidR="00DA702B" w:rsidRPr="00DA702B" w:rsidRDefault="00DA702B" w:rsidP="00DA702B"/>
        </w:tc>
        <w:tc>
          <w:tcPr>
            <w:tcW w:w="1200" w:type="dxa"/>
          </w:tcPr>
          <w:p w14:paraId="47B60F7B" w14:textId="77777777" w:rsidR="00DA702B" w:rsidRPr="00DA702B" w:rsidRDefault="00DA702B" w:rsidP="00DA702B"/>
        </w:tc>
        <w:tc>
          <w:tcPr>
            <w:tcW w:w="1200" w:type="dxa"/>
          </w:tcPr>
          <w:p w14:paraId="2E7CCF7E" w14:textId="77777777" w:rsidR="00DA702B" w:rsidRPr="00DA702B" w:rsidRDefault="00DA702B" w:rsidP="00DA702B"/>
        </w:tc>
        <w:tc>
          <w:tcPr>
            <w:tcW w:w="1200" w:type="dxa"/>
          </w:tcPr>
          <w:p w14:paraId="0530E2DA" w14:textId="77777777" w:rsidR="00DA702B" w:rsidRPr="00DA702B" w:rsidRDefault="00DA702B" w:rsidP="00DA702B"/>
        </w:tc>
        <w:tc>
          <w:tcPr>
            <w:tcW w:w="1201" w:type="dxa"/>
          </w:tcPr>
          <w:p w14:paraId="3F7B8303" w14:textId="77777777" w:rsidR="00DA702B" w:rsidRPr="00DA702B" w:rsidRDefault="00DA702B" w:rsidP="00DA702B"/>
        </w:tc>
        <w:tc>
          <w:tcPr>
            <w:tcW w:w="1201" w:type="dxa"/>
          </w:tcPr>
          <w:p w14:paraId="005DDE50" w14:textId="77777777" w:rsidR="00DA702B" w:rsidRPr="00DA702B" w:rsidRDefault="00DA702B" w:rsidP="00DA702B"/>
        </w:tc>
      </w:tr>
    </w:tbl>
    <w:p w14:paraId="56C432F1" w14:textId="7181F981" w:rsidR="00A86140" w:rsidRDefault="00A86140" w:rsidP="00DA702B">
      <w:r>
        <w:br w:type="page"/>
      </w:r>
    </w:p>
    <w:p w14:paraId="0048915E" w14:textId="77777777" w:rsidR="00DA702B" w:rsidRPr="00DA702B" w:rsidRDefault="00DA702B" w:rsidP="00014A7B">
      <w:pPr>
        <w:widowControl w:val="0"/>
        <w:jc w:val="center"/>
        <w:rPr>
          <w:rFonts w:eastAsiaTheme="majorEastAsia"/>
          <w:b/>
          <w:bCs/>
        </w:rPr>
      </w:pPr>
      <w:r w:rsidRPr="00DA702B">
        <w:rPr>
          <w:rFonts w:eastAsiaTheme="majorEastAsia"/>
          <w:b/>
          <w:bCs/>
        </w:rPr>
        <w:lastRenderedPageBreak/>
        <w:t>Boiler/Steam Generator/Steam Generating Unit Attributes</w:t>
      </w:r>
    </w:p>
    <w:p w14:paraId="7AFD85D5" w14:textId="77777777" w:rsidR="00DA702B" w:rsidRPr="00DA702B" w:rsidRDefault="00DA702B" w:rsidP="00014A7B">
      <w:pPr>
        <w:widowControl w:val="0"/>
        <w:jc w:val="center"/>
        <w:rPr>
          <w:rFonts w:eastAsiaTheme="majorEastAsia"/>
          <w:b/>
          <w:bCs/>
        </w:rPr>
      </w:pPr>
      <w:r w:rsidRPr="00DA702B">
        <w:rPr>
          <w:rFonts w:eastAsiaTheme="majorEastAsia"/>
          <w:b/>
          <w:bCs/>
        </w:rPr>
        <w:t>Form OP-UA6 (Page 2)</w:t>
      </w:r>
    </w:p>
    <w:p w14:paraId="6B042F8B" w14:textId="77777777" w:rsidR="00DA702B" w:rsidRPr="00DA702B" w:rsidRDefault="00DA702B" w:rsidP="00014A7B">
      <w:pPr>
        <w:widowControl w:val="0"/>
        <w:jc w:val="center"/>
        <w:rPr>
          <w:rFonts w:eastAsiaTheme="majorEastAsia"/>
          <w:b/>
          <w:bCs/>
        </w:rPr>
      </w:pPr>
      <w:r w:rsidRPr="00DA702B">
        <w:rPr>
          <w:rFonts w:eastAsiaTheme="majorEastAsia"/>
          <w:b/>
          <w:bCs/>
        </w:rPr>
        <w:t>Federal Operating Permit Program</w:t>
      </w:r>
    </w:p>
    <w:p w14:paraId="1AA0D6C4" w14:textId="77777777" w:rsidR="00DA702B" w:rsidRPr="00DA702B" w:rsidRDefault="00DA702B" w:rsidP="00014A7B">
      <w:pPr>
        <w:contextualSpacing/>
        <w:jc w:val="center"/>
        <w:outlineLvl w:val="0"/>
        <w:rPr>
          <w:b/>
          <w:bCs/>
        </w:rPr>
      </w:pPr>
      <w:bookmarkStart w:id="164" w:name="TBL_1b"/>
      <w:r w:rsidRPr="00DA702B">
        <w:rPr>
          <w:b/>
          <w:bCs/>
        </w:rPr>
        <w:t>Table 1b</w:t>
      </w:r>
      <w:bookmarkEnd w:id="164"/>
      <w:r w:rsidRPr="00DA702B">
        <w:rPr>
          <w:b/>
          <w:bCs/>
        </w:rPr>
        <w:t>:  Title 40 Code of Federal Regulations Part 60 (40 CFR Part 60)</w:t>
      </w:r>
    </w:p>
    <w:p w14:paraId="275BED01" w14:textId="77777777" w:rsidR="00DA702B" w:rsidRPr="00DA702B" w:rsidRDefault="00DA702B" w:rsidP="00014A7B">
      <w:pPr>
        <w:contextualSpacing/>
        <w:jc w:val="center"/>
        <w:outlineLvl w:val="0"/>
        <w:rPr>
          <w:b/>
          <w:bCs/>
        </w:rPr>
      </w:pPr>
      <w:r w:rsidRPr="00DA702B">
        <w:rPr>
          <w:b/>
          <w:bCs/>
        </w:rPr>
        <w:t>Subpart D: Standards of Performance for Fossil Fuel-Fired Steam Generators</w:t>
      </w:r>
    </w:p>
    <w:p w14:paraId="0CA00400" w14:textId="77777777" w:rsidR="00DA702B" w:rsidRPr="00DA702B" w:rsidRDefault="00DA702B" w:rsidP="00014A7B">
      <w:pPr>
        <w:contextualSpacing/>
        <w:jc w:val="center"/>
        <w:outlineLvl w:val="0"/>
        <w:rPr>
          <w:b/>
          <w:bCs/>
        </w:rPr>
      </w:pPr>
      <w:r w:rsidRPr="00DA702B">
        <w:rPr>
          <w:b/>
          <w:bCs/>
        </w:rPr>
        <w:t>Texas Commission on Environmental Quality</w:t>
      </w:r>
    </w:p>
    <w:p w14:paraId="71C63629"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b:  Title 40 Code of Federal Regulations Part 60 (40 CFR Part 60)&#10;Subpart D: Standards of Performance for Fossil Fuel-Fired Steam Generators&#10;"/>
      </w:tblPr>
      <w:tblGrid>
        <w:gridCol w:w="4800"/>
        <w:gridCol w:w="4800"/>
        <w:gridCol w:w="4800"/>
      </w:tblGrid>
      <w:tr w:rsidR="00DA702B" w:rsidRPr="00DA702B" w14:paraId="48EE5767" w14:textId="77777777" w:rsidTr="00247007">
        <w:trPr>
          <w:cantSplit/>
          <w:tblHeader/>
        </w:trPr>
        <w:tc>
          <w:tcPr>
            <w:tcW w:w="4800" w:type="dxa"/>
            <w:shd w:val="clear" w:color="auto" w:fill="D9D9D9" w:themeFill="background1" w:themeFillShade="D9"/>
          </w:tcPr>
          <w:p w14:paraId="5C18ABA5"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397DB062"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25E47878"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49AED8B4" w14:textId="77777777" w:rsidTr="00247007">
        <w:trPr>
          <w:cantSplit/>
          <w:tblHeader/>
        </w:trPr>
        <w:tc>
          <w:tcPr>
            <w:tcW w:w="4800" w:type="dxa"/>
          </w:tcPr>
          <w:p w14:paraId="7A9BF304" w14:textId="77777777" w:rsidR="00DA702B" w:rsidRPr="00DA702B" w:rsidRDefault="00DA702B" w:rsidP="00DA702B">
            <w:pPr>
              <w:rPr>
                <w:rFonts w:asciiTheme="majorHAnsi" w:hAnsiTheme="majorHAnsi" w:cstheme="majorHAnsi"/>
              </w:rPr>
            </w:pPr>
          </w:p>
        </w:tc>
        <w:tc>
          <w:tcPr>
            <w:tcW w:w="4800" w:type="dxa"/>
          </w:tcPr>
          <w:p w14:paraId="4BC6D02C" w14:textId="77777777" w:rsidR="00DA702B" w:rsidRPr="00DA702B" w:rsidRDefault="00DA702B" w:rsidP="00DA702B">
            <w:pPr>
              <w:rPr>
                <w:rFonts w:asciiTheme="majorHAnsi" w:hAnsiTheme="majorHAnsi" w:cstheme="majorHAnsi"/>
              </w:rPr>
            </w:pPr>
          </w:p>
        </w:tc>
        <w:tc>
          <w:tcPr>
            <w:tcW w:w="4800" w:type="dxa"/>
          </w:tcPr>
          <w:p w14:paraId="252CFB3B" w14:textId="77777777" w:rsidR="00DA702B" w:rsidRPr="00DA702B" w:rsidRDefault="00DA702B" w:rsidP="00DA702B">
            <w:pPr>
              <w:rPr>
                <w:rFonts w:asciiTheme="majorHAnsi" w:hAnsiTheme="majorHAnsi" w:cstheme="majorHAnsi"/>
              </w:rPr>
            </w:pPr>
          </w:p>
        </w:tc>
      </w:tr>
    </w:tbl>
    <w:p w14:paraId="53BC5C2A"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b:  Title 40 Code of Federal Regulations Part 60 (40 CFR Part 60)&#10;Subpart D: Standards of Performance for Fossil Fuel-Fired Steam Generators&#10;"/>
      </w:tblPr>
      <w:tblGrid>
        <w:gridCol w:w="1308"/>
        <w:gridCol w:w="1309"/>
        <w:gridCol w:w="1309"/>
        <w:gridCol w:w="1309"/>
        <w:gridCol w:w="1309"/>
        <w:gridCol w:w="1309"/>
        <w:gridCol w:w="1124"/>
        <w:gridCol w:w="1494"/>
        <w:gridCol w:w="1309"/>
        <w:gridCol w:w="1310"/>
        <w:gridCol w:w="1310"/>
      </w:tblGrid>
      <w:tr w:rsidR="00DA702B" w:rsidRPr="00DA702B" w14:paraId="068CBE8C" w14:textId="77777777" w:rsidTr="00247007">
        <w:trPr>
          <w:cantSplit/>
          <w:tblHeader/>
        </w:trPr>
        <w:tc>
          <w:tcPr>
            <w:tcW w:w="1308" w:type="dxa"/>
            <w:shd w:val="clear" w:color="auto" w:fill="D9D9D9" w:themeFill="background1" w:themeFillShade="D9"/>
            <w:vAlign w:val="bottom"/>
          </w:tcPr>
          <w:p w14:paraId="7C288AE0" w14:textId="77777777" w:rsidR="00DA702B" w:rsidRPr="00DA702B" w:rsidRDefault="00DA702B" w:rsidP="00DA702B">
            <w:pPr>
              <w:jc w:val="center"/>
            </w:pPr>
            <w:r w:rsidRPr="00DA702B">
              <w:rPr>
                <w:b/>
                <w:sz w:val="20"/>
                <w:szCs w:val="20"/>
              </w:rPr>
              <w:t>Unit ID No.</w:t>
            </w:r>
          </w:p>
        </w:tc>
        <w:tc>
          <w:tcPr>
            <w:tcW w:w="1309" w:type="dxa"/>
            <w:shd w:val="clear" w:color="auto" w:fill="D9D9D9" w:themeFill="background1" w:themeFillShade="D9"/>
            <w:vAlign w:val="bottom"/>
          </w:tcPr>
          <w:p w14:paraId="3A64A87D" w14:textId="77777777" w:rsidR="00DA702B" w:rsidRPr="00DA702B" w:rsidRDefault="00DA702B" w:rsidP="00DA702B">
            <w:pPr>
              <w:jc w:val="center"/>
              <w:rPr>
                <w:b/>
                <w:sz w:val="20"/>
                <w:szCs w:val="20"/>
              </w:rPr>
            </w:pPr>
            <w:r w:rsidRPr="00DA702B">
              <w:rPr>
                <w:b/>
                <w:sz w:val="20"/>
                <w:szCs w:val="20"/>
              </w:rPr>
              <w:t>SOP</w:t>
            </w:r>
          </w:p>
          <w:p w14:paraId="42A099A7" w14:textId="77777777" w:rsidR="00DA702B" w:rsidRPr="00DA702B" w:rsidRDefault="00DA702B" w:rsidP="00DA702B">
            <w:pPr>
              <w:jc w:val="center"/>
            </w:pPr>
            <w:r w:rsidRPr="00DA702B">
              <w:rPr>
                <w:b/>
                <w:sz w:val="20"/>
                <w:szCs w:val="20"/>
              </w:rPr>
              <w:t>Index No.</w:t>
            </w:r>
          </w:p>
        </w:tc>
        <w:tc>
          <w:tcPr>
            <w:tcW w:w="1309" w:type="dxa"/>
            <w:shd w:val="clear" w:color="auto" w:fill="D9D9D9" w:themeFill="background1" w:themeFillShade="D9"/>
            <w:vAlign w:val="bottom"/>
          </w:tcPr>
          <w:p w14:paraId="26337822" w14:textId="77777777" w:rsidR="00DA702B" w:rsidRPr="00DA702B" w:rsidRDefault="00DA702B" w:rsidP="00DA702B">
            <w:pPr>
              <w:jc w:val="center"/>
              <w:rPr>
                <w:b/>
                <w:sz w:val="20"/>
                <w:szCs w:val="20"/>
              </w:rPr>
            </w:pPr>
            <w:r w:rsidRPr="00DA702B">
              <w:rPr>
                <w:b/>
                <w:sz w:val="20"/>
                <w:szCs w:val="20"/>
              </w:rPr>
              <w:t>D-Series</w:t>
            </w:r>
          </w:p>
          <w:p w14:paraId="1F946960" w14:textId="77777777" w:rsidR="00DA702B" w:rsidRPr="00DA702B" w:rsidRDefault="00DA702B" w:rsidP="00DA702B">
            <w:pPr>
              <w:jc w:val="center"/>
            </w:pPr>
            <w:r w:rsidRPr="00DA702B">
              <w:rPr>
                <w:b/>
                <w:sz w:val="20"/>
                <w:szCs w:val="20"/>
              </w:rPr>
              <w:t>Fuel Type</w:t>
            </w:r>
          </w:p>
        </w:tc>
        <w:tc>
          <w:tcPr>
            <w:tcW w:w="1309" w:type="dxa"/>
            <w:shd w:val="clear" w:color="auto" w:fill="D9D9D9" w:themeFill="background1" w:themeFillShade="D9"/>
            <w:vAlign w:val="bottom"/>
          </w:tcPr>
          <w:p w14:paraId="1B9B441F" w14:textId="77777777" w:rsidR="00DA702B" w:rsidRPr="00DA702B" w:rsidRDefault="00DA702B" w:rsidP="00DA702B">
            <w:pPr>
              <w:jc w:val="center"/>
              <w:rPr>
                <w:b/>
                <w:sz w:val="20"/>
                <w:szCs w:val="20"/>
              </w:rPr>
            </w:pPr>
            <w:r w:rsidRPr="00DA702B">
              <w:rPr>
                <w:b/>
                <w:sz w:val="20"/>
                <w:szCs w:val="20"/>
              </w:rPr>
              <w:t>D-Series</w:t>
            </w:r>
          </w:p>
          <w:p w14:paraId="2E910E3D" w14:textId="77777777" w:rsidR="00DA702B" w:rsidRPr="00DA702B" w:rsidRDefault="00DA702B" w:rsidP="00DA702B">
            <w:pPr>
              <w:jc w:val="center"/>
            </w:pPr>
            <w:r w:rsidRPr="00DA702B">
              <w:rPr>
                <w:b/>
                <w:sz w:val="20"/>
                <w:szCs w:val="20"/>
              </w:rPr>
              <w:t>Fuel Type</w:t>
            </w:r>
          </w:p>
        </w:tc>
        <w:tc>
          <w:tcPr>
            <w:tcW w:w="1309" w:type="dxa"/>
            <w:shd w:val="clear" w:color="auto" w:fill="D9D9D9" w:themeFill="background1" w:themeFillShade="D9"/>
            <w:vAlign w:val="bottom"/>
          </w:tcPr>
          <w:p w14:paraId="0DDBFDC0" w14:textId="77777777" w:rsidR="00DA702B" w:rsidRPr="00DA702B" w:rsidRDefault="00DA702B" w:rsidP="00DA702B">
            <w:pPr>
              <w:jc w:val="center"/>
              <w:rPr>
                <w:b/>
                <w:sz w:val="20"/>
                <w:szCs w:val="20"/>
              </w:rPr>
            </w:pPr>
            <w:r w:rsidRPr="00DA702B">
              <w:rPr>
                <w:b/>
                <w:sz w:val="20"/>
                <w:szCs w:val="20"/>
              </w:rPr>
              <w:t>D-Series</w:t>
            </w:r>
          </w:p>
          <w:p w14:paraId="4BA25C15" w14:textId="77777777" w:rsidR="00DA702B" w:rsidRPr="00DA702B" w:rsidRDefault="00DA702B" w:rsidP="00DA702B">
            <w:pPr>
              <w:jc w:val="center"/>
            </w:pPr>
            <w:r w:rsidRPr="00DA702B">
              <w:rPr>
                <w:b/>
                <w:sz w:val="20"/>
                <w:szCs w:val="20"/>
              </w:rPr>
              <w:t>Fuel Type</w:t>
            </w:r>
          </w:p>
        </w:tc>
        <w:tc>
          <w:tcPr>
            <w:tcW w:w="1309" w:type="dxa"/>
            <w:shd w:val="clear" w:color="auto" w:fill="D9D9D9" w:themeFill="background1" w:themeFillShade="D9"/>
            <w:vAlign w:val="bottom"/>
          </w:tcPr>
          <w:p w14:paraId="2EB36759" w14:textId="77777777" w:rsidR="00DA702B" w:rsidRPr="00DA702B" w:rsidRDefault="00DA702B" w:rsidP="00DA702B">
            <w:pPr>
              <w:jc w:val="center"/>
            </w:pPr>
            <w:r w:rsidRPr="00DA702B">
              <w:rPr>
                <w:b/>
                <w:sz w:val="20"/>
                <w:szCs w:val="20"/>
              </w:rPr>
              <w:t>Alternate 43D</w:t>
            </w:r>
          </w:p>
        </w:tc>
        <w:tc>
          <w:tcPr>
            <w:tcW w:w="1124" w:type="dxa"/>
            <w:shd w:val="clear" w:color="auto" w:fill="D9D9D9" w:themeFill="background1" w:themeFillShade="D9"/>
            <w:vAlign w:val="bottom"/>
          </w:tcPr>
          <w:p w14:paraId="33909361" w14:textId="77777777" w:rsidR="00DA702B" w:rsidRPr="00DA702B" w:rsidRDefault="00DA702B" w:rsidP="00DA702B">
            <w:pPr>
              <w:jc w:val="center"/>
            </w:pPr>
            <w:r w:rsidRPr="00DA702B">
              <w:rPr>
                <w:b/>
                <w:sz w:val="20"/>
                <w:szCs w:val="20"/>
              </w:rPr>
              <w:t>Alternate 44F</w:t>
            </w:r>
          </w:p>
        </w:tc>
        <w:tc>
          <w:tcPr>
            <w:tcW w:w="1494" w:type="dxa"/>
            <w:shd w:val="clear" w:color="auto" w:fill="D9D9D9" w:themeFill="background1" w:themeFillShade="D9"/>
            <w:vAlign w:val="bottom"/>
          </w:tcPr>
          <w:p w14:paraId="4C72C61B" w14:textId="77777777" w:rsidR="00DA702B" w:rsidRPr="00DA702B" w:rsidRDefault="00DA702B" w:rsidP="00DA702B">
            <w:pPr>
              <w:jc w:val="center"/>
            </w:pPr>
            <w:r w:rsidRPr="00DA702B">
              <w:rPr>
                <w:b/>
                <w:sz w:val="20"/>
                <w:szCs w:val="20"/>
              </w:rPr>
              <w:t>Flue Gas Desulfurization</w:t>
            </w:r>
          </w:p>
        </w:tc>
        <w:tc>
          <w:tcPr>
            <w:tcW w:w="1309" w:type="dxa"/>
            <w:shd w:val="clear" w:color="auto" w:fill="D9D9D9" w:themeFill="background1" w:themeFillShade="D9"/>
            <w:vAlign w:val="bottom"/>
          </w:tcPr>
          <w:p w14:paraId="6A26D9CA" w14:textId="77777777" w:rsidR="00DA702B" w:rsidRPr="00DA702B" w:rsidRDefault="00DA702B" w:rsidP="00DA702B">
            <w:pPr>
              <w:jc w:val="center"/>
            </w:pPr>
            <w:r w:rsidRPr="00DA702B">
              <w:rPr>
                <w:b/>
                <w:sz w:val="20"/>
                <w:szCs w:val="20"/>
              </w:rPr>
              <w:t>SO</w:t>
            </w:r>
            <w:r w:rsidRPr="00DA702B">
              <w:rPr>
                <w:b/>
                <w:sz w:val="20"/>
                <w:szCs w:val="20"/>
                <w:vertAlign w:val="subscript"/>
              </w:rPr>
              <w:t>2</w:t>
            </w:r>
            <w:r w:rsidRPr="00DA702B">
              <w:rPr>
                <w:b/>
                <w:sz w:val="20"/>
                <w:szCs w:val="20"/>
              </w:rPr>
              <w:t xml:space="preserve"> Monitoring</w:t>
            </w:r>
          </w:p>
        </w:tc>
        <w:tc>
          <w:tcPr>
            <w:tcW w:w="1310" w:type="dxa"/>
            <w:shd w:val="clear" w:color="auto" w:fill="D9D9D9" w:themeFill="background1" w:themeFillShade="D9"/>
            <w:vAlign w:val="bottom"/>
          </w:tcPr>
          <w:p w14:paraId="6F7E0E5F" w14:textId="77777777" w:rsidR="00DA702B" w:rsidRPr="00DA702B" w:rsidRDefault="00DA702B" w:rsidP="00DA702B">
            <w:pPr>
              <w:jc w:val="center"/>
            </w:pPr>
            <w:r w:rsidRPr="00DA702B">
              <w:rPr>
                <w:b/>
                <w:sz w:val="20"/>
                <w:szCs w:val="20"/>
              </w:rPr>
              <w:t>Cyclone-Fired Unit</w:t>
            </w:r>
          </w:p>
        </w:tc>
        <w:tc>
          <w:tcPr>
            <w:tcW w:w="1310" w:type="dxa"/>
            <w:shd w:val="clear" w:color="auto" w:fill="D9D9D9" w:themeFill="background1" w:themeFillShade="D9"/>
            <w:vAlign w:val="bottom"/>
          </w:tcPr>
          <w:p w14:paraId="51FA333E" w14:textId="77777777" w:rsidR="00DA702B" w:rsidRPr="00DA702B" w:rsidRDefault="00DA702B" w:rsidP="00DA702B">
            <w:pPr>
              <w:jc w:val="center"/>
            </w:pPr>
            <w:r w:rsidRPr="00DA702B">
              <w:rPr>
                <w:b/>
                <w:sz w:val="20"/>
                <w:szCs w:val="20"/>
              </w:rPr>
              <w:t>NO</w:t>
            </w:r>
            <w:r w:rsidRPr="00DA702B">
              <w:rPr>
                <w:b/>
                <w:sz w:val="20"/>
                <w:szCs w:val="20"/>
                <w:vertAlign w:val="subscript"/>
              </w:rPr>
              <w:t>X</w:t>
            </w:r>
            <w:r w:rsidRPr="00DA702B">
              <w:rPr>
                <w:b/>
                <w:sz w:val="20"/>
                <w:szCs w:val="20"/>
              </w:rPr>
              <w:t xml:space="preserve"> Monitoring Type</w:t>
            </w:r>
          </w:p>
        </w:tc>
      </w:tr>
      <w:tr w:rsidR="00DA702B" w:rsidRPr="00DA702B" w14:paraId="41591183" w14:textId="77777777" w:rsidTr="00247007">
        <w:trPr>
          <w:cantSplit/>
          <w:trHeight w:val="346"/>
          <w:tblHeader/>
        </w:trPr>
        <w:tc>
          <w:tcPr>
            <w:tcW w:w="1308" w:type="dxa"/>
          </w:tcPr>
          <w:p w14:paraId="6076BF59" w14:textId="77777777" w:rsidR="00DA702B" w:rsidRPr="00DA702B" w:rsidRDefault="00DA702B" w:rsidP="00DA702B"/>
        </w:tc>
        <w:tc>
          <w:tcPr>
            <w:tcW w:w="1309" w:type="dxa"/>
          </w:tcPr>
          <w:p w14:paraId="4697A5E7" w14:textId="77777777" w:rsidR="00DA702B" w:rsidRPr="00DA702B" w:rsidRDefault="00DA702B" w:rsidP="00DA702B"/>
        </w:tc>
        <w:tc>
          <w:tcPr>
            <w:tcW w:w="1309" w:type="dxa"/>
          </w:tcPr>
          <w:p w14:paraId="42C47053" w14:textId="77777777" w:rsidR="00DA702B" w:rsidRPr="00DA702B" w:rsidRDefault="00DA702B" w:rsidP="00DA702B"/>
        </w:tc>
        <w:tc>
          <w:tcPr>
            <w:tcW w:w="1309" w:type="dxa"/>
          </w:tcPr>
          <w:p w14:paraId="0515FF17" w14:textId="77777777" w:rsidR="00DA702B" w:rsidRPr="00DA702B" w:rsidRDefault="00DA702B" w:rsidP="00DA702B"/>
        </w:tc>
        <w:tc>
          <w:tcPr>
            <w:tcW w:w="1309" w:type="dxa"/>
          </w:tcPr>
          <w:p w14:paraId="37E7CE27" w14:textId="77777777" w:rsidR="00DA702B" w:rsidRPr="00DA702B" w:rsidRDefault="00DA702B" w:rsidP="00DA702B"/>
        </w:tc>
        <w:tc>
          <w:tcPr>
            <w:tcW w:w="1309" w:type="dxa"/>
          </w:tcPr>
          <w:p w14:paraId="52DC7BDE" w14:textId="77777777" w:rsidR="00DA702B" w:rsidRPr="00DA702B" w:rsidRDefault="00DA702B" w:rsidP="00DA702B"/>
        </w:tc>
        <w:tc>
          <w:tcPr>
            <w:tcW w:w="1124" w:type="dxa"/>
          </w:tcPr>
          <w:p w14:paraId="6F88DB59" w14:textId="77777777" w:rsidR="00DA702B" w:rsidRPr="00DA702B" w:rsidRDefault="00DA702B" w:rsidP="00DA702B"/>
        </w:tc>
        <w:tc>
          <w:tcPr>
            <w:tcW w:w="1494" w:type="dxa"/>
          </w:tcPr>
          <w:p w14:paraId="7053CE27" w14:textId="77777777" w:rsidR="00DA702B" w:rsidRPr="00DA702B" w:rsidRDefault="00DA702B" w:rsidP="00DA702B"/>
        </w:tc>
        <w:tc>
          <w:tcPr>
            <w:tcW w:w="1309" w:type="dxa"/>
          </w:tcPr>
          <w:p w14:paraId="5A18B2DD" w14:textId="77777777" w:rsidR="00DA702B" w:rsidRPr="00DA702B" w:rsidRDefault="00DA702B" w:rsidP="00DA702B"/>
        </w:tc>
        <w:tc>
          <w:tcPr>
            <w:tcW w:w="1310" w:type="dxa"/>
          </w:tcPr>
          <w:p w14:paraId="0092BC81" w14:textId="77777777" w:rsidR="00DA702B" w:rsidRPr="00DA702B" w:rsidRDefault="00DA702B" w:rsidP="00DA702B"/>
        </w:tc>
        <w:tc>
          <w:tcPr>
            <w:tcW w:w="1310" w:type="dxa"/>
          </w:tcPr>
          <w:p w14:paraId="185649C7" w14:textId="77777777" w:rsidR="00DA702B" w:rsidRPr="00DA702B" w:rsidRDefault="00DA702B" w:rsidP="00DA702B"/>
        </w:tc>
      </w:tr>
      <w:tr w:rsidR="00DA702B" w:rsidRPr="00DA702B" w14:paraId="4D2695D6" w14:textId="77777777" w:rsidTr="00247007">
        <w:trPr>
          <w:cantSplit/>
          <w:trHeight w:val="346"/>
          <w:tblHeader/>
        </w:trPr>
        <w:tc>
          <w:tcPr>
            <w:tcW w:w="1308" w:type="dxa"/>
          </w:tcPr>
          <w:p w14:paraId="1101B91B" w14:textId="77777777" w:rsidR="00DA702B" w:rsidRPr="00DA702B" w:rsidRDefault="00DA702B" w:rsidP="00DA702B"/>
        </w:tc>
        <w:tc>
          <w:tcPr>
            <w:tcW w:w="1309" w:type="dxa"/>
          </w:tcPr>
          <w:p w14:paraId="0A26E8D3" w14:textId="77777777" w:rsidR="00DA702B" w:rsidRPr="00DA702B" w:rsidRDefault="00DA702B" w:rsidP="00DA702B"/>
        </w:tc>
        <w:tc>
          <w:tcPr>
            <w:tcW w:w="1309" w:type="dxa"/>
          </w:tcPr>
          <w:p w14:paraId="11BE99FB" w14:textId="77777777" w:rsidR="00DA702B" w:rsidRPr="00DA702B" w:rsidRDefault="00DA702B" w:rsidP="00DA702B"/>
        </w:tc>
        <w:tc>
          <w:tcPr>
            <w:tcW w:w="1309" w:type="dxa"/>
          </w:tcPr>
          <w:p w14:paraId="5825F5EB" w14:textId="77777777" w:rsidR="00DA702B" w:rsidRPr="00DA702B" w:rsidRDefault="00DA702B" w:rsidP="00DA702B"/>
        </w:tc>
        <w:tc>
          <w:tcPr>
            <w:tcW w:w="1309" w:type="dxa"/>
          </w:tcPr>
          <w:p w14:paraId="43581A01" w14:textId="77777777" w:rsidR="00DA702B" w:rsidRPr="00DA702B" w:rsidRDefault="00DA702B" w:rsidP="00DA702B"/>
        </w:tc>
        <w:tc>
          <w:tcPr>
            <w:tcW w:w="1309" w:type="dxa"/>
          </w:tcPr>
          <w:p w14:paraId="25EA65D7" w14:textId="77777777" w:rsidR="00DA702B" w:rsidRPr="00DA702B" w:rsidRDefault="00DA702B" w:rsidP="00DA702B"/>
        </w:tc>
        <w:tc>
          <w:tcPr>
            <w:tcW w:w="1124" w:type="dxa"/>
          </w:tcPr>
          <w:p w14:paraId="2C51BBE7" w14:textId="77777777" w:rsidR="00DA702B" w:rsidRPr="00DA702B" w:rsidRDefault="00DA702B" w:rsidP="00DA702B"/>
        </w:tc>
        <w:tc>
          <w:tcPr>
            <w:tcW w:w="1494" w:type="dxa"/>
          </w:tcPr>
          <w:p w14:paraId="56A25BBE" w14:textId="77777777" w:rsidR="00DA702B" w:rsidRPr="00DA702B" w:rsidRDefault="00DA702B" w:rsidP="00DA702B"/>
        </w:tc>
        <w:tc>
          <w:tcPr>
            <w:tcW w:w="1309" w:type="dxa"/>
          </w:tcPr>
          <w:p w14:paraId="2DA66529" w14:textId="77777777" w:rsidR="00DA702B" w:rsidRPr="00DA702B" w:rsidRDefault="00DA702B" w:rsidP="00DA702B"/>
        </w:tc>
        <w:tc>
          <w:tcPr>
            <w:tcW w:w="1310" w:type="dxa"/>
          </w:tcPr>
          <w:p w14:paraId="6383A744" w14:textId="77777777" w:rsidR="00DA702B" w:rsidRPr="00DA702B" w:rsidRDefault="00DA702B" w:rsidP="00DA702B"/>
        </w:tc>
        <w:tc>
          <w:tcPr>
            <w:tcW w:w="1310" w:type="dxa"/>
          </w:tcPr>
          <w:p w14:paraId="4CB4BF95" w14:textId="77777777" w:rsidR="00DA702B" w:rsidRPr="00DA702B" w:rsidRDefault="00DA702B" w:rsidP="00DA702B"/>
        </w:tc>
      </w:tr>
      <w:tr w:rsidR="00DA702B" w:rsidRPr="00DA702B" w14:paraId="39907A39" w14:textId="77777777" w:rsidTr="00247007">
        <w:trPr>
          <w:cantSplit/>
          <w:trHeight w:val="346"/>
          <w:tblHeader/>
        </w:trPr>
        <w:tc>
          <w:tcPr>
            <w:tcW w:w="1308" w:type="dxa"/>
          </w:tcPr>
          <w:p w14:paraId="5C4F235C" w14:textId="77777777" w:rsidR="00DA702B" w:rsidRPr="00DA702B" w:rsidRDefault="00DA702B" w:rsidP="00DA702B"/>
        </w:tc>
        <w:tc>
          <w:tcPr>
            <w:tcW w:w="1309" w:type="dxa"/>
          </w:tcPr>
          <w:p w14:paraId="630C5A7C" w14:textId="77777777" w:rsidR="00DA702B" w:rsidRPr="00DA702B" w:rsidRDefault="00DA702B" w:rsidP="00DA702B"/>
        </w:tc>
        <w:tc>
          <w:tcPr>
            <w:tcW w:w="1309" w:type="dxa"/>
          </w:tcPr>
          <w:p w14:paraId="6BF82D9F" w14:textId="77777777" w:rsidR="00DA702B" w:rsidRPr="00DA702B" w:rsidRDefault="00DA702B" w:rsidP="00DA702B"/>
        </w:tc>
        <w:tc>
          <w:tcPr>
            <w:tcW w:w="1309" w:type="dxa"/>
          </w:tcPr>
          <w:p w14:paraId="2AFB2027" w14:textId="77777777" w:rsidR="00DA702B" w:rsidRPr="00DA702B" w:rsidRDefault="00DA702B" w:rsidP="00DA702B"/>
        </w:tc>
        <w:tc>
          <w:tcPr>
            <w:tcW w:w="1309" w:type="dxa"/>
          </w:tcPr>
          <w:p w14:paraId="7F0D4783" w14:textId="77777777" w:rsidR="00DA702B" w:rsidRPr="00DA702B" w:rsidRDefault="00DA702B" w:rsidP="00DA702B"/>
        </w:tc>
        <w:tc>
          <w:tcPr>
            <w:tcW w:w="1309" w:type="dxa"/>
          </w:tcPr>
          <w:p w14:paraId="3B7D7A81" w14:textId="77777777" w:rsidR="00DA702B" w:rsidRPr="00DA702B" w:rsidRDefault="00DA702B" w:rsidP="00DA702B"/>
        </w:tc>
        <w:tc>
          <w:tcPr>
            <w:tcW w:w="1124" w:type="dxa"/>
          </w:tcPr>
          <w:p w14:paraId="57D181E6" w14:textId="77777777" w:rsidR="00DA702B" w:rsidRPr="00DA702B" w:rsidRDefault="00DA702B" w:rsidP="00DA702B"/>
        </w:tc>
        <w:tc>
          <w:tcPr>
            <w:tcW w:w="1494" w:type="dxa"/>
          </w:tcPr>
          <w:p w14:paraId="1B7148FF" w14:textId="77777777" w:rsidR="00DA702B" w:rsidRPr="00DA702B" w:rsidRDefault="00DA702B" w:rsidP="00DA702B"/>
        </w:tc>
        <w:tc>
          <w:tcPr>
            <w:tcW w:w="1309" w:type="dxa"/>
          </w:tcPr>
          <w:p w14:paraId="640A1C73" w14:textId="77777777" w:rsidR="00DA702B" w:rsidRPr="00DA702B" w:rsidRDefault="00DA702B" w:rsidP="00DA702B"/>
        </w:tc>
        <w:tc>
          <w:tcPr>
            <w:tcW w:w="1310" w:type="dxa"/>
          </w:tcPr>
          <w:p w14:paraId="72F2625B" w14:textId="77777777" w:rsidR="00DA702B" w:rsidRPr="00DA702B" w:rsidRDefault="00DA702B" w:rsidP="00DA702B"/>
        </w:tc>
        <w:tc>
          <w:tcPr>
            <w:tcW w:w="1310" w:type="dxa"/>
          </w:tcPr>
          <w:p w14:paraId="57B4438E" w14:textId="77777777" w:rsidR="00DA702B" w:rsidRPr="00DA702B" w:rsidRDefault="00DA702B" w:rsidP="00DA702B"/>
        </w:tc>
      </w:tr>
      <w:tr w:rsidR="00DA702B" w:rsidRPr="00DA702B" w14:paraId="0F4467AC" w14:textId="77777777" w:rsidTr="00247007">
        <w:trPr>
          <w:cantSplit/>
          <w:trHeight w:val="346"/>
          <w:tblHeader/>
        </w:trPr>
        <w:tc>
          <w:tcPr>
            <w:tcW w:w="1308" w:type="dxa"/>
          </w:tcPr>
          <w:p w14:paraId="76ADBC2A" w14:textId="77777777" w:rsidR="00DA702B" w:rsidRPr="00DA702B" w:rsidRDefault="00DA702B" w:rsidP="00DA702B"/>
        </w:tc>
        <w:tc>
          <w:tcPr>
            <w:tcW w:w="1309" w:type="dxa"/>
          </w:tcPr>
          <w:p w14:paraId="021880D6" w14:textId="77777777" w:rsidR="00DA702B" w:rsidRPr="00DA702B" w:rsidRDefault="00DA702B" w:rsidP="00DA702B"/>
        </w:tc>
        <w:tc>
          <w:tcPr>
            <w:tcW w:w="1309" w:type="dxa"/>
          </w:tcPr>
          <w:p w14:paraId="011342AD" w14:textId="77777777" w:rsidR="00DA702B" w:rsidRPr="00DA702B" w:rsidRDefault="00DA702B" w:rsidP="00DA702B"/>
        </w:tc>
        <w:tc>
          <w:tcPr>
            <w:tcW w:w="1309" w:type="dxa"/>
          </w:tcPr>
          <w:p w14:paraId="5AF18B6A" w14:textId="77777777" w:rsidR="00DA702B" w:rsidRPr="00DA702B" w:rsidRDefault="00DA702B" w:rsidP="00DA702B"/>
        </w:tc>
        <w:tc>
          <w:tcPr>
            <w:tcW w:w="1309" w:type="dxa"/>
          </w:tcPr>
          <w:p w14:paraId="7F7E448E" w14:textId="77777777" w:rsidR="00DA702B" w:rsidRPr="00DA702B" w:rsidRDefault="00DA702B" w:rsidP="00DA702B"/>
        </w:tc>
        <w:tc>
          <w:tcPr>
            <w:tcW w:w="1309" w:type="dxa"/>
          </w:tcPr>
          <w:p w14:paraId="2A18EDA1" w14:textId="77777777" w:rsidR="00DA702B" w:rsidRPr="00DA702B" w:rsidRDefault="00DA702B" w:rsidP="00DA702B"/>
        </w:tc>
        <w:tc>
          <w:tcPr>
            <w:tcW w:w="1124" w:type="dxa"/>
          </w:tcPr>
          <w:p w14:paraId="1960FEA6" w14:textId="77777777" w:rsidR="00DA702B" w:rsidRPr="00DA702B" w:rsidRDefault="00DA702B" w:rsidP="00DA702B"/>
        </w:tc>
        <w:tc>
          <w:tcPr>
            <w:tcW w:w="1494" w:type="dxa"/>
          </w:tcPr>
          <w:p w14:paraId="3915F2E2" w14:textId="77777777" w:rsidR="00DA702B" w:rsidRPr="00DA702B" w:rsidRDefault="00DA702B" w:rsidP="00DA702B"/>
        </w:tc>
        <w:tc>
          <w:tcPr>
            <w:tcW w:w="1309" w:type="dxa"/>
          </w:tcPr>
          <w:p w14:paraId="1A139402" w14:textId="77777777" w:rsidR="00DA702B" w:rsidRPr="00DA702B" w:rsidRDefault="00DA702B" w:rsidP="00DA702B"/>
        </w:tc>
        <w:tc>
          <w:tcPr>
            <w:tcW w:w="1310" w:type="dxa"/>
          </w:tcPr>
          <w:p w14:paraId="7C21C446" w14:textId="77777777" w:rsidR="00DA702B" w:rsidRPr="00DA702B" w:rsidRDefault="00DA702B" w:rsidP="00DA702B"/>
        </w:tc>
        <w:tc>
          <w:tcPr>
            <w:tcW w:w="1310" w:type="dxa"/>
          </w:tcPr>
          <w:p w14:paraId="3673B06F" w14:textId="77777777" w:rsidR="00DA702B" w:rsidRPr="00DA702B" w:rsidRDefault="00DA702B" w:rsidP="00DA702B"/>
        </w:tc>
      </w:tr>
      <w:tr w:rsidR="00DA702B" w:rsidRPr="00DA702B" w14:paraId="3B5AD14A" w14:textId="77777777" w:rsidTr="00247007">
        <w:trPr>
          <w:cantSplit/>
          <w:trHeight w:val="346"/>
          <w:tblHeader/>
        </w:trPr>
        <w:tc>
          <w:tcPr>
            <w:tcW w:w="1308" w:type="dxa"/>
          </w:tcPr>
          <w:p w14:paraId="4E49E0B0" w14:textId="77777777" w:rsidR="00DA702B" w:rsidRPr="00DA702B" w:rsidRDefault="00DA702B" w:rsidP="00DA702B"/>
        </w:tc>
        <w:tc>
          <w:tcPr>
            <w:tcW w:w="1309" w:type="dxa"/>
          </w:tcPr>
          <w:p w14:paraId="033DAA6A" w14:textId="77777777" w:rsidR="00DA702B" w:rsidRPr="00DA702B" w:rsidRDefault="00DA702B" w:rsidP="00DA702B"/>
        </w:tc>
        <w:tc>
          <w:tcPr>
            <w:tcW w:w="1309" w:type="dxa"/>
          </w:tcPr>
          <w:p w14:paraId="6FBF5C40" w14:textId="77777777" w:rsidR="00DA702B" w:rsidRPr="00DA702B" w:rsidRDefault="00DA702B" w:rsidP="00DA702B"/>
        </w:tc>
        <w:tc>
          <w:tcPr>
            <w:tcW w:w="1309" w:type="dxa"/>
          </w:tcPr>
          <w:p w14:paraId="1B4308DA" w14:textId="77777777" w:rsidR="00DA702B" w:rsidRPr="00DA702B" w:rsidRDefault="00DA702B" w:rsidP="00DA702B"/>
        </w:tc>
        <w:tc>
          <w:tcPr>
            <w:tcW w:w="1309" w:type="dxa"/>
          </w:tcPr>
          <w:p w14:paraId="75B75880" w14:textId="77777777" w:rsidR="00DA702B" w:rsidRPr="00DA702B" w:rsidRDefault="00DA702B" w:rsidP="00DA702B"/>
        </w:tc>
        <w:tc>
          <w:tcPr>
            <w:tcW w:w="1309" w:type="dxa"/>
          </w:tcPr>
          <w:p w14:paraId="15CB2761" w14:textId="77777777" w:rsidR="00DA702B" w:rsidRPr="00DA702B" w:rsidRDefault="00DA702B" w:rsidP="00DA702B"/>
        </w:tc>
        <w:tc>
          <w:tcPr>
            <w:tcW w:w="1124" w:type="dxa"/>
          </w:tcPr>
          <w:p w14:paraId="2DB277E6" w14:textId="77777777" w:rsidR="00DA702B" w:rsidRPr="00DA702B" w:rsidRDefault="00DA702B" w:rsidP="00DA702B"/>
        </w:tc>
        <w:tc>
          <w:tcPr>
            <w:tcW w:w="1494" w:type="dxa"/>
          </w:tcPr>
          <w:p w14:paraId="32AE8D38" w14:textId="77777777" w:rsidR="00DA702B" w:rsidRPr="00DA702B" w:rsidRDefault="00DA702B" w:rsidP="00DA702B"/>
        </w:tc>
        <w:tc>
          <w:tcPr>
            <w:tcW w:w="1309" w:type="dxa"/>
          </w:tcPr>
          <w:p w14:paraId="6D6C6EF0" w14:textId="77777777" w:rsidR="00DA702B" w:rsidRPr="00DA702B" w:rsidRDefault="00DA702B" w:rsidP="00DA702B"/>
        </w:tc>
        <w:tc>
          <w:tcPr>
            <w:tcW w:w="1310" w:type="dxa"/>
          </w:tcPr>
          <w:p w14:paraId="73E8E5F8" w14:textId="77777777" w:rsidR="00DA702B" w:rsidRPr="00DA702B" w:rsidRDefault="00DA702B" w:rsidP="00DA702B"/>
        </w:tc>
        <w:tc>
          <w:tcPr>
            <w:tcW w:w="1310" w:type="dxa"/>
          </w:tcPr>
          <w:p w14:paraId="48CB53CE" w14:textId="77777777" w:rsidR="00DA702B" w:rsidRPr="00DA702B" w:rsidRDefault="00DA702B" w:rsidP="00DA702B"/>
        </w:tc>
      </w:tr>
      <w:tr w:rsidR="00DA702B" w:rsidRPr="00DA702B" w14:paraId="2DDA2BBD" w14:textId="77777777" w:rsidTr="00247007">
        <w:trPr>
          <w:cantSplit/>
          <w:trHeight w:val="346"/>
          <w:tblHeader/>
        </w:trPr>
        <w:tc>
          <w:tcPr>
            <w:tcW w:w="1308" w:type="dxa"/>
          </w:tcPr>
          <w:p w14:paraId="261BDA5A" w14:textId="77777777" w:rsidR="00DA702B" w:rsidRPr="00DA702B" w:rsidRDefault="00DA702B" w:rsidP="00DA702B"/>
        </w:tc>
        <w:tc>
          <w:tcPr>
            <w:tcW w:w="1309" w:type="dxa"/>
          </w:tcPr>
          <w:p w14:paraId="159479B4" w14:textId="77777777" w:rsidR="00DA702B" w:rsidRPr="00DA702B" w:rsidRDefault="00DA702B" w:rsidP="00DA702B"/>
        </w:tc>
        <w:tc>
          <w:tcPr>
            <w:tcW w:w="1309" w:type="dxa"/>
          </w:tcPr>
          <w:p w14:paraId="7C0D9B0B" w14:textId="77777777" w:rsidR="00DA702B" w:rsidRPr="00DA702B" w:rsidRDefault="00DA702B" w:rsidP="00DA702B"/>
        </w:tc>
        <w:tc>
          <w:tcPr>
            <w:tcW w:w="1309" w:type="dxa"/>
          </w:tcPr>
          <w:p w14:paraId="3101FF17" w14:textId="77777777" w:rsidR="00DA702B" w:rsidRPr="00DA702B" w:rsidRDefault="00DA702B" w:rsidP="00DA702B"/>
        </w:tc>
        <w:tc>
          <w:tcPr>
            <w:tcW w:w="1309" w:type="dxa"/>
          </w:tcPr>
          <w:p w14:paraId="34A3E634" w14:textId="77777777" w:rsidR="00DA702B" w:rsidRPr="00DA702B" w:rsidRDefault="00DA702B" w:rsidP="00DA702B"/>
        </w:tc>
        <w:tc>
          <w:tcPr>
            <w:tcW w:w="1309" w:type="dxa"/>
          </w:tcPr>
          <w:p w14:paraId="0EC3325C" w14:textId="77777777" w:rsidR="00DA702B" w:rsidRPr="00DA702B" w:rsidRDefault="00DA702B" w:rsidP="00DA702B"/>
        </w:tc>
        <w:tc>
          <w:tcPr>
            <w:tcW w:w="1124" w:type="dxa"/>
          </w:tcPr>
          <w:p w14:paraId="716FA240" w14:textId="77777777" w:rsidR="00DA702B" w:rsidRPr="00DA702B" w:rsidRDefault="00DA702B" w:rsidP="00DA702B"/>
        </w:tc>
        <w:tc>
          <w:tcPr>
            <w:tcW w:w="1494" w:type="dxa"/>
          </w:tcPr>
          <w:p w14:paraId="62B05F3E" w14:textId="77777777" w:rsidR="00DA702B" w:rsidRPr="00DA702B" w:rsidRDefault="00DA702B" w:rsidP="00DA702B"/>
        </w:tc>
        <w:tc>
          <w:tcPr>
            <w:tcW w:w="1309" w:type="dxa"/>
          </w:tcPr>
          <w:p w14:paraId="2342C03E" w14:textId="77777777" w:rsidR="00DA702B" w:rsidRPr="00DA702B" w:rsidRDefault="00DA702B" w:rsidP="00DA702B"/>
        </w:tc>
        <w:tc>
          <w:tcPr>
            <w:tcW w:w="1310" w:type="dxa"/>
          </w:tcPr>
          <w:p w14:paraId="52D5C185" w14:textId="77777777" w:rsidR="00DA702B" w:rsidRPr="00DA702B" w:rsidRDefault="00DA702B" w:rsidP="00DA702B"/>
        </w:tc>
        <w:tc>
          <w:tcPr>
            <w:tcW w:w="1310" w:type="dxa"/>
          </w:tcPr>
          <w:p w14:paraId="6D6DF197" w14:textId="77777777" w:rsidR="00DA702B" w:rsidRPr="00DA702B" w:rsidRDefault="00DA702B" w:rsidP="00DA702B"/>
        </w:tc>
      </w:tr>
      <w:tr w:rsidR="00DA702B" w:rsidRPr="00DA702B" w14:paraId="259183CB" w14:textId="77777777" w:rsidTr="00247007">
        <w:trPr>
          <w:cantSplit/>
          <w:trHeight w:val="346"/>
          <w:tblHeader/>
        </w:trPr>
        <w:tc>
          <w:tcPr>
            <w:tcW w:w="1308" w:type="dxa"/>
          </w:tcPr>
          <w:p w14:paraId="25CCAB22" w14:textId="77777777" w:rsidR="00DA702B" w:rsidRPr="00DA702B" w:rsidRDefault="00DA702B" w:rsidP="00DA702B"/>
        </w:tc>
        <w:tc>
          <w:tcPr>
            <w:tcW w:w="1309" w:type="dxa"/>
          </w:tcPr>
          <w:p w14:paraId="37CDF70B" w14:textId="77777777" w:rsidR="00DA702B" w:rsidRPr="00DA702B" w:rsidRDefault="00DA702B" w:rsidP="00DA702B"/>
        </w:tc>
        <w:tc>
          <w:tcPr>
            <w:tcW w:w="1309" w:type="dxa"/>
          </w:tcPr>
          <w:p w14:paraId="738B239B" w14:textId="77777777" w:rsidR="00DA702B" w:rsidRPr="00DA702B" w:rsidRDefault="00DA702B" w:rsidP="00DA702B"/>
        </w:tc>
        <w:tc>
          <w:tcPr>
            <w:tcW w:w="1309" w:type="dxa"/>
          </w:tcPr>
          <w:p w14:paraId="3BE1DD81" w14:textId="77777777" w:rsidR="00DA702B" w:rsidRPr="00DA702B" w:rsidRDefault="00DA702B" w:rsidP="00DA702B"/>
        </w:tc>
        <w:tc>
          <w:tcPr>
            <w:tcW w:w="1309" w:type="dxa"/>
          </w:tcPr>
          <w:p w14:paraId="62FB82CA" w14:textId="77777777" w:rsidR="00DA702B" w:rsidRPr="00DA702B" w:rsidRDefault="00DA702B" w:rsidP="00DA702B"/>
        </w:tc>
        <w:tc>
          <w:tcPr>
            <w:tcW w:w="1309" w:type="dxa"/>
          </w:tcPr>
          <w:p w14:paraId="65D572EC" w14:textId="77777777" w:rsidR="00DA702B" w:rsidRPr="00DA702B" w:rsidRDefault="00DA702B" w:rsidP="00DA702B"/>
        </w:tc>
        <w:tc>
          <w:tcPr>
            <w:tcW w:w="1124" w:type="dxa"/>
          </w:tcPr>
          <w:p w14:paraId="48A6A505" w14:textId="77777777" w:rsidR="00DA702B" w:rsidRPr="00DA702B" w:rsidRDefault="00DA702B" w:rsidP="00DA702B"/>
        </w:tc>
        <w:tc>
          <w:tcPr>
            <w:tcW w:w="1494" w:type="dxa"/>
          </w:tcPr>
          <w:p w14:paraId="3C159020" w14:textId="77777777" w:rsidR="00DA702B" w:rsidRPr="00DA702B" w:rsidRDefault="00DA702B" w:rsidP="00DA702B"/>
        </w:tc>
        <w:tc>
          <w:tcPr>
            <w:tcW w:w="1309" w:type="dxa"/>
          </w:tcPr>
          <w:p w14:paraId="2246F744" w14:textId="77777777" w:rsidR="00DA702B" w:rsidRPr="00DA702B" w:rsidRDefault="00DA702B" w:rsidP="00DA702B"/>
        </w:tc>
        <w:tc>
          <w:tcPr>
            <w:tcW w:w="1310" w:type="dxa"/>
          </w:tcPr>
          <w:p w14:paraId="1788A4CD" w14:textId="77777777" w:rsidR="00DA702B" w:rsidRPr="00DA702B" w:rsidRDefault="00DA702B" w:rsidP="00DA702B"/>
        </w:tc>
        <w:tc>
          <w:tcPr>
            <w:tcW w:w="1310" w:type="dxa"/>
          </w:tcPr>
          <w:p w14:paraId="70270FAE" w14:textId="77777777" w:rsidR="00DA702B" w:rsidRPr="00DA702B" w:rsidRDefault="00DA702B" w:rsidP="00DA702B"/>
        </w:tc>
      </w:tr>
      <w:tr w:rsidR="00DA702B" w:rsidRPr="00DA702B" w14:paraId="383FB664" w14:textId="77777777" w:rsidTr="00247007">
        <w:trPr>
          <w:cantSplit/>
          <w:trHeight w:val="346"/>
          <w:tblHeader/>
        </w:trPr>
        <w:tc>
          <w:tcPr>
            <w:tcW w:w="1308" w:type="dxa"/>
          </w:tcPr>
          <w:p w14:paraId="5A79C6B4" w14:textId="77777777" w:rsidR="00DA702B" w:rsidRPr="00DA702B" w:rsidRDefault="00DA702B" w:rsidP="00DA702B"/>
        </w:tc>
        <w:tc>
          <w:tcPr>
            <w:tcW w:w="1309" w:type="dxa"/>
          </w:tcPr>
          <w:p w14:paraId="0CC8DDEE" w14:textId="77777777" w:rsidR="00DA702B" w:rsidRPr="00DA702B" w:rsidRDefault="00DA702B" w:rsidP="00DA702B"/>
        </w:tc>
        <w:tc>
          <w:tcPr>
            <w:tcW w:w="1309" w:type="dxa"/>
          </w:tcPr>
          <w:p w14:paraId="10F6B494" w14:textId="77777777" w:rsidR="00DA702B" w:rsidRPr="00DA702B" w:rsidRDefault="00DA702B" w:rsidP="00DA702B"/>
        </w:tc>
        <w:tc>
          <w:tcPr>
            <w:tcW w:w="1309" w:type="dxa"/>
          </w:tcPr>
          <w:p w14:paraId="637A3F52" w14:textId="77777777" w:rsidR="00DA702B" w:rsidRPr="00DA702B" w:rsidRDefault="00DA702B" w:rsidP="00DA702B"/>
        </w:tc>
        <w:tc>
          <w:tcPr>
            <w:tcW w:w="1309" w:type="dxa"/>
          </w:tcPr>
          <w:p w14:paraId="63DC1769" w14:textId="77777777" w:rsidR="00DA702B" w:rsidRPr="00DA702B" w:rsidRDefault="00DA702B" w:rsidP="00DA702B"/>
        </w:tc>
        <w:tc>
          <w:tcPr>
            <w:tcW w:w="1309" w:type="dxa"/>
          </w:tcPr>
          <w:p w14:paraId="0D7B0332" w14:textId="77777777" w:rsidR="00DA702B" w:rsidRPr="00DA702B" w:rsidRDefault="00DA702B" w:rsidP="00DA702B"/>
        </w:tc>
        <w:tc>
          <w:tcPr>
            <w:tcW w:w="1124" w:type="dxa"/>
          </w:tcPr>
          <w:p w14:paraId="433645CB" w14:textId="77777777" w:rsidR="00DA702B" w:rsidRPr="00DA702B" w:rsidRDefault="00DA702B" w:rsidP="00DA702B"/>
        </w:tc>
        <w:tc>
          <w:tcPr>
            <w:tcW w:w="1494" w:type="dxa"/>
          </w:tcPr>
          <w:p w14:paraId="1420522B" w14:textId="77777777" w:rsidR="00DA702B" w:rsidRPr="00DA702B" w:rsidRDefault="00DA702B" w:rsidP="00DA702B"/>
        </w:tc>
        <w:tc>
          <w:tcPr>
            <w:tcW w:w="1309" w:type="dxa"/>
          </w:tcPr>
          <w:p w14:paraId="36FCF1CC" w14:textId="77777777" w:rsidR="00DA702B" w:rsidRPr="00DA702B" w:rsidRDefault="00DA702B" w:rsidP="00DA702B"/>
        </w:tc>
        <w:tc>
          <w:tcPr>
            <w:tcW w:w="1310" w:type="dxa"/>
          </w:tcPr>
          <w:p w14:paraId="20D4DF1A" w14:textId="77777777" w:rsidR="00DA702B" w:rsidRPr="00DA702B" w:rsidRDefault="00DA702B" w:rsidP="00DA702B"/>
        </w:tc>
        <w:tc>
          <w:tcPr>
            <w:tcW w:w="1310" w:type="dxa"/>
          </w:tcPr>
          <w:p w14:paraId="217FA092" w14:textId="77777777" w:rsidR="00DA702B" w:rsidRPr="00DA702B" w:rsidRDefault="00DA702B" w:rsidP="00DA702B"/>
        </w:tc>
      </w:tr>
      <w:tr w:rsidR="00DA702B" w:rsidRPr="00DA702B" w14:paraId="35F12398" w14:textId="77777777" w:rsidTr="00247007">
        <w:trPr>
          <w:cantSplit/>
          <w:trHeight w:val="346"/>
          <w:tblHeader/>
        </w:trPr>
        <w:tc>
          <w:tcPr>
            <w:tcW w:w="1308" w:type="dxa"/>
          </w:tcPr>
          <w:p w14:paraId="7F44DA63" w14:textId="77777777" w:rsidR="00DA702B" w:rsidRPr="00DA702B" w:rsidRDefault="00DA702B" w:rsidP="00DA702B"/>
        </w:tc>
        <w:tc>
          <w:tcPr>
            <w:tcW w:w="1309" w:type="dxa"/>
          </w:tcPr>
          <w:p w14:paraId="0F7B13C9" w14:textId="77777777" w:rsidR="00DA702B" w:rsidRPr="00DA702B" w:rsidRDefault="00DA702B" w:rsidP="00DA702B"/>
        </w:tc>
        <w:tc>
          <w:tcPr>
            <w:tcW w:w="1309" w:type="dxa"/>
          </w:tcPr>
          <w:p w14:paraId="7FB2B765" w14:textId="77777777" w:rsidR="00DA702B" w:rsidRPr="00DA702B" w:rsidRDefault="00DA702B" w:rsidP="00DA702B"/>
        </w:tc>
        <w:tc>
          <w:tcPr>
            <w:tcW w:w="1309" w:type="dxa"/>
          </w:tcPr>
          <w:p w14:paraId="0632926F" w14:textId="77777777" w:rsidR="00DA702B" w:rsidRPr="00DA702B" w:rsidRDefault="00DA702B" w:rsidP="00DA702B"/>
        </w:tc>
        <w:tc>
          <w:tcPr>
            <w:tcW w:w="1309" w:type="dxa"/>
          </w:tcPr>
          <w:p w14:paraId="5D285FCC" w14:textId="77777777" w:rsidR="00DA702B" w:rsidRPr="00DA702B" w:rsidRDefault="00DA702B" w:rsidP="00DA702B"/>
        </w:tc>
        <w:tc>
          <w:tcPr>
            <w:tcW w:w="1309" w:type="dxa"/>
          </w:tcPr>
          <w:p w14:paraId="70F00D24" w14:textId="77777777" w:rsidR="00DA702B" w:rsidRPr="00DA702B" w:rsidRDefault="00DA702B" w:rsidP="00DA702B"/>
        </w:tc>
        <w:tc>
          <w:tcPr>
            <w:tcW w:w="1124" w:type="dxa"/>
          </w:tcPr>
          <w:p w14:paraId="44351DD5" w14:textId="77777777" w:rsidR="00DA702B" w:rsidRPr="00DA702B" w:rsidRDefault="00DA702B" w:rsidP="00DA702B"/>
        </w:tc>
        <w:tc>
          <w:tcPr>
            <w:tcW w:w="1494" w:type="dxa"/>
          </w:tcPr>
          <w:p w14:paraId="44C642AE" w14:textId="77777777" w:rsidR="00DA702B" w:rsidRPr="00DA702B" w:rsidRDefault="00DA702B" w:rsidP="00DA702B"/>
        </w:tc>
        <w:tc>
          <w:tcPr>
            <w:tcW w:w="1309" w:type="dxa"/>
          </w:tcPr>
          <w:p w14:paraId="04F8DFF0" w14:textId="77777777" w:rsidR="00DA702B" w:rsidRPr="00DA702B" w:rsidRDefault="00DA702B" w:rsidP="00DA702B"/>
        </w:tc>
        <w:tc>
          <w:tcPr>
            <w:tcW w:w="1310" w:type="dxa"/>
          </w:tcPr>
          <w:p w14:paraId="5AB39BAE" w14:textId="77777777" w:rsidR="00DA702B" w:rsidRPr="00DA702B" w:rsidRDefault="00DA702B" w:rsidP="00DA702B"/>
        </w:tc>
        <w:tc>
          <w:tcPr>
            <w:tcW w:w="1310" w:type="dxa"/>
          </w:tcPr>
          <w:p w14:paraId="37684378" w14:textId="77777777" w:rsidR="00DA702B" w:rsidRPr="00DA702B" w:rsidRDefault="00DA702B" w:rsidP="00DA702B"/>
        </w:tc>
      </w:tr>
      <w:tr w:rsidR="00DA702B" w:rsidRPr="00DA702B" w14:paraId="6BE9A2FA" w14:textId="77777777" w:rsidTr="00247007">
        <w:trPr>
          <w:cantSplit/>
          <w:trHeight w:val="346"/>
          <w:tblHeader/>
        </w:trPr>
        <w:tc>
          <w:tcPr>
            <w:tcW w:w="1308" w:type="dxa"/>
          </w:tcPr>
          <w:p w14:paraId="7EEF3F41" w14:textId="77777777" w:rsidR="00DA702B" w:rsidRPr="00DA702B" w:rsidRDefault="00DA702B" w:rsidP="00DA702B"/>
        </w:tc>
        <w:tc>
          <w:tcPr>
            <w:tcW w:w="1309" w:type="dxa"/>
          </w:tcPr>
          <w:p w14:paraId="3B5A93EE" w14:textId="77777777" w:rsidR="00DA702B" w:rsidRPr="00DA702B" w:rsidRDefault="00DA702B" w:rsidP="00DA702B"/>
        </w:tc>
        <w:tc>
          <w:tcPr>
            <w:tcW w:w="1309" w:type="dxa"/>
          </w:tcPr>
          <w:p w14:paraId="1CE9D9EB" w14:textId="77777777" w:rsidR="00DA702B" w:rsidRPr="00DA702B" w:rsidRDefault="00DA702B" w:rsidP="00DA702B"/>
        </w:tc>
        <w:tc>
          <w:tcPr>
            <w:tcW w:w="1309" w:type="dxa"/>
          </w:tcPr>
          <w:p w14:paraId="5259D8A6" w14:textId="77777777" w:rsidR="00DA702B" w:rsidRPr="00DA702B" w:rsidRDefault="00DA702B" w:rsidP="00DA702B"/>
        </w:tc>
        <w:tc>
          <w:tcPr>
            <w:tcW w:w="1309" w:type="dxa"/>
          </w:tcPr>
          <w:p w14:paraId="5BD92EB2" w14:textId="77777777" w:rsidR="00DA702B" w:rsidRPr="00DA702B" w:rsidRDefault="00DA702B" w:rsidP="00DA702B"/>
        </w:tc>
        <w:tc>
          <w:tcPr>
            <w:tcW w:w="1309" w:type="dxa"/>
          </w:tcPr>
          <w:p w14:paraId="35E14D10" w14:textId="77777777" w:rsidR="00DA702B" w:rsidRPr="00DA702B" w:rsidRDefault="00DA702B" w:rsidP="00DA702B"/>
        </w:tc>
        <w:tc>
          <w:tcPr>
            <w:tcW w:w="1124" w:type="dxa"/>
          </w:tcPr>
          <w:p w14:paraId="1F5635F5" w14:textId="77777777" w:rsidR="00DA702B" w:rsidRPr="00DA702B" w:rsidRDefault="00DA702B" w:rsidP="00DA702B"/>
        </w:tc>
        <w:tc>
          <w:tcPr>
            <w:tcW w:w="1494" w:type="dxa"/>
          </w:tcPr>
          <w:p w14:paraId="4960B4FF" w14:textId="77777777" w:rsidR="00DA702B" w:rsidRPr="00DA702B" w:rsidRDefault="00DA702B" w:rsidP="00DA702B"/>
        </w:tc>
        <w:tc>
          <w:tcPr>
            <w:tcW w:w="1309" w:type="dxa"/>
          </w:tcPr>
          <w:p w14:paraId="1E0C6EEF" w14:textId="77777777" w:rsidR="00DA702B" w:rsidRPr="00DA702B" w:rsidRDefault="00DA702B" w:rsidP="00DA702B"/>
        </w:tc>
        <w:tc>
          <w:tcPr>
            <w:tcW w:w="1310" w:type="dxa"/>
          </w:tcPr>
          <w:p w14:paraId="5E088790" w14:textId="77777777" w:rsidR="00DA702B" w:rsidRPr="00DA702B" w:rsidRDefault="00DA702B" w:rsidP="00DA702B"/>
        </w:tc>
        <w:tc>
          <w:tcPr>
            <w:tcW w:w="1310" w:type="dxa"/>
          </w:tcPr>
          <w:p w14:paraId="084576C2" w14:textId="77777777" w:rsidR="00DA702B" w:rsidRPr="00DA702B" w:rsidRDefault="00DA702B" w:rsidP="00DA702B"/>
        </w:tc>
      </w:tr>
    </w:tbl>
    <w:p w14:paraId="7D1E3AFE" w14:textId="78CCA5D9" w:rsidR="004B552D" w:rsidRDefault="004B552D" w:rsidP="00DA702B">
      <w:r>
        <w:br w:type="page"/>
      </w:r>
    </w:p>
    <w:p w14:paraId="2BA8AEDE" w14:textId="77777777" w:rsidR="00DA702B" w:rsidRPr="00DA702B" w:rsidRDefault="00DA702B" w:rsidP="005E7657">
      <w:pPr>
        <w:contextualSpacing/>
        <w:jc w:val="center"/>
        <w:outlineLvl w:val="0"/>
        <w:rPr>
          <w:b/>
          <w:bCs/>
        </w:rPr>
      </w:pPr>
      <w:r w:rsidRPr="00DA702B">
        <w:rPr>
          <w:b/>
          <w:bCs/>
        </w:rPr>
        <w:lastRenderedPageBreak/>
        <w:t>Boiler/Steam Generator/Steam Generating Unit Attributes</w:t>
      </w:r>
    </w:p>
    <w:p w14:paraId="01494236" w14:textId="77777777" w:rsidR="00DA702B" w:rsidRPr="00DA702B" w:rsidRDefault="00DA702B" w:rsidP="005E7657">
      <w:pPr>
        <w:contextualSpacing/>
        <w:jc w:val="center"/>
        <w:outlineLvl w:val="0"/>
        <w:rPr>
          <w:b/>
          <w:bCs/>
        </w:rPr>
      </w:pPr>
      <w:r w:rsidRPr="00DA702B">
        <w:rPr>
          <w:b/>
          <w:bCs/>
        </w:rPr>
        <w:t>Form OP-UA6 (Page 3)</w:t>
      </w:r>
    </w:p>
    <w:p w14:paraId="727DB0A2" w14:textId="77777777" w:rsidR="00DA702B" w:rsidRPr="00DA702B" w:rsidRDefault="00DA702B" w:rsidP="005E7657">
      <w:pPr>
        <w:contextualSpacing/>
        <w:jc w:val="center"/>
        <w:outlineLvl w:val="0"/>
        <w:rPr>
          <w:b/>
          <w:bCs/>
        </w:rPr>
      </w:pPr>
      <w:r w:rsidRPr="00DA702B">
        <w:rPr>
          <w:b/>
          <w:bCs/>
        </w:rPr>
        <w:t>Federal Operating Permit Program</w:t>
      </w:r>
    </w:p>
    <w:p w14:paraId="5AEE3EB2" w14:textId="77777777" w:rsidR="00DA702B" w:rsidRPr="00DA702B" w:rsidRDefault="00DA702B" w:rsidP="005E7657">
      <w:pPr>
        <w:contextualSpacing/>
        <w:jc w:val="center"/>
        <w:outlineLvl w:val="0"/>
        <w:rPr>
          <w:b/>
          <w:bCs/>
        </w:rPr>
      </w:pPr>
      <w:bookmarkStart w:id="165" w:name="TBL_2a"/>
      <w:r w:rsidRPr="00DA702B">
        <w:rPr>
          <w:b/>
          <w:bCs/>
        </w:rPr>
        <w:t>Table 2a</w:t>
      </w:r>
      <w:bookmarkEnd w:id="165"/>
      <w:r w:rsidRPr="00DA702B">
        <w:rPr>
          <w:b/>
          <w:bCs/>
        </w:rPr>
        <w:t>:  Title 40 Code of Federal Regulations Part 60 (40 CFR Part 60)</w:t>
      </w:r>
    </w:p>
    <w:p w14:paraId="00E8242F" w14:textId="77777777" w:rsidR="00DA702B" w:rsidRPr="00DA702B" w:rsidRDefault="00DA702B" w:rsidP="005E7657">
      <w:pPr>
        <w:contextualSpacing/>
        <w:jc w:val="center"/>
        <w:outlineLvl w:val="0"/>
        <w:rPr>
          <w:b/>
          <w:bCs/>
        </w:rPr>
      </w:pPr>
      <w:r w:rsidRPr="00DA702B">
        <w:rPr>
          <w:b/>
          <w:bCs/>
        </w:rPr>
        <w:t>Subpart Da:  Standards of Performance for Electric Utility Steam Generating Units</w:t>
      </w:r>
    </w:p>
    <w:p w14:paraId="64C0D9AB" w14:textId="77777777" w:rsidR="00DA702B" w:rsidRPr="00DA702B" w:rsidRDefault="00DA702B" w:rsidP="005E7657">
      <w:pPr>
        <w:contextualSpacing/>
        <w:jc w:val="center"/>
        <w:outlineLvl w:val="0"/>
        <w:rPr>
          <w:b/>
          <w:bCs/>
        </w:rPr>
      </w:pPr>
      <w:r w:rsidRPr="00DA702B">
        <w:rPr>
          <w:b/>
          <w:bCs/>
        </w:rPr>
        <w:t>Texas Commission on Environmental Quality</w:t>
      </w:r>
    </w:p>
    <w:p w14:paraId="556B509C" w14:textId="77777777" w:rsidR="00DA702B" w:rsidRPr="00DA702B" w:rsidRDefault="00DA702B" w:rsidP="00DA702B">
      <w:pPr>
        <w:spacing w:before="24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2a:  Title 40 Code of Federal Regulations Part 60 (40 CFR Part 60)&#10;Subpart Da:  Standards of Performance for Electric Utility Steam Generating Units&#10;"/>
      </w:tblPr>
      <w:tblGrid>
        <w:gridCol w:w="4800"/>
        <w:gridCol w:w="4800"/>
        <w:gridCol w:w="4800"/>
      </w:tblGrid>
      <w:tr w:rsidR="00DA702B" w:rsidRPr="00DA702B" w14:paraId="7DE330AC" w14:textId="77777777" w:rsidTr="00247007">
        <w:trPr>
          <w:cantSplit/>
          <w:tblHeader/>
        </w:trPr>
        <w:tc>
          <w:tcPr>
            <w:tcW w:w="4800" w:type="dxa"/>
            <w:shd w:val="clear" w:color="auto" w:fill="D9D9D9" w:themeFill="background1" w:themeFillShade="D9"/>
          </w:tcPr>
          <w:p w14:paraId="11004DA9"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3B00FD4"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245C2424"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514D7FD0" w14:textId="77777777" w:rsidTr="00247007">
        <w:trPr>
          <w:cantSplit/>
          <w:tblHeader/>
        </w:trPr>
        <w:tc>
          <w:tcPr>
            <w:tcW w:w="4800" w:type="dxa"/>
          </w:tcPr>
          <w:p w14:paraId="0FCF2E26" w14:textId="77777777" w:rsidR="00DA702B" w:rsidRPr="00DA702B" w:rsidRDefault="00DA702B" w:rsidP="00DA702B">
            <w:pPr>
              <w:rPr>
                <w:rFonts w:asciiTheme="majorHAnsi" w:hAnsiTheme="majorHAnsi" w:cstheme="majorHAnsi"/>
              </w:rPr>
            </w:pPr>
          </w:p>
        </w:tc>
        <w:tc>
          <w:tcPr>
            <w:tcW w:w="4800" w:type="dxa"/>
          </w:tcPr>
          <w:p w14:paraId="1A2A1E6E" w14:textId="77777777" w:rsidR="00DA702B" w:rsidRPr="00DA702B" w:rsidRDefault="00DA702B" w:rsidP="00DA702B">
            <w:pPr>
              <w:rPr>
                <w:rFonts w:asciiTheme="majorHAnsi" w:hAnsiTheme="majorHAnsi" w:cstheme="majorHAnsi"/>
              </w:rPr>
            </w:pPr>
          </w:p>
        </w:tc>
        <w:tc>
          <w:tcPr>
            <w:tcW w:w="4800" w:type="dxa"/>
          </w:tcPr>
          <w:p w14:paraId="5CDE2565" w14:textId="77777777" w:rsidR="00DA702B" w:rsidRPr="00DA702B" w:rsidRDefault="00DA702B" w:rsidP="00DA702B">
            <w:pPr>
              <w:rPr>
                <w:rFonts w:asciiTheme="majorHAnsi" w:hAnsiTheme="majorHAnsi" w:cstheme="majorHAnsi"/>
              </w:rPr>
            </w:pPr>
          </w:p>
        </w:tc>
      </w:tr>
    </w:tbl>
    <w:p w14:paraId="252D2C86"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2a:  Title 40 Code of Federal Regulations Part 60 (40 CFR Part 60)&#10;Subpart Da:  Standards of Performance for Electric Utility Steam Generating Units&#10;"/>
      </w:tblPr>
      <w:tblGrid>
        <w:gridCol w:w="1300"/>
        <w:gridCol w:w="1299"/>
        <w:gridCol w:w="1299"/>
        <w:gridCol w:w="1001"/>
        <w:gridCol w:w="1001"/>
        <w:gridCol w:w="1001"/>
        <w:gridCol w:w="1001"/>
        <w:gridCol w:w="1299"/>
        <w:gridCol w:w="1299"/>
        <w:gridCol w:w="1300"/>
        <w:gridCol w:w="1407"/>
        <w:gridCol w:w="1193"/>
      </w:tblGrid>
      <w:tr w:rsidR="00DA702B" w:rsidRPr="00DA702B" w14:paraId="21ABCDCF" w14:textId="77777777" w:rsidTr="00247007">
        <w:tc>
          <w:tcPr>
            <w:tcW w:w="1300" w:type="dxa"/>
            <w:shd w:val="clear" w:color="auto" w:fill="D9D9D9" w:themeFill="background1" w:themeFillShade="D9"/>
            <w:vAlign w:val="bottom"/>
          </w:tcPr>
          <w:p w14:paraId="5111E1FA" w14:textId="77777777" w:rsidR="00DA702B" w:rsidRPr="00DA702B" w:rsidRDefault="00DA702B" w:rsidP="00DA702B">
            <w:pPr>
              <w:jc w:val="center"/>
              <w:rPr>
                <w:sz w:val="20"/>
                <w:szCs w:val="20"/>
              </w:rPr>
            </w:pPr>
            <w:r w:rsidRPr="00DA702B">
              <w:rPr>
                <w:b/>
                <w:sz w:val="20"/>
                <w:szCs w:val="20"/>
              </w:rPr>
              <w:t>Unit ID No.</w:t>
            </w:r>
          </w:p>
        </w:tc>
        <w:tc>
          <w:tcPr>
            <w:tcW w:w="1299" w:type="dxa"/>
            <w:shd w:val="clear" w:color="auto" w:fill="D9D9D9" w:themeFill="background1" w:themeFillShade="D9"/>
            <w:vAlign w:val="bottom"/>
          </w:tcPr>
          <w:p w14:paraId="361710BB" w14:textId="77777777" w:rsidR="00DA702B" w:rsidRPr="00DA702B" w:rsidRDefault="00DA702B" w:rsidP="00DA702B">
            <w:pPr>
              <w:jc w:val="center"/>
              <w:rPr>
                <w:b/>
                <w:sz w:val="20"/>
                <w:szCs w:val="20"/>
              </w:rPr>
            </w:pPr>
            <w:r w:rsidRPr="00DA702B">
              <w:rPr>
                <w:b/>
                <w:sz w:val="20"/>
                <w:szCs w:val="20"/>
              </w:rPr>
              <w:t>SOP</w:t>
            </w:r>
          </w:p>
          <w:p w14:paraId="2DE9B8C4" w14:textId="77777777" w:rsidR="00DA702B" w:rsidRPr="00DA702B" w:rsidRDefault="00DA702B" w:rsidP="00DA702B">
            <w:pPr>
              <w:jc w:val="center"/>
              <w:rPr>
                <w:sz w:val="20"/>
                <w:szCs w:val="20"/>
              </w:rPr>
            </w:pPr>
            <w:r w:rsidRPr="00DA702B">
              <w:rPr>
                <w:b/>
                <w:sz w:val="20"/>
                <w:szCs w:val="20"/>
              </w:rPr>
              <w:t>Index No.</w:t>
            </w:r>
          </w:p>
        </w:tc>
        <w:tc>
          <w:tcPr>
            <w:tcW w:w="1299" w:type="dxa"/>
            <w:shd w:val="clear" w:color="auto" w:fill="D9D9D9" w:themeFill="background1" w:themeFillShade="D9"/>
            <w:vAlign w:val="bottom"/>
          </w:tcPr>
          <w:p w14:paraId="7A620114" w14:textId="77777777" w:rsidR="00DA702B" w:rsidRPr="00DA702B" w:rsidRDefault="00DA702B" w:rsidP="00DA702B">
            <w:pPr>
              <w:jc w:val="center"/>
              <w:rPr>
                <w:sz w:val="20"/>
                <w:szCs w:val="20"/>
              </w:rPr>
            </w:pPr>
            <w:r w:rsidRPr="00DA702B">
              <w:rPr>
                <w:b/>
                <w:sz w:val="20"/>
                <w:szCs w:val="20"/>
              </w:rPr>
              <w:t>Construction/ Modification Date</w:t>
            </w:r>
          </w:p>
        </w:tc>
        <w:tc>
          <w:tcPr>
            <w:tcW w:w="1001" w:type="dxa"/>
            <w:shd w:val="clear" w:color="auto" w:fill="D9D9D9" w:themeFill="background1" w:themeFillShade="D9"/>
            <w:vAlign w:val="bottom"/>
          </w:tcPr>
          <w:p w14:paraId="1CD06038" w14:textId="77777777" w:rsidR="00DA702B" w:rsidRPr="00DA702B" w:rsidRDefault="00DA702B" w:rsidP="00DA702B">
            <w:pPr>
              <w:jc w:val="center"/>
              <w:rPr>
                <w:sz w:val="20"/>
                <w:szCs w:val="20"/>
              </w:rPr>
            </w:pPr>
            <w:r w:rsidRPr="00DA702B">
              <w:rPr>
                <w:b/>
                <w:sz w:val="20"/>
                <w:szCs w:val="20"/>
              </w:rPr>
              <w:t>Heat Input of Fossil Fuel</w:t>
            </w:r>
          </w:p>
        </w:tc>
        <w:tc>
          <w:tcPr>
            <w:tcW w:w="1001" w:type="dxa"/>
            <w:shd w:val="clear" w:color="auto" w:fill="D9D9D9" w:themeFill="background1" w:themeFillShade="D9"/>
            <w:vAlign w:val="bottom"/>
          </w:tcPr>
          <w:p w14:paraId="0107F2E1" w14:textId="77777777" w:rsidR="00DA702B" w:rsidRPr="00DA702B" w:rsidRDefault="00DA702B" w:rsidP="00DA702B">
            <w:pPr>
              <w:jc w:val="center"/>
              <w:rPr>
                <w:b/>
                <w:sz w:val="20"/>
                <w:szCs w:val="20"/>
              </w:rPr>
            </w:pPr>
            <w:r w:rsidRPr="00DA702B">
              <w:rPr>
                <w:b/>
                <w:sz w:val="20"/>
                <w:szCs w:val="20"/>
              </w:rPr>
              <w:t>D-Series</w:t>
            </w:r>
          </w:p>
          <w:p w14:paraId="28FD4D80" w14:textId="77777777" w:rsidR="00DA702B" w:rsidRPr="00DA702B" w:rsidRDefault="00DA702B" w:rsidP="00DA702B">
            <w:pPr>
              <w:jc w:val="center"/>
              <w:rPr>
                <w:sz w:val="20"/>
                <w:szCs w:val="20"/>
              </w:rPr>
            </w:pPr>
            <w:r w:rsidRPr="00DA702B">
              <w:rPr>
                <w:b/>
                <w:sz w:val="20"/>
                <w:szCs w:val="20"/>
              </w:rPr>
              <w:t>Fuel Type</w:t>
            </w:r>
          </w:p>
        </w:tc>
        <w:tc>
          <w:tcPr>
            <w:tcW w:w="1001" w:type="dxa"/>
            <w:shd w:val="clear" w:color="auto" w:fill="D9D9D9" w:themeFill="background1" w:themeFillShade="D9"/>
            <w:vAlign w:val="bottom"/>
          </w:tcPr>
          <w:p w14:paraId="1892DDFA" w14:textId="77777777" w:rsidR="00DA702B" w:rsidRPr="00DA702B" w:rsidRDefault="00DA702B" w:rsidP="00DA702B">
            <w:pPr>
              <w:jc w:val="center"/>
              <w:rPr>
                <w:b/>
                <w:sz w:val="20"/>
                <w:szCs w:val="20"/>
              </w:rPr>
            </w:pPr>
            <w:r w:rsidRPr="00DA702B">
              <w:rPr>
                <w:b/>
                <w:sz w:val="20"/>
                <w:szCs w:val="20"/>
              </w:rPr>
              <w:t>D-Series</w:t>
            </w:r>
          </w:p>
          <w:p w14:paraId="555A80D2" w14:textId="77777777" w:rsidR="00DA702B" w:rsidRPr="00DA702B" w:rsidRDefault="00DA702B" w:rsidP="00DA702B">
            <w:pPr>
              <w:jc w:val="center"/>
              <w:rPr>
                <w:sz w:val="20"/>
                <w:szCs w:val="20"/>
              </w:rPr>
            </w:pPr>
            <w:r w:rsidRPr="00DA702B">
              <w:rPr>
                <w:b/>
                <w:sz w:val="20"/>
                <w:szCs w:val="20"/>
              </w:rPr>
              <w:t>Fuel Type</w:t>
            </w:r>
          </w:p>
        </w:tc>
        <w:tc>
          <w:tcPr>
            <w:tcW w:w="1001" w:type="dxa"/>
            <w:shd w:val="clear" w:color="auto" w:fill="D9D9D9" w:themeFill="background1" w:themeFillShade="D9"/>
            <w:vAlign w:val="bottom"/>
          </w:tcPr>
          <w:p w14:paraId="0C0CD4F1" w14:textId="77777777" w:rsidR="00DA702B" w:rsidRPr="00DA702B" w:rsidRDefault="00DA702B" w:rsidP="00DA702B">
            <w:pPr>
              <w:jc w:val="center"/>
              <w:rPr>
                <w:b/>
                <w:sz w:val="20"/>
                <w:szCs w:val="20"/>
              </w:rPr>
            </w:pPr>
            <w:r w:rsidRPr="00DA702B">
              <w:rPr>
                <w:b/>
                <w:sz w:val="20"/>
                <w:szCs w:val="20"/>
              </w:rPr>
              <w:t>D-Series</w:t>
            </w:r>
          </w:p>
          <w:p w14:paraId="6351D8D9" w14:textId="77777777" w:rsidR="00DA702B" w:rsidRPr="00DA702B" w:rsidRDefault="00DA702B" w:rsidP="00DA702B">
            <w:pPr>
              <w:jc w:val="center"/>
              <w:rPr>
                <w:sz w:val="20"/>
                <w:szCs w:val="20"/>
              </w:rPr>
            </w:pPr>
            <w:r w:rsidRPr="00DA702B">
              <w:rPr>
                <w:b/>
                <w:sz w:val="20"/>
                <w:szCs w:val="20"/>
              </w:rPr>
              <w:t>Fuel Type</w:t>
            </w:r>
          </w:p>
        </w:tc>
        <w:tc>
          <w:tcPr>
            <w:tcW w:w="1299" w:type="dxa"/>
            <w:shd w:val="clear" w:color="auto" w:fill="D9D9D9" w:themeFill="background1" w:themeFillShade="D9"/>
            <w:vAlign w:val="bottom"/>
          </w:tcPr>
          <w:p w14:paraId="55F8D89E" w14:textId="77777777" w:rsidR="00DA702B" w:rsidRPr="00DA702B" w:rsidRDefault="00DA702B" w:rsidP="00DA702B">
            <w:pPr>
              <w:jc w:val="center"/>
              <w:rPr>
                <w:sz w:val="20"/>
                <w:szCs w:val="20"/>
              </w:rPr>
            </w:pPr>
            <w:r w:rsidRPr="00DA702B">
              <w:rPr>
                <w:b/>
                <w:sz w:val="20"/>
                <w:szCs w:val="20"/>
              </w:rPr>
              <w:t>Changes to Existing Affected Facility</w:t>
            </w:r>
          </w:p>
        </w:tc>
        <w:tc>
          <w:tcPr>
            <w:tcW w:w="1299" w:type="dxa"/>
            <w:shd w:val="clear" w:color="auto" w:fill="D9D9D9" w:themeFill="background1" w:themeFillShade="D9"/>
            <w:vAlign w:val="bottom"/>
          </w:tcPr>
          <w:p w14:paraId="469B12CB" w14:textId="77777777" w:rsidR="00DA702B" w:rsidRPr="00DA702B" w:rsidRDefault="00DA702B" w:rsidP="00DA702B">
            <w:pPr>
              <w:jc w:val="center"/>
              <w:rPr>
                <w:sz w:val="20"/>
                <w:szCs w:val="20"/>
              </w:rPr>
            </w:pPr>
            <w:r w:rsidRPr="00DA702B">
              <w:rPr>
                <w:b/>
                <w:sz w:val="20"/>
                <w:szCs w:val="20"/>
              </w:rPr>
              <w:t>Percent (%) Coal Refuse</w:t>
            </w:r>
          </w:p>
        </w:tc>
        <w:tc>
          <w:tcPr>
            <w:tcW w:w="1300" w:type="dxa"/>
            <w:shd w:val="clear" w:color="auto" w:fill="D9D9D9" w:themeFill="background1" w:themeFillShade="D9"/>
            <w:vAlign w:val="bottom"/>
          </w:tcPr>
          <w:p w14:paraId="462CD714" w14:textId="77777777" w:rsidR="00DA702B" w:rsidRPr="00DA702B" w:rsidRDefault="00DA702B" w:rsidP="00DA702B">
            <w:pPr>
              <w:jc w:val="center"/>
              <w:rPr>
                <w:sz w:val="20"/>
                <w:szCs w:val="20"/>
              </w:rPr>
            </w:pPr>
            <w:r w:rsidRPr="00DA702B">
              <w:rPr>
                <w:b/>
                <w:sz w:val="20"/>
                <w:szCs w:val="20"/>
              </w:rPr>
              <w:t>Combined Cycle Type</w:t>
            </w:r>
          </w:p>
        </w:tc>
        <w:tc>
          <w:tcPr>
            <w:tcW w:w="1407" w:type="dxa"/>
            <w:shd w:val="clear" w:color="auto" w:fill="D9D9D9" w:themeFill="background1" w:themeFillShade="D9"/>
          </w:tcPr>
          <w:p w14:paraId="4143F23B" w14:textId="77777777" w:rsidR="00DA702B" w:rsidRPr="00DA702B" w:rsidRDefault="00DA702B" w:rsidP="00DA702B">
            <w:pPr>
              <w:jc w:val="center"/>
              <w:rPr>
                <w:b/>
                <w:sz w:val="20"/>
                <w:szCs w:val="20"/>
              </w:rPr>
            </w:pPr>
            <w:r w:rsidRPr="00DA702B">
              <w:rPr>
                <w:b/>
                <w:sz w:val="20"/>
                <w:szCs w:val="20"/>
              </w:rPr>
              <w:t>PM Commercial Demonstration Permit</w:t>
            </w:r>
          </w:p>
        </w:tc>
        <w:tc>
          <w:tcPr>
            <w:tcW w:w="1193" w:type="dxa"/>
            <w:shd w:val="clear" w:color="auto" w:fill="D9D9D9" w:themeFill="background1" w:themeFillShade="D9"/>
            <w:vAlign w:val="bottom"/>
          </w:tcPr>
          <w:p w14:paraId="66B0A4B6" w14:textId="77777777" w:rsidR="00DA702B" w:rsidRPr="00DA702B" w:rsidRDefault="00DA702B" w:rsidP="00DA702B">
            <w:pPr>
              <w:jc w:val="center"/>
              <w:rPr>
                <w:sz w:val="20"/>
                <w:szCs w:val="20"/>
              </w:rPr>
            </w:pPr>
            <w:r w:rsidRPr="00DA702B">
              <w:rPr>
                <w:b/>
                <w:sz w:val="20"/>
                <w:szCs w:val="20"/>
              </w:rPr>
              <w:t>PM Standard Basis</w:t>
            </w:r>
          </w:p>
        </w:tc>
      </w:tr>
      <w:tr w:rsidR="00DA702B" w:rsidRPr="00DA702B" w14:paraId="1A3CCB2E" w14:textId="77777777" w:rsidTr="00247007">
        <w:tc>
          <w:tcPr>
            <w:tcW w:w="1300" w:type="dxa"/>
          </w:tcPr>
          <w:p w14:paraId="5703430F" w14:textId="77777777" w:rsidR="00DA702B" w:rsidRPr="00DA702B" w:rsidRDefault="00DA702B" w:rsidP="00DA702B">
            <w:pPr>
              <w:rPr>
                <w:sz w:val="20"/>
                <w:szCs w:val="20"/>
              </w:rPr>
            </w:pPr>
          </w:p>
        </w:tc>
        <w:tc>
          <w:tcPr>
            <w:tcW w:w="1299" w:type="dxa"/>
          </w:tcPr>
          <w:p w14:paraId="33306D84" w14:textId="77777777" w:rsidR="00DA702B" w:rsidRPr="00DA702B" w:rsidRDefault="00DA702B" w:rsidP="00DA702B">
            <w:pPr>
              <w:rPr>
                <w:sz w:val="20"/>
                <w:szCs w:val="20"/>
              </w:rPr>
            </w:pPr>
          </w:p>
        </w:tc>
        <w:tc>
          <w:tcPr>
            <w:tcW w:w="1299" w:type="dxa"/>
          </w:tcPr>
          <w:p w14:paraId="63E63D56" w14:textId="77777777" w:rsidR="00DA702B" w:rsidRPr="00DA702B" w:rsidRDefault="00DA702B" w:rsidP="00DA702B">
            <w:pPr>
              <w:rPr>
                <w:sz w:val="20"/>
                <w:szCs w:val="20"/>
              </w:rPr>
            </w:pPr>
          </w:p>
        </w:tc>
        <w:tc>
          <w:tcPr>
            <w:tcW w:w="1001" w:type="dxa"/>
          </w:tcPr>
          <w:p w14:paraId="12CC0B06" w14:textId="77777777" w:rsidR="00DA702B" w:rsidRPr="00DA702B" w:rsidRDefault="00DA702B" w:rsidP="00DA702B">
            <w:pPr>
              <w:rPr>
                <w:sz w:val="20"/>
                <w:szCs w:val="20"/>
              </w:rPr>
            </w:pPr>
          </w:p>
        </w:tc>
        <w:tc>
          <w:tcPr>
            <w:tcW w:w="1001" w:type="dxa"/>
          </w:tcPr>
          <w:p w14:paraId="38CFA58B" w14:textId="77777777" w:rsidR="00DA702B" w:rsidRPr="00DA702B" w:rsidRDefault="00DA702B" w:rsidP="00DA702B">
            <w:pPr>
              <w:rPr>
                <w:sz w:val="20"/>
                <w:szCs w:val="20"/>
              </w:rPr>
            </w:pPr>
          </w:p>
        </w:tc>
        <w:tc>
          <w:tcPr>
            <w:tcW w:w="1001" w:type="dxa"/>
          </w:tcPr>
          <w:p w14:paraId="110EA076" w14:textId="77777777" w:rsidR="00DA702B" w:rsidRPr="00DA702B" w:rsidRDefault="00DA702B" w:rsidP="00DA702B">
            <w:pPr>
              <w:rPr>
                <w:sz w:val="20"/>
                <w:szCs w:val="20"/>
              </w:rPr>
            </w:pPr>
          </w:p>
        </w:tc>
        <w:tc>
          <w:tcPr>
            <w:tcW w:w="1001" w:type="dxa"/>
          </w:tcPr>
          <w:p w14:paraId="792E95F9" w14:textId="77777777" w:rsidR="00DA702B" w:rsidRPr="00DA702B" w:rsidRDefault="00DA702B" w:rsidP="00DA702B">
            <w:pPr>
              <w:rPr>
                <w:sz w:val="20"/>
                <w:szCs w:val="20"/>
              </w:rPr>
            </w:pPr>
          </w:p>
        </w:tc>
        <w:tc>
          <w:tcPr>
            <w:tcW w:w="1299" w:type="dxa"/>
          </w:tcPr>
          <w:p w14:paraId="0B3C59C3" w14:textId="77777777" w:rsidR="00DA702B" w:rsidRPr="00DA702B" w:rsidRDefault="00DA702B" w:rsidP="00DA702B">
            <w:pPr>
              <w:rPr>
                <w:sz w:val="20"/>
                <w:szCs w:val="20"/>
              </w:rPr>
            </w:pPr>
          </w:p>
        </w:tc>
        <w:tc>
          <w:tcPr>
            <w:tcW w:w="1299" w:type="dxa"/>
          </w:tcPr>
          <w:p w14:paraId="254C3B53" w14:textId="77777777" w:rsidR="00DA702B" w:rsidRPr="00DA702B" w:rsidRDefault="00DA702B" w:rsidP="00DA702B">
            <w:pPr>
              <w:rPr>
                <w:sz w:val="20"/>
                <w:szCs w:val="20"/>
              </w:rPr>
            </w:pPr>
          </w:p>
        </w:tc>
        <w:tc>
          <w:tcPr>
            <w:tcW w:w="1300" w:type="dxa"/>
          </w:tcPr>
          <w:p w14:paraId="788C9C71" w14:textId="77777777" w:rsidR="00DA702B" w:rsidRPr="00DA702B" w:rsidRDefault="00DA702B" w:rsidP="00DA702B">
            <w:pPr>
              <w:rPr>
                <w:sz w:val="20"/>
                <w:szCs w:val="20"/>
              </w:rPr>
            </w:pPr>
          </w:p>
        </w:tc>
        <w:tc>
          <w:tcPr>
            <w:tcW w:w="1407" w:type="dxa"/>
          </w:tcPr>
          <w:p w14:paraId="455A8B38" w14:textId="77777777" w:rsidR="00DA702B" w:rsidRPr="00DA702B" w:rsidRDefault="00DA702B" w:rsidP="00DA702B">
            <w:pPr>
              <w:rPr>
                <w:sz w:val="20"/>
                <w:szCs w:val="20"/>
              </w:rPr>
            </w:pPr>
          </w:p>
        </w:tc>
        <w:tc>
          <w:tcPr>
            <w:tcW w:w="1193" w:type="dxa"/>
          </w:tcPr>
          <w:p w14:paraId="3D9BBA09" w14:textId="77777777" w:rsidR="00DA702B" w:rsidRPr="00DA702B" w:rsidRDefault="00DA702B" w:rsidP="00DA702B">
            <w:pPr>
              <w:rPr>
                <w:sz w:val="20"/>
                <w:szCs w:val="20"/>
              </w:rPr>
            </w:pPr>
          </w:p>
        </w:tc>
      </w:tr>
      <w:tr w:rsidR="00DA702B" w:rsidRPr="00DA702B" w14:paraId="1E3E8957" w14:textId="77777777" w:rsidTr="00247007">
        <w:tc>
          <w:tcPr>
            <w:tcW w:w="1300" w:type="dxa"/>
          </w:tcPr>
          <w:p w14:paraId="294B6A5F" w14:textId="77777777" w:rsidR="00DA702B" w:rsidRPr="00DA702B" w:rsidRDefault="00DA702B" w:rsidP="00DA702B">
            <w:pPr>
              <w:rPr>
                <w:sz w:val="20"/>
                <w:szCs w:val="20"/>
              </w:rPr>
            </w:pPr>
          </w:p>
        </w:tc>
        <w:tc>
          <w:tcPr>
            <w:tcW w:w="1299" w:type="dxa"/>
          </w:tcPr>
          <w:p w14:paraId="4D3C7D00" w14:textId="77777777" w:rsidR="00DA702B" w:rsidRPr="00DA702B" w:rsidRDefault="00DA702B" w:rsidP="00DA702B">
            <w:pPr>
              <w:rPr>
                <w:sz w:val="20"/>
                <w:szCs w:val="20"/>
              </w:rPr>
            </w:pPr>
          </w:p>
        </w:tc>
        <w:tc>
          <w:tcPr>
            <w:tcW w:w="1299" w:type="dxa"/>
          </w:tcPr>
          <w:p w14:paraId="24945593" w14:textId="77777777" w:rsidR="00DA702B" w:rsidRPr="00DA702B" w:rsidRDefault="00DA702B" w:rsidP="00DA702B">
            <w:pPr>
              <w:rPr>
                <w:sz w:val="20"/>
                <w:szCs w:val="20"/>
              </w:rPr>
            </w:pPr>
          </w:p>
        </w:tc>
        <w:tc>
          <w:tcPr>
            <w:tcW w:w="1001" w:type="dxa"/>
          </w:tcPr>
          <w:p w14:paraId="69A3A372" w14:textId="77777777" w:rsidR="00DA702B" w:rsidRPr="00DA702B" w:rsidRDefault="00DA702B" w:rsidP="00DA702B">
            <w:pPr>
              <w:rPr>
                <w:sz w:val="20"/>
                <w:szCs w:val="20"/>
              </w:rPr>
            </w:pPr>
          </w:p>
        </w:tc>
        <w:tc>
          <w:tcPr>
            <w:tcW w:w="1001" w:type="dxa"/>
          </w:tcPr>
          <w:p w14:paraId="45C22B59" w14:textId="77777777" w:rsidR="00DA702B" w:rsidRPr="00DA702B" w:rsidRDefault="00DA702B" w:rsidP="00DA702B">
            <w:pPr>
              <w:rPr>
                <w:sz w:val="20"/>
                <w:szCs w:val="20"/>
              </w:rPr>
            </w:pPr>
          </w:p>
        </w:tc>
        <w:tc>
          <w:tcPr>
            <w:tcW w:w="1001" w:type="dxa"/>
          </w:tcPr>
          <w:p w14:paraId="4505D47E" w14:textId="77777777" w:rsidR="00DA702B" w:rsidRPr="00DA702B" w:rsidRDefault="00DA702B" w:rsidP="00DA702B">
            <w:pPr>
              <w:rPr>
                <w:sz w:val="20"/>
                <w:szCs w:val="20"/>
              </w:rPr>
            </w:pPr>
          </w:p>
        </w:tc>
        <w:tc>
          <w:tcPr>
            <w:tcW w:w="1001" w:type="dxa"/>
          </w:tcPr>
          <w:p w14:paraId="0BB5B37A" w14:textId="77777777" w:rsidR="00DA702B" w:rsidRPr="00DA702B" w:rsidRDefault="00DA702B" w:rsidP="00DA702B">
            <w:pPr>
              <w:rPr>
                <w:sz w:val="20"/>
                <w:szCs w:val="20"/>
              </w:rPr>
            </w:pPr>
          </w:p>
        </w:tc>
        <w:tc>
          <w:tcPr>
            <w:tcW w:w="1299" w:type="dxa"/>
          </w:tcPr>
          <w:p w14:paraId="54B310A8" w14:textId="77777777" w:rsidR="00DA702B" w:rsidRPr="00DA702B" w:rsidRDefault="00DA702B" w:rsidP="00DA702B">
            <w:pPr>
              <w:rPr>
                <w:sz w:val="20"/>
                <w:szCs w:val="20"/>
              </w:rPr>
            </w:pPr>
          </w:p>
        </w:tc>
        <w:tc>
          <w:tcPr>
            <w:tcW w:w="1299" w:type="dxa"/>
          </w:tcPr>
          <w:p w14:paraId="7492E5DA" w14:textId="77777777" w:rsidR="00DA702B" w:rsidRPr="00DA702B" w:rsidRDefault="00DA702B" w:rsidP="00DA702B">
            <w:pPr>
              <w:rPr>
                <w:sz w:val="20"/>
                <w:szCs w:val="20"/>
              </w:rPr>
            </w:pPr>
          </w:p>
        </w:tc>
        <w:tc>
          <w:tcPr>
            <w:tcW w:w="1300" w:type="dxa"/>
          </w:tcPr>
          <w:p w14:paraId="4288E0D2" w14:textId="77777777" w:rsidR="00DA702B" w:rsidRPr="00DA702B" w:rsidRDefault="00DA702B" w:rsidP="00DA702B">
            <w:pPr>
              <w:rPr>
                <w:sz w:val="20"/>
                <w:szCs w:val="20"/>
              </w:rPr>
            </w:pPr>
          </w:p>
        </w:tc>
        <w:tc>
          <w:tcPr>
            <w:tcW w:w="1407" w:type="dxa"/>
          </w:tcPr>
          <w:p w14:paraId="18259F40" w14:textId="77777777" w:rsidR="00DA702B" w:rsidRPr="00DA702B" w:rsidRDefault="00DA702B" w:rsidP="00DA702B">
            <w:pPr>
              <w:rPr>
                <w:sz w:val="20"/>
                <w:szCs w:val="20"/>
              </w:rPr>
            </w:pPr>
          </w:p>
        </w:tc>
        <w:tc>
          <w:tcPr>
            <w:tcW w:w="1193" w:type="dxa"/>
          </w:tcPr>
          <w:p w14:paraId="765B0E3F" w14:textId="77777777" w:rsidR="00DA702B" w:rsidRPr="00DA702B" w:rsidRDefault="00DA702B" w:rsidP="00DA702B">
            <w:pPr>
              <w:rPr>
                <w:sz w:val="20"/>
                <w:szCs w:val="20"/>
              </w:rPr>
            </w:pPr>
          </w:p>
        </w:tc>
      </w:tr>
      <w:tr w:rsidR="00DA702B" w:rsidRPr="00DA702B" w14:paraId="7D24127B" w14:textId="77777777" w:rsidTr="00247007">
        <w:tc>
          <w:tcPr>
            <w:tcW w:w="1300" w:type="dxa"/>
          </w:tcPr>
          <w:p w14:paraId="60278B39" w14:textId="77777777" w:rsidR="00DA702B" w:rsidRPr="00DA702B" w:rsidRDefault="00DA702B" w:rsidP="00DA702B">
            <w:pPr>
              <w:rPr>
                <w:sz w:val="20"/>
                <w:szCs w:val="20"/>
              </w:rPr>
            </w:pPr>
          </w:p>
        </w:tc>
        <w:tc>
          <w:tcPr>
            <w:tcW w:w="1299" w:type="dxa"/>
          </w:tcPr>
          <w:p w14:paraId="6814E185" w14:textId="77777777" w:rsidR="00DA702B" w:rsidRPr="00DA702B" w:rsidRDefault="00DA702B" w:rsidP="00DA702B">
            <w:pPr>
              <w:rPr>
                <w:sz w:val="20"/>
                <w:szCs w:val="20"/>
              </w:rPr>
            </w:pPr>
          </w:p>
        </w:tc>
        <w:tc>
          <w:tcPr>
            <w:tcW w:w="1299" w:type="dxa"/>
          </w:tcPr>
          <w:p w14:paraId="041CA707" w14:textId="77777777" w:rsidR="00DA702B" w:rsidRPr="00DA702B" w:rsidRDefault="00DA702B" w:rsidP="00DA702B">
            <w:pPr>
              <w:rPr>
                <w:sz w:val="20"/>
                <w:szCs w:val="20"/>
              </w:rPr>
            </w:pPr>
          </w:p>
        </w:tc>
        <w:tc>
          <w:tcPr>
            <w:tcW w:w="1001" w:type="dxa"/>
          </w:tcPr>
          <w:p w14:paraId="5A4066BF" w14:textId="77777777" w:rsidR="00DA702B" w:rsidRPr="00DA702B" w:rsidRDefault="00DA702B" w:rsidP="00DA702B">
            <w:pPr>
              <w:rPr>
                <w:sz w:val="20"/>
                <w:szCs w:val="20"/>
              </w:rPr>
            </w:pPr>
          </w:p>
        </w:tc>
        <w:tc>
          <w:tcPr>
            <w:tcW w:w="1001" w:type="dxa"/>
          </w:tcPr>
          <w:p w14:paraId="73B297DB" w14:textId="77777777" w:rsidR="00DA702B" w:rsidRPr="00DA702B" w:rsidRDefault="00DA702B" w:rsidP="00DA702B">
            <w:pPr>
              <w:rPr>
                <w:sz w:val="20"/>
                <w:szCs w:val="20"/>
              </w:rPr>
            </w:pPr>
          </w:p>
        </w:tc>
        <w:tc>
          <w:tcPr>
            <w:tcW w:w="1001" w:type="dxa"/>
          </w:tcPr>
          <w:p w14:paraId="2578B109" w14:textId="77777777" w:rsidR="00DA702B" w:rsidRPr="00DA702B" w:rsidRDefault="00DA702B" w:rsidP="00DA702B">
            <w:pPr>
              <w:rPr>
                <w:sz w:val="20"/>
                <w:szCs w:val="20"/>
              </w:rPr>
            </w:pPr>
          </w:p>
        </w:tc>
        <w:tc>
          <w:tcPr>
            <w:tcW w:w="1001" w:type="dxa"/>
          </w:tcPr>
          <w:p w14:paraId="222C5F24" w14:textId="77777777" w:rsidR="00DA702B" w:rsidRPr="00DA702B" w:rsidRDefault="00DA702B" w:rsidP="00DA702B">
            <w:pPr>
              <w:rPr>
                <w:sz w:val="20"/>
                <w:szCs w:val="20"/>
              </w:rPr>
            </w:pPr>
          </w:p>
        </w:tc>
        <w:tc>
          <w:tcPr>
            <w:tcW w:w="1299" w:type="dxa"/>
          </w:tcPr>
          <w:p w14:paraId="1B4ABCC0" w14:textId="77777777" w:rsidR="00DA702B" w:rsidRPr="00DA702B" w:rsidRDefault="00DA702B" w:rsidP="00DA702B">
            <w:pPr>
              <w:rPr>
                <w:sz w:val="20"/>
                <w:szCs w:val="20"/>
              </w:rPr>
            </w:pPr>
          </w:p>
        </w:tc>
        <w:tc>
          <w:tcPr>
            <w:tcW w:w="1299" w:type="dxa"/>
          </w:tcPr>
          <w:p w14:paraId="1D37CEF8" w14:textId="77777777" w:rsidR="00DA702B" w:rsidRPr="00DA702B" w:rsidRDefault="00DA702B" w:rsidP="00DA702B">
            <w:pPr>
              <w:rPr>
                <w:sz w:val="20"/>
                <w:szCs w:val="20"/>
              </w:rPr>
            </w:pPr>
          </w:p>
        </w:tc>
        <w:tc>
          <w:tcPr>
            <w:tcW w:w="1300" w:type="dxa"/>
          </w:tcPr>
          <w:p w14:paraId="010BC2EF" w14:textId="77777777" w:rsidR="00DA702B" w:rsidRPr="00DA702B" w:rsidRDefault="00DA702B" w:rsidP="00DA702B">
            <w:pPr>
              <w:rPr>
                <w:sz w:val="20"/>
                <w:szCs w:val="20"/>
              </w:rPr>
            </w:pPr>
          </w:p>
        </w:tc>
        <w:tc>
          <w:tcPr>
            <w:tcW w:w="1407" w:type="dxa"/>
          </w:tcPr>
          <w:p w14:paraId="3B41FF33" w14:textId="77777777" w:rsidR="00DA702B" w:rsidRPr="00DA702B" w:rsidRDefault="00DA702B" w:rsidP="00DA702B">
            <w:pPr>
              <w:rPr>
                <w:sz w:val="20"/>
                <w:szCs w:val="20"/>
              </w:rPr>
            </w:pPr>
          </w:p>
        </w:tc>
        <w:tc>
          <w:tcPr>
            <w:tcW w:w="1193" w:type="dxa"/>
          </w:tcPr>
          <w:p w14:paraId="6DE82017" w14:textId="77777777" w:rsidR="00DA702B" w:rsidRPr="00DA702B" w:rsidRDefault="00DA702B" w:rsidP="00DA702B">
            <w:pPr>
              <w:rPr>
                <w:sz w:val="20"/>
                <w:szCs w:val="20"/>
              </w:rPr>
            </w:pPr>
          </w:p>
        </w:tc>
      </w:tr>
      <w:tr w:rsidR="00DA702B" w:rsidRPr="00DA702B" w14:paraId="4F5F92AC" w14:textId="77777777" w:rsidTr="00247007">
        <w:tc>
          <w:tcPr>
            <w:tcW w:w="1300" w:type="dxa"/>
          </w:tcPr>
          <w:p w14:paraId="6BE5E9E6" w14:textId="77777777" w:rsidR="00DA702B" w:rsidRPr="00DA702B" w:rsidRDefault="00DA702B" w:rsidP="00DA702B">
            <w:pPr>
              <w:rPr>
                <w:sz w:val="20"/>
                <w:szCs w:val="20"/>
              </w:rPr>
            </w:pPr>
          </w:p>
        </w:tc>
        <w:tc>
          <w:tcPr>
            <w:tcW w:w="1299" w:type="dxa"/>
          </w:tcPr>
          <w:p w14:paraId="6E4B0813" w14:textId="77777777" w:rsidR="00DA702B" w:rsidRPr="00DA702B" w:rsidRDefault="00DA702B" w:rsidP="00DA702B">
            <w:pPr>
              <w:rPr>
                <w:sz w:val="20"/>
                <w:szCs w:val="20"/>
              </w:rPr>
            </w:pPr>
          </w:p>
        </w:tc>
        <w:tc>
          <w:tcPr>
            <w:tcW w:w="1299" w:type="dxa"/>
          </w:tcPr>
          <w:p w14:paraId="4F81B3EB" w14:textId="77777777" w:rsidR="00DA702B" w:rsidRPr="00DA702B" w:rsidRDefault="00DA702B" w:rsidP="00DA702B">
            <w:pPr>
              <w:rPr>
                <w:sz w:val="20"/>
                <w:szCs w:val="20"/>
              </w:rPr>
            </w:pPr>
          </w:p>
        </w:tc>
        <w:tc>
          <w:tcPr>
            <w:tcW w:w="1001" w:type="dxa"/>
          </w:tcPr>
          <w:p w14:paraId="3DE01151" w14:textId="77777777" w:rsidR="00DA702B" w:rsidRPr="00DA702B" w:rsidRDefault="00DA702B" w:rsidP="00DA702B">
            <w:pPr>
              <w:rPr>
                <w:sz w:val="20"/>
                <w:szCs w:val="20"/>
              </w:rPr>
            </w:pPr>
          </w:p>
        </w:tc>
        <w:tc>
          <w:tcPr>
            <w:tcW w:w="1001" w:type="dxa"/>
          </w:tcPr>
          <w:p w14:paraId="58052D30" w14:textId="77777777" w:rsidR="00DA702B" w:rsidRPr="00DA702B" w:rsidRDefault="00DA702B" w:rsidP="00DA702B">
            <w:pPr>
              <w:rPr>
                <w:sz w:val="20"/>
                <w:szCs w:val="20"/>
              </w:rPr>
            </w:pPr>
          </w:p>
        </w:tc>
        <w:tc>
          <w:tcPr>
            <w:tcW w:w="1001" w:type="dxa"/>
          </w:tcPr>
          <w:p w14:paraId="59A35F54" w14:textId="77777777" w:rsidR="00DA702B" w:rsidRPr="00DA702B" w:rsidRDefault="00DA702B" w:rsidP="00DA702B">
            <w:pPr>
              <w:rPr>
                <w:sz w:val="20"/>
                <w:szCs w:val="20"/>
              </w:rPr>
            </w:pPr>
          </w:p>
        </w:tc>
        <w:tc>
          <w:tcPr>
            <w:tcW w:w="1001" w:type="dxa"/>
          </w:tcPr>
          <w:p w14:paraId="6B8D11FF" w14:textId="77777777" w:rsidR="00DA702B" w:rsidRPr="00DA702B" w:rsidRDefault="00DA702B" w:rsidP="00DA702B">
            <w:pPr>
              <w:rPr>
                <w:sz w:val="20"/>
                <w:szCs w:val="20"/>
              </w:rPr>
            </w:pPr>
          </w:p>
        </w:tc>
        <w:tc>
          <w:tcPr>
            <w:tcW w:w="1299" w:type="dxa"/>
          </w:tcPr>
          <w:p w14:paraId="1DF866D7" w14:textId="77777777" w:rsidR="00DA702B" w:rsidRPr="00DA702B" w:rsidRDefault="00DA702B" w:rsidP="00DA702B">
            <w:pPr>
              <w:rPr>
                <w:sz w:val="20"/>
                <w:szCs w:val="20"/>
              </w:rPr>
            </w:pPr>
          </w:p>
        </w:tc>
        <w:tc>
          <w:tcPr>
            <w:tcW w:w="1299" w:type="dxa"/>
          </w:tcPr>
          <w:p w14:paraId="5D8DFBAD" w14:textId="77777777" w:rsidR="00DA702B" w:rsidRPr="00DA702B" w:rsidRDefault="00DA702B" w:rsidP="00DA702B">
            <w:pPr>
              <w:rPr>
                <w:sz w:val="20"/>
                <w:szCs w:val="20"/>
              </w:rPr>
            </w:pPr>
          </w:p>
        </w:tc>
        <w:tc>
          <w:tcPr>
            <w:tcW w:w="1300" w:type="dxa"/>
          </w:tcPr>
          <w:p w14:paraId="2AFD172E" w14:textId="77777777" w:rsidR="00DA702B" w:rsidRPr="00DA702B" w:rsidRDefault="00DA702B" w:rsidP="00DA702B">
            <w:pPr>
              <w:rPr>
                <w:sz w:val="20"/>
                <w:szCs w:val="20"/>
              </w:rPr>
            </w:pPr>
          </w:p>
        </w:tc>
        <w:tc>
          <w:tcPr>
            <w:tcW w:w="1407" w:type="dxa"/>
          </w:tcPr>
          <w:p w14:paraId="4A6F18CD" w14:textId="77777777" w:rsidR="00DA702B" w:rsidRPr="00DA702B" w:rsidRDefault="00DA702B" w:rsidP="00DA702B">
            <w:pPr>
              <w:rPr>
                <w:sz w:val="20"/>
                <w:szCs w:val="20"/>
              </w:rPr>
            </w:pPr>
          </w:p>
        </w:tc>
        <w:tc>
          <w:tcPr>
            <w:tcW w:w="1193" w:type="dxa"/>
          </w:tcPr>
          <w:p w14:paraId="23174931" w14:textId="77777777" w:rsidR="00DA702B" w:rsidRPr="00DA702B" w:rsidRDefault="00DA702B" w:rsidP="00DA702B">
            <w:pPr>
              <w:rPr>
                <w:sz w:val="20"/>
                <w:szCs w:val="20"/>
              </w:rPr>
            </w:pPr>
          </w:p>
        </w:tc>
      </w:tr>
      <w:tr w:rsidR="00DA702B" w:rsidRPr="00DA702B" w14:paraId="760FC387" w14:textId="77777777" w:rsidTr="00247007">
        <w:tc>
          <w:tcPr>
            <w:tcW w:w="1300" w:type="dxa"/>
          </w:tcPr>
          <w:p w14:paraId="208AC154" w14:textId="77777777" w:rsidR="00DA702B" w:rsidRPr="00DA702B" w:rsidRDefault="00DA702B" w:rsidP="00DA702B">
            <w:pPr>
              <w:rPr>
                <w:sz w:val="20"/>
                <w:szCs w:val="20"/>
              </w:rPr>
            </w:pPr>
          </w:p>
        </w:tc>
        <w:tc>
          <w:tcPr>
            <w:tcW w:w="1299" w:type="dxa"/>
          </w:tcPr>
          <w:p w14:paraId="06277C20" w14:textId="77777777" w:rsidR="00DA702B" w:rsidRPr="00DA702B" w:rsidRDefault="00DA702B" w:rsidP="00DA702B">
            <w:pPr>
              <w:rPr>
                <w:sz w:val="20"/>
                <w:szCs w:val="20"/>
              </w:rPr>
            </w:pPr>
          </w:p>
        </w:tc>
        <w:tc>
          <w:tcPr>
            <w:tcW w:w="1299" w:type="dxa"/>
          </w:tcPr>
          <w:p w14:paraId="33D18B7A" w14:textId="77777777" w:rsidR="00DA702B" w:rsidRPr="00DA702B" w:rsidRDefault="00DA702B" w:rsidP="00DA702B">
            <w:pPr>
              <w:rPr>
                <w:sz w:val="20"/>
                <w:szCs w:val="20"/>
              </w:rPr>
            </w:pPr>
          </w:p>
        </w:tc>
        <w:tc>
          <w:tcPr>
            <w:tcW w:w="1001" w:type="dxa"/>
          </w:tcPr>
          <w:p w14:paraId="08E09579" w14:textId="77777777" w:rsidR="00DA702B" w:rsidRPr="00DA702B" w:rsidRDefault="00DA702B" w:rsidP="00DA702B">
            <w:pPr>
              <w:rPr>
                <w:sz w:val="20"/>
                <w:szCs w:val="20"/>
              </w:rPr>
            </w:pPr>
          </w:p>
        </w:tc>
        <w:tc>
          <w:tcPr>
            <w:tcW w:w="1001" w:type="dxa"/>
          </w:tcPr>
          <w:p w14:paraId="2AD307BE" w14:textId="77777777" w:rsidR="00DA702B" w:rsidRPr="00DA702B" w:rsidRDefault="00DA702B" w:rsidP="00DA702B">
            <w:pPr>
              <w:rPr>
                <w:sz w:val="20"/>
                <w:szCs w:val="20"/>
              </w:rPr>
            </w:pPr>
          </w:p>
        </w:tc>
        <w:tc>
          <w:tcPr>
            <w:tcW w:w="1001" w:type="dxa"/>
          </w:tcPr>
          <w:p w14:paraId="7CDCD41E" w14:textId="77777777" w:rsidR="00DA702B" w:rsidRPr="00DA702B" w:rsidRDefault="00DA702B" w:rsidP="00DA702B">
            <w:pPr>
              <w:rPr>
                <w:sz w:val="20"/>
                <w:szCs w:val="20"/>
              </w:rPr>
            </w:pPr>
          </w:p>
        </w:tc>
        <w:tc>
          <w:tcPr>
            <w:tcW w:w="1001" w:type="dxa"/>
          </w:tcPr>
          <w:p w14:paraId="3EC289C5" w14:textId="77777777" w:rsidR="00DA702B" w:rsidRPr="00DA702B" w:rsidRDefault="00DA702B" w:rsidP="00DA702B">
            <w:pPr>
              <w:rPr>
                <w:sz w:val="20"/>
                <w:szCs w:val="20"/>
              </w:rPr>
            </w:pPr>
          </w:p>
        </w:tc>
        <w:tc>
          <w:tcPr>
            <w:tcW w:w="1299" w:type="dxa"/>
          </w:tcPr>
          <w:p w14:paraId="482C229B" w14:textId="77777777" w:rsidR="00DA702B" w:rsidRPr="00DA702B" w:rsidRDefault="00DA702B" w:rsidP="00DA702B">
            <w:pPr>
              <w:rPr>
                <w:sz w:val="20"/>
                <w:szCs w:val="20"/>
              </w:rPr>
            </w:pPr>
          </w:p>
        </w:tc>
        <w:tc>
          <w:tcPr>
            <w:tcW w:w="1299" w:type="dxa"/>
          </w:tcPr>
          <w:p w14:paraId="60387E8E" w14:textId="77777777" w:rsidR="00DA702B" w:rsidRPr="00DA702B" w:rsidRDefault="00DA702B" w:rsidP="00DA702B">
            <w:pPr>
              <w:rPr>
                <w:sz w:val="20"/>
                <w:szCs w:val="20"/>
              </w:rPr>
            </w:pPr>
          </w:p>
        </w:tc>
        <w:tc>
          <w:tcPr>
            <w:tcW w:w="1300" w:type="dxa"/>
          </w:tcPr>
          <w:p w14:paraId="725BFD27" w14:textId="77777777" w:rsidR="00DA702B" w:rsidRPr="00DA702B" w:rsidRDefault="00DA702B" w:rsidP="00DA702B">
            <w:pPr>
              <w:rPr>
                <w:sz w:val="20"/>
                <w:szCs w:val="20"/>
              </w:rPr>
            </w:pPr>
          </w:p>
        </w:tc>
        <w:tc>
          <w:tcPr>
            <w:tcW w:w="1407" w:type="dxa"/>
          </w:tcPr>
          <w:p w14:paraId="4E0BACC4" w14:textId="77777777" w:rsidR="00DA702B" w:rsidRPr="00DA702B" w:rsidRDefault="00DA702B" w:rsidP="00DA702B">
            <w:pPr>
              <w:rPr>
                <w:sz w:val="20"/>
                <w:szCs w:val="20"/>
              </w:rPr>
            </w:pPr>
          </w:p>
        </w:tc>
        <w:tc>
          <w:tcPr>
            <w:tcW w:w="1193" w:type="dxa"/>
          </w:tcPr>
          <w:p w14:paraId="30EFAEC0" w14:textId="77777777" w:rsidR="00DA702B" w:rsidRPr="00DA702B" w:rsidRDefault="00DA702B" w:rsidP="00DA702B">
            <w:pPr>
              <w:rPr>
                <w:sz w:val="20"/>
                <w:szCs w:val="20"/>
              </w:rPr>
            </w:pPr>
          </w:p>
        </w:tc>
      </w:tr>
      <w:tr w:rsidR="00DA702B" w:rsidRPr="00DA702B" w14:paraId="59B68753" w14:textId="77777777" w:rsidTr="00247007">
        <w:tc>
          <w:tcPr>
            <w:tcW w:w="1300" w:type="dxa"/>
          </w:tcPr>
          <w:p w14:paraId="55CD12B2" w14:textId="77777777" w:rsidR="00DA702B" w:rsidRPr="00DA702B" w:rsidRDefault="00DA702B" w:rsidP="00DA702B">
            <w:pPr>
              <w:rPr>
                <w:sz w:val="20"/>
                <w:szCs w:val="20"/>
              </w:rPr>
            </w:pPr>
          </w:p>
        </w:tc>
        <w:tc>
          <w:tcPr>
            <w:tcW w:w="1299" w:type="dxa"/>
          </w:tcPr>
          <w:p w14:paraId="37530BDC" w14:textId="77777777" w:rsidR="00DA702B" w:rsidRPr="00DA702B" w:rsidRDefault="00DA702B" w:rsidP="00DA702B">
            <w:pPr>
              <w:rPr>
                <w:sz w:val="20"/>
                <w:szCs w:val="20"/>
              </w:rPr>
            </w:pPr>
          </w:p>
        </w:tc>
        <w:tc>
          <w:tcPr>
            <w:tcW w:w="1299" w:type="dxa"/>
          </w:tcPr>
          <w:p w14:paraId="07FABE8F" w14:textId="77777777" w:rsidR="00DA702B" w:rsidRPr="00DA702B" w:rsidRDefault="00DA702B" w:rsidP="00DA702B">
            <w:pPr>
              <w:rPr>
                <w:sz w:val="20"/>
                <w:szCs w:val="20"/>
              </w:rPr>
            </w:pPr>
          </w:p>
        </w:tc>
        <w:tc>
          <w:tcPr>
            <w:tcW w:w="1001" w:type="dxa"/>
          </w:tcPr>
          <w:p w14:paraId="396D19F0" w14:textId="77777777" w:rsidR="00DA702B" w:rsidRPr="00DA702B" w:rsidRDefault="00DA702B" w:rsidP="00DA702B">
            <w:pPr>
              <w:rPr>
                <w:sz w:val="20"/>
                <w:szCs w:val="20"/>
              </w:rPr>
            </w:pPr>
          </w:p>
        </w:tc>
        <w:tc>
          <w:tcPr>
            <w:tcW w:w="1001" w:type="dxa"/>
          </w:tcPr>
          <w:p w14:paraId="2988E98D" w14:textId="77777777" w:rsidR="00DA702B" w:rsidRPr="00DA702B" w:rsidRDefault="00DA702B" w:rsidP="00DA702B">
            <w:pPr>
              <w:rPr>
                <w:sz w:val="20"/>
                <w:szCs w:val="20"/>
              </w:rPr>
            </w:pPr>
          </w:p>
        </w:tc>
        <w:tc>
          <w:tcPr>
            <w:tcW w:w="1001" w:type="dxa"/>
          </w:tcPr>
          <w:p w14:paraId="04748624" w14:textId="77777777" w:rsidR="00DA702B" w:rsidRPr="00DA702B" w:rsidRDefault="00DA702B" w:rsidP="00DA702B">
            <w:pPr>
              <w:rPr>
                <w:sz w:val="20"/>
                <w:szCs w:val="20"/>
              </w:rPr>
            </w:pPr>
          </w:p>
        </w:tc>
        <w:tc>
          <w:tcPr>
            <w:tcW w:w="1001" w:type="dxa"/>
          </w:tcPr>
          <w:p w14:paraId="054AC43C" w14:textId="77777777" w:rsidR="00DA702B" w:rsidRPr="00DA702B" w:rsidRDefault="00DA702B" w:rsidP="00DA702B">
            <w:pPr>
              <w:rPr>
                <w:sz w:val="20"/>
                <w:szCs w:val="20"/>
              </w:rPr>
            </w:pPr>
          </w:p>
        </w:tc>
        <w:tc>
          <w:tcPr>
            <w:tcW w:w="1299" w:type="dxa"/>
          </w:tcPr>
          <w:p w14:paraId="2056EB45" w14:textId="77777777" w:rsidR="00DA702B" w:rsidRPr="00DA702B" w:rsidRDefault="00DA702B" w:rsidP="00DA702B">
            <w:pPr>
              <w:rPr>
                <w:sz w:val="20"/>
                <w:szCs w:val="20"/>
              </w:rPr>
            </w:pPr>
          </w:p>
        </w:tc>
        <w:tc>
          <w:tcPr>
            <w:tcW w:w="1299" w:type="dxa"/>
          </w:tcPr>
          <w:p w14:paraId="418C75C1" w14:textId="77777777" w:rsidR="00DA702B" w:rsidRPr="00DA702B" w:rsidRDefault="00DA702B" w:rsidP="00DA702B">
            <w:pPr>
              <w:rPr>
                <w:sz w:val="20"/>
                <w:szCs w:val="20"/>
              </w:rPr>
            </w:pPr>
          </w:p>
        </w:tc>
        <w:tc>
          <w:tcPr>
            <w:tcW w:w="1300" w:type="dxa"/>
          </w:tcPr>
          <w:p w14:paraId="448E5616" w14:textId="77777777" w:rsidR="00DA702B" w:rsidRPr="00DA702B" w:rsidRDefault="00DA702B" w:rsidP="00DA702B">
            <w:pPr>
              <w:rPr>
                <w:sz w:val="20"/>
                <w:szCs w:val="20"/>
              </w:rPr>
            </w:pPr>
          </w:p>
        </w:tc>
        <w:tc>
          <w:tcPr>
            <w:tcW w:w="1407" w:type="dxa"/>
          </w:tcPr>
          <w:p w14:paraId="23897631" w14:textId="77777777" w:rsidR="00DA702B" w:rsidRPr="00DA702B" w:rsidRDefault="00DA702B" w:rsidP="00DA702B">
            <w:pPr>
              <w:rPr>
                <w:sz w:val="20"/>
                <w:szCs w:val="20"/>
              </w:rPr>
            </w:pPr>
          </w:p>
        </w:tc>
        <w:tc>
          <w:tcPr>
            <w:tcW w:w="1193" w:type="dxa"/>
          </w:tcPr>
          <w:p w14:paraId="6B87F45D" w14:textId="77777777" w:rsidR="00DA702B" w:rsidRPr="00DA702B" w:rsidRDefault="00DA702B" w:rsidP="00DA702B">
            <w:pPr>
              <w:rPr>
                <w:sz w:val="20"/>
                <w:szCs w:val="20"/>
              </w:rPr>
            </w:pPr>
          </w:p>
        </w:tc>
      </w:tr>
      <w:tr w:rsidR="00DA702B" w:rsidRPr="00DA702B" w14:paraId="364C3003" w14:textId="77777777" w:rsidTr="00247007">
        <w:tc>
          <w:tcPr>
            <w:tcW w:w="1300" w:type="dxa"/>
          </w:tcPr>
          <w:p w14:paraId="4A725896" w14:textId="77777777" w:rsidR="00DA702B" w:rsidRPr="00DA702B" w:rsidRDefault="00DA702B" w:rsidP="00DA702B">
            <w:pPr>
              <w:rPr>
                <w:sz w:val="20"/>
                <w:szCs w:val="20"/>
              </w:rPr>
            </w:pPr>
          </w:p>
        </w:tc>
        <w:tc>
          <w:tcPr>
            <w:tcW w:w="1299" w:type="dxa"/>
          </w:tcPr>
          <w:p w14:paraId="1FBD5FBD" w14:textId="77777777" w:rsidR="00DA702B" w:rsidRPr="00DA702B" w:rsidRDefault="00DA702B" w:rsidP="00DA702B">
            <w:pPr>
              <w:rPr>
                <w:sz w:val="20"/>
                <w:szCs w:val="20"/>
              </w:rPr>
            </w:pPr>
          </w:p>
        </w:tc>
        <w:tc>
          <w:tcPr>
            <w:tcW w:w="1299" w:type="dxa"/>
          </w:tcPr>
          <w:p w14:paraId="3F0EA90E" w14:textId="77777777" w:rsidR="00DA702B" w:rsidRPr="00DA702B" w:rsidRDefault="00DA702B" w:rsidP="00DA702B">
            <w:pPr>
              <w:rPr>
                <w:sz w:val="20"/>
                <w:szCs w:val="20"/>
              </w:rPr>
            </w:pPr>
          </w:p>
        </w:tc>
        <w:tc>
          <w:tcPr>
            <w:tcW w:w="1001" w:type="dxa"/>
          </w:tcPr>
          <w:p w14:paraId="30785E4C" w14:textId="77777777" w:rsidR="00DA702B" w:rsidRPr="00DA702B" w:rsidRDefault="00DA702B" w:rsidP="00DA702B">
            <w:pPr>
              <w:rPr>
                <w:sz w:val="20"/>
                <w:szCs w:val="20"/>
              </w:rPr>
            </w:pPr>
          </w:p>
        </w:tc>
        <w:tc>
          <w:tcPr>
            <w:tcW w:w="1001" w:type="dxa"/>
          </w:tcPr>
          <w:p w14:paraId="14C645C8" w14:textId="77777777" w:rsidR="00DA702B" w:rsidRPr="00DA702B" w:rsidRDefault="00DA702B" w:rsidP="00DA702B">
            <w:pPr>
              <w:rPr>
                <w:sz w:val="20"/>
                <w:szCs w:val="20"/>
              </w:rPr>
            </w:pPr>
          </w:p>
        </w:tc>
        <w:tc>
          <w:tcPr>
            <w:tcW w:w="1001" w:type="dxa"/>
          </w:tcPr>
          <w:p w14:paraId="156FB7AA" w14:textId="77777777" w:rsidR="00DA702B" w:rsidRPr="00DA702B" w:rsidRDefault="00DA702B" w:rsidP="00DA702B">
            <w:pPr>
              <w:rPr>
                <w:sz w:val="20"/>
                <w:szCs w:val="20"/>
              </w:rPr>
            </w:pPr>
          </w:p>
        </w:tc>
        <w:tc>
          <w:tcPr>
            <w:tcW w:w="1001" w:type="dxa"/>
          </w:tcPr>
          <w:p w14:paraId="79E5BC76" w14:textId="77777777" w:rsidR="00DA702B" w:rsidRPr="00DA702B" w:rsidRDefault="00DA702B" w:rsidP="00DA702B">
            <w:pPr>
              <w:rPr>
                <w:sz w:val="20"/>
                <w:szCs w:val="20"/>
              </w:rPr>
            </w:pPr>
          </w:p>
        </w:tc>
        <w:tc>
          <w:tcPr>
            <w:tcW w:w="1299" w:type="dxa"/>
          </w:tcPr>
          <w:p w14:paraId="7D7BF48C" w14:textId="77777777" w:rsidR="00DA702B" w:rsidRPr="00DA702B" w:rsidRDefault="00DA702B" w:rsidP="00DA702B">
            <w:pPr>
              <w:rPr>
                <w:sz w:val="20"/>
                <w:szCs w:val="20"/>
              </w:rPr>
            </w:pPr>
          </w:p>
        </w:tc>
        <w:tc>
          <w:tcPr>
            <w:tcW w:w="1299" w:type="dxa"/>
          </w:tcPr>
          <w:p w14:paraId="17619E77" w14:textId="77777777" w:rsidR="00DA702B" w:rsidRPr="00DA702B" w:rsidRDefault="00DA702B" w:rsidP="00DA702B">
            <w:pPr>
              <w:rPr>
                <w:sz w:val="20"/>
                <w:szCs w:val="20"/>
              </w:rPr>
            </w:pPr>
          </w:p>
        </w:tc>
        <w:tc>
          <w:tcPr>
            <w:tcW w:w="1300" w:type="dxa"/>
          </w:tcPr>
          <w:p w14:paraId="1708FB99" w14:textId="77777777" w:rsidR="00DA702B" w:rsidRPr="00DA702B" w:rsidRDefault="00DA702B" w:rsidP="00DA702B">
            <w:pPr>
              <w:rPr>
                <w:sz w:val="20"/>
                <w:szCs w:val="20"/>
              </w:rPr>
            </w:pPr>
          </w:p>
        </w:tc>
        <w:tc>
          <w:tcPr>
            <w:tcW w:w="1407" w:type="dxa"/>
          </w:tcPr>
          <w:p w14:paraId="4EA8D12E" w14:textId="77777777" w:rsidR="00DA702B" w:rsidRPr="00DA702B" w:rsidRDefault="00DA702B" w:rsidP="00DA702B">
            <w:pPr>
              <w:rPr>
                <w:sz w:val="20"/>
                <w:szCs w:val="20"/>
              </w:rPr>
            </w:pPr>
          </w:p>
        </w:tc>
        <w:tc>
          <w:tcPr>
            <w:tcW w:w="1193" w:type="dxa"/>
          </w:tcPr>
          <w:p w14:paraId="3D6DBF2F" w14:textId="77777777" w:rsidR="00DA702B" w:rsidRPr="00DA702B" w:rsidRDefault="00DA702B" w:rsidP="00DA702B">
            <w:pPr>
              <w:rPr>
                <w:sz w:val="20"/>
                <w:szCs w:val="20"/>
              </w:rPr>
            </w:pPr>
          </w:p>
        </w:tc>
      </w:tr>
      <w:tr w:rsidR="00DA702B" w:rsidRPr="00DA702B" w14:paraId="4361E894" w14:textId="77777777" w:rsidTr="00247007">
        <w:tc>
          <w:tcPr>
            <w:tcW w:w="1300" w:type="dxa"/>
          </w:tcPr>
          <w:p w14:paraId="23DAB6F0" w14:textId="77777777" w:rsidR="00DA702B" w:rsidRPr="00DA702B" w:rsidRDefault="00DA702B" w:rsidP="00DA702B">
            <w:pPr>
              <w:rPr>
                <w:sz w:val="20"/>
                <w:szCs w:val="20"/>
              </w:rPr>
            </w:pPr>
          </w:p>
        </w:tc>
        <w:tc>
          <w:tcPr>
            <w:tcW w:w="1299" w:type="dxa"/>
          </w:tcPr>
          <w:p w14:paraId="18A8D27B" w14:textId="77777777" w:rsidR="00DA702B" w:rsidRPr="00DA702B" w:rsidRDefault="00DA702B" w:rsidP="00DA702B">
            <w:pPr>
              <w:rPr>
                <w:sz w:val="20"/>
                <w:szCs w:val="20"/>
              </w:rPr>
            </w:pPr>
          </w:p>
        </w:tc>
        <w:tc>
          <w:tcPr>
            <w:tcW w:w="1299" w:type="dxa"/>
          </w:tcPr>
          <w:p w14:paraId="1F9F827E" w14:textId="77777777" w:rsidR="00DA702B" w:rsidRPr="00DA702B" w:rsidRDefault="00DA702B" w:rsidP="00DA702B">
            <w:pPr>
              <w:rPr>
                <w:sz w:val="20"/>
                <w:szCs w:val="20"/>
              </w:rPr>
            </w:pPr>
          </w:p>
        </w:tc>
        <w:tc>
          <w:tcPr>
            <w:tcW w:w="1001" w:type="dxa"/>
          </w:tcPr>
          <w:p w14:paraId="455DCC07" w14:textId="77777777" w:rsidR="00DA702B" w:rsidRPr="00DA702B" w:rsidRDefault="00DA702B" w:rsidP="00DA702B">
            <w:pPr>
              <w:rPr>
                <w:sz w:val="20"/>
                <w:szCs w:val="20"/>
              </w:rPr>
            </w:pPr>
          </w:p>
        </w:tc>
        <w:tc>
          <w:tcPr>
            <w:tcW w:w="1001" w:type="dxa"/>
          </w:tcPr>
          <w:p w14:paraId="3A69017C" w14:textId="77777777" w:rsidR="00DA702B" w:rsidRPr="00DA702B" w:rsidRDefault="00DA702B" w:rsidP="00DA702B">
            <w:pPr>
              <w:rPr>
                <w:sz w:val="20"/>
                <w:szCs w:val="20"/>
              </w:rPr>
            </w:pPr>
          </w:p>
        </w:tc>
        <w:tc>
          <w:tcPr>
            <w:tcW w:w="1001" w:type="dxa"/>
          </w:tcPr>
          <w:p w14:paraId="696ABCD3" w14:textId="77777777" w:rsidR="00DA702B" w:rsidRPr="00DA702B" w:rsidRDefault="00DA702B" w:rsidP="00DA702B">
            <w:pPr>
              <w:rPr>
                <w:sz w:val="20"/>
                <w:szCs w:val="20"/>
              </w:rPr>
            </w:pPr>
          </w:p>
        </w:tc>
        <w:tc>
          <w:tcPr>
            <w:tcW w:w="1001" w:type="dxa"/>
          </w:tcPr>
          <w:p w14:paraId="3EDACF22" w14:textId="77777777" w:rsidR="00DA702B" w:rsidRPr="00DA702B" w:rsidRDefault="00DA702B" w:rsidP="00DA702B">
            <w:pPr>
              <w:rPr>
                <w:sz w:val="20"/>
                <w:szCs w:val="20"/>
              </w:rPr>
            </w:pPr>
          </w:p>
        </w:tc>
        <w:tc>
          <w:tcPr>
            <w:tcW w:w="1299" w:type="dxa"/>
          </w:tcPr>
          <w:p w14:paraId="6B491514" w14:textId="77777777" w:rsidR="00DA702B" w:rsidRPr="00DA702B" w:rsidRDefault="00DA702B" w:rsidP="00DA702B">
            <w:pPr>
              <w:rPr>
                <w:sz w:val="20"/>
                <w:szCs w:val="20"/>
              </w:rPr>
            </w:pPr>
          </w:p>
        </w:tc>
        <w:tc>
          <w:tcPr>
            <w:tcW w:w="1299" w:type="dxa"/>
          </w:tcPr>
          <w:p w14:paraId="6DBA9646" w14:textId="77777777" w:rsidR="00DA702B" w:rsidRPr="00DA702B" w:rsidRDefault="00DA702B" w:rsidP="00DA702B">
            <w:pPr>
              <w:rPr>
                <w:sz w:val="20"/>
                <w:szCs w:val="20"/>
              </w:rPr>
            </w:pPr>
          </w:p>
        </w:tc>
        <w:tc>
          <w:tcPr>
            <w:tcW w:w="1300" w:type="dxa"/>
          </w:tcPr>
          <w:p w14:paraId="2A23FEEE" w14:textId="77777777" w:rsidR="00DA702B" w:rsidRPr="00DA702B" w:rsidRDefault="00DA702B" w:rsidP="00DA702B">
            <w:pPr>
              <w:rPr>
                <w:sz w:val="20"/>
                <w:szCs w:val="20"/>
              </w:rPr>
            </w:pPr>
          </w:p>
        </w:tc>
        <w:tc>
          <w:tcPr>
            <w:tcW w:w="1407" w:type="dxa"/>
          </w:tcPr>
          <w:p w14:paraId="41F7C1E8" w14:textId="77777777" w:rsidR="00DA702B" w:rsidRPr="00DA702B" w:rsidRDefault="00DA702B" w:rsidP="00DA702B">
            <w:pPr>
              <w:rPr>
                <w:sz w:val="20"/>
                <w:szCs w:val="20"/>
              </w:rPr>
            </w:pPr>
          </w:p>
        </w:tc>
        <w:tc>
          <w:tcPr>
            <w:tcW w:w="1193" w:type="dxa"/>
          </w:tcPr>
          <w:p w14:paraId="58D6CC21" w14:textId="77777777" w:rsidR="00DA702B" w:rsidRPr="00DA702B" w:rsidRDefault="00DA702B" w:rsidP="00DA702B">
            <w:pPr>
              <w:rPr>
                <w:sz w:val="20"/>
                <w:szCs w:val="20"/>
              </w:rPr>
            </w:pPr>
          </w:p>
        </w:tc>
      </w:tr>
      <w:tr w:rsidR="00DA702B" w:rsidRPr="00DA702B" w14:paraId="152ECA00" w14:textId="77777777" w:rsidTr="00247007">
        <w:tc>
          <w:tcPr>
            <w:tcW w:w="1300" w:type="dxa"/>
          </w:tcPr>
          <w:p w14:paraId="1E244066" w14:textId="77777777" w:rsidR="00DA702B" w:rsidRPr="00DA702B" w:rsidRDefault="00DA702B" w:rsidP="00DA702B">
            <w:pPr>
              <w:rPr>
                <w:sz w:val="20"/>
                <w:szCs w:val="20"/>
              </w:rPr>
            </w:pPr>
          </w:p>
        </w:tc>
        <w:tc>
          <w:tcPr>
            <w:tcW w:w="1299" w:type="dxa"/>
          </w:tcPr>
          <w:p w14:paraId="6FC7393B" w14:textId="77777777" w:rsidR="00DA702B" w:rsidRPr="00DA702B" w:rsidRDefault="00DA702B" w:rsidP="00DA702B">
            <w:pPr>
              <w:rPr>
                <w:sz w:val="20"/>
                <w:szCs w:val="20"/>
              </w:rPr>
            </w:pPr>
          </w:p>
        </w:tc>
        <w:tc>
          <w:tcPr>
            <w:tcW w:w="1299" w:type="dxa"/>
          </w:tcPr>
          <w:p w14:paraId="48EB84C5" w14:textId="77777777" w:rsidR="00DA702B" w:rsidRPr="00DA702B" w:rsidRDefault="00DA702B" w:rsidP="00DA702B">
            <w:pPr>
              <w:rPr>
                <w:sz w:val="20"/>
                <w:szCs w:val="20"/>
              </w:rPr>
            </w:pPr>
          </w:p>
        </w:tc>
        <w:tc>
          <w:tcPr>
            <w:tcW w:w="1001" w:type="dxa"/>
          </w:tcPr>
          <w:p w14:paraId="0E51489E" w14:textId="77777777" w:rsidR="00DA702B" w:rsidRPr="00DA702B" w:rsidRDefault="00DA702B" w:rsidP="00DA702B">
            <w:pPr>
              <w:rPr>
                <w:sz w:val="20"/>
                <w:szCs w:val="20"/>
              </w:rPr>
            </w:pPr>
          </w:p>
        </w:tc>
        <w:tc>
          <w:tcPr>
            <w:tcW w:w="1001" w:type="dxa"/>
          </w:tcPr>
          <w:p w14:paraId="5F5BA113" w14:textId="77777777" w:rsidR="00DA702B" w:rsidRPr="00DA702B" w:rsidRDefault="00DA702B" w:rsidP="00DA702B">
            <w:pPr>
              <w:rPr>
                <w:sz w:val="20"/>
                <w:szCs w:val="20"/>
              </w:rPr>
            </w:pPr>
          </w:p>
        </w:tc>
        <w:tc>
          <w:tcPr>
            <w:tcW w:w="1001" w:type="dxa"/>
          </w:tcPr>
          <w:p w14:paraId="593F4146" w14:textId="77777777" w:rsidR="00DA702B" w:rsidRPr="00DA702B" w:rsidRDefault="00DA702B" w:rsidP="00DA702B">
            <w:pPr>
              <w:rPr>
                <w:sz w:val="20"/>
                <w:szCs w:val="20"/>
              </w:rPr>
            </w:pPr>
          </w:p>
        </w:tc>
        <w:tc>
          <w:tcPr>
            <w:tcW w:w="1001" w:type="dxa"/>
          </w:tcPr>
          <w:p w14:paraId="6AB7FF6E" w14:textId="77777777" w:rsidR="00DA702B" w:rsidRPr="00DA702B" w:rsidRDefault="00DA702B" w:rsidP="00DA702B">
            <w:pPr>
              <w:rPr>
                <w:sz w:val="20"/>
                <w:szCs w:val="20"/>
              </w:rPr>
            </w:pPr>
          </w:p>
        </w:tc>
        <w:tc>
          <w:tcPr>
            <w:tcW w:w="1299" w:type="dxa"/>
          </w:tcPr>
          <w:p w14:paraId="2FCF1978" w14:textId="77777777" w:rsidR="00DA702B" w:rsidRPr="00DA702B" w:rsidRDefault="00DA702B" w:rsidP="00DA702B">
            <w:pPr>
              <w:rPr>
                <w:sz w:val="20"/>
                <w:szCs w:val="20"/>
              </w:rPr>
            </w:pPr>
          </w:p>
        </w:tc>
        <w:tc>
          <w:tcPr>
            <w:tcW w:w="1299" w:type="dxa"/>
          </w:tcPr>
          <w:p w14:paraId="3710E9C2" w14:textId="77777777" w:rsidR="00DA702B" w:rsidRPr="00DA702B" w:rsidRDefault="00DA702B" w:rsidP="00DA702B">
            <w:pPr>
              <w:rPr>
                <w:sz w:val="20"/>
                <w:szCs w:val="20"/>
              </w:rPr>
            </w:pPr>
          </w:p>
        </w:tc>
        <w:tc>
          <w:tcPr>
            <w:tcW w:w="1300" w:type="dxa"/>
          </w:tcPr>
          <w:p w14:paraId="1EE4972A" w14:textId="77777777" w:rsidR="00DA702B" w:rsidRPr="00DA702B" w:rsidRDefault="00DA702B" w:rsidP="00DA702B">
            <w:pPr>
              <w:rPr>
                <w:sz w:val="20"/>
                <w:szCs w:val="20"/>
              </w:rPr>
            </w:pPr>
          </w:p>
        </w:tc>
        <w:tc>
          <w:tcPr>
            <w:tcW w:w="1407" w:type="dxa"/>
          </w:tcPr>
          <w:p w14:paraId="4287D803" w14:textId="77777777" w:rsidR="00DA702B" w:rsidRPr="00DA702B" w:rsidRDefault="00DA702B" w:rsidP="00DA702B">
            <w:pPr>
              <w:rPr>
                <w:sz w:val="20"/>
                <w:szCs w:val="20"/>
              </w:rPr>
            </w:pPr>
          </w:p>
        </w:tc>
        <w:tc>
          <w:tcPr>
            <w:tcW w:w="1193" w:type="dxa"/>
          </w:tcPr>
          <w:p w14:paraId="7076B5F1" w14:textId="77777777" w:rsidR="00DA702B" w:rsidRPr="00DA702B" w:rsidRDefault="00DA702B" w:rsidP="00DA702B">
            <w:pPr>
              <w:rPr>
                <w:sz w:val="20"/>
                <w:szCs w:val="20"/>
              </w:rPr>
            </w:pPr>
          </w:p>
        </w:tc>
      </w:tr>
      <w:tr w:rsidR="00DA702B" w:rsidRPr="00DA702B" w14:paraId="68920A81" w14:textId="77777777" w:rsidTr="00247007">
        <w:tc>
          <w:tcPr>
            <w:tcW w:w="1300" w:type="dxa"/>
          </w:tcPr>
          <w:p w14:paraId="3F0827C2" w14:textId="77777777" w:rsidR="00DA702B" w:rsidRPr="00DA702B" w:rsidRDefault="00DA702B" w:rsidP="00DA702B">
            <w:pPr>
              <w:rPr>
                <w:sz w:val="20"/>
                <w:szCs w:val="20"/>
              </w:rPr>
            </w:pPr>
          </w:p>
        </w:tc>
        <w:tc>
          <w:tcPr>
            <w:tcW w:w="1299" w:type="dxa"/>
          </w:tcPr>
          <w:p w14:paraId="36EA1B70" w14:textId="77777777" w:rsidR="00DA702B" w:rsidRPr="00DA702B" w:rsidRDefault="00DA702B" w:rsidP="00DA702B">
            <w:pPr>
              <w:rPr>
                <w:sz w:val="20"/>
                <w:szCs w:val="20"/>
              </w:rPr>
            </w:pPr>
          </w:p>
        </w:tc>
        <w:tc>
          <w:tcPr>
            <w:tcW w:w="1299" w:type="dxa"/>
          </w:tcPr>
          <w:p w14:paraId="4E2B68FC" w14:textId="77777777" w:rsidR="00DA702B" w:rsidRPr="00DA702B" w:rsidRDefault="00DA702B" w:rsidP="00DA702B">
            <w:pPr>
              <w:rPr>
                <w:sz w:val="20"/>
                <w:szCs w:val="20"/>
              </w:rPr>
            </w:pPr>
          </w:p>
        </w:tc>
        <w:tc>
          <w:tcPr>
            <w:tcW w:w="1001" w:type="dxa"/>
          </w:tcPr>
          <w:p w14:paraId="72676875" w14:textId="77777777" w:rsidR="00DA702B" w:rsidRPr="00DA702B" w:rsidRDefault="00DA702B" w:rsidP="00DA702B">
            <w:pPr>
              <w:rPr>
                <w:sz w:val="20"/>
                <w:szCs w:val="20"/>
              </w:rPr>
            </w:pPr>
          </w:p>
        </w:tc>
        <w:tc>
          <w:tcPr>
            <w:tcW w:w="1001" w:type="dxa"/>
          </w:tcPr>
          <w:p w14:paraId="041F3357" w14:textId="77777777" w:rsidR="00DA702B" w:rsidRPr="00DA702B" w:rsidRDefault="00DA702B" w:rsidP="00DA702B">
            <w:pPr>
              <w:rPr>
                <w:sz w:val="20"/>
                <w:szCs w:val="20"/>
              </w:rPr>
            </w:pPr>
          </w:p>
        </w:tc>
        <w:tc>
          <w:tcPr>
            <w:tcW w:w="1001" w:type="dxa"/>
          </w:tcPr>
          <w:p w14:paraId="3C013432" w14:textId="77777777" w:rsidR="00DA702B" w:rsidRPr="00DA702B" w:rsidRDefault="00DA702B" w:rsidP="00DA702B">
            <w:pPr>
              <w:rPr>
                <w:sz w:val="20"/>
                <w:szCs w:val="20"/>
              </w:rPr>
            </w:pPr>
          </w:p>
        </w:tc>
        <w:tc>
          <w:tcPr>
            <w:tcW w:w="1001" w:type="dxa"/>
          </w:tcPr>
          <w:p w14:paraId="153C46B9" w14:textId="77777777" w:rsidR="00DA702B" w:rsidRPr="00DA702B" w:rsidRDefault="00DA702B" w:rsidP="00DA702B">
            <w:pPr>
              <w:rPr>
                <w:sz w:val="20"/>
                <w:szCs w:val="20"/>
              </w:rPr>
            </w:pPr>
          </w:p>
        </w:tc>
        <w:tc>
          <w:tcPr>
            <w:tcW w:w="1299" w:type="dxa"/>
          </w:tcPr>
          <w:p w14:paraId="4471D18B" w14:textId="77777777" w:rsidR="00DA702B" w:rsidRPr="00DA702B" w:rsidRDefault="00DA702B" w:rsidP="00DA702B">
            <w:pPr>
              <w:rPr>
                <w:sz w:val="20"/>
                <w:szCs w:val="20"/>
              </w:rPr>
            </w:pPr>
          </w:p>
        </w:tc>
        <w:tc>
          <w:tcPr>
            <w:tcW w:w="1299" w:type="dxa"/>
          </w:tcPr>
          <w:p w14:paraId="5D808D06" w14:textId="77777777" w:rsidR="00DA702B" w:rsidRPr="00DA702B" w:rsidRDefault="00DA702B" w:rsidP="00DA702B">
            <w:pPr>
              <w:rPr>
                <w:sz w:val="20"/>
                <w:szCs w:val="20"/>
              </w:rPr>
            </w:pPr>
          </w:p>
        </w:tc>
        <w:tc>
          <w:tcPr>
            <w:tcW w:w="1300" w:type="dxa"/>
          </w:tcPr>
          <w:p w14:paraId="27AEFC9E" w14:textId="77777777" w:rsidR="00DA702B" w:rsidRPr="00DA702B" w:rsidRDefault="00DA702B" w:rsidP="00DA702B">
            <w:pPr>
              <w:rPr>
                <w:sz w:val="20"/>
                <w:szCs w:val="20"/>
              </w:rPr>
            </w:pPr>
          </w:p>
        </w:tc>
        <w:tc>
          <w:tcPr>
            <w:tcW w:w="1407" w:type="dxa"/>
          </w:tcPr>
          <w:p w14:paraId="7F1E0047" w14:textId="77777777" w:rsidR="00DA702B" w:rsidRPr="00DA702B" w:rsidRDefault="00DA702B" w:rsidP="00DA702B">
            <w:pPr>
              <w:rPr>
                <w:sz w:val="20"/>
                <w:szCs w:val="20"/>
              </w:rPr>
            </w:pPr>
          </w:p>
        </w:tc>
        <w:tc>
          <w:tcPr>
            <w:tcW w:w="1193" w:type="dxa"/>
          </w:tcPr>
          <w:p w14:paraId="3CFD9D8D" w14:textId="77777777" w:rsidR="00DA702B" w:rsidRPr="00DA702B" w:rsidRDefault="00DA702B" w:rsidP="00DA702B">
            <w:pPr>
              <w:rPr>
                <w:sz w:val="20"/>
                <w:szCs w:val="20"/>
              </w:rPr>
            </w:pPr>
          </w:p>
        </w:tc>
      </w:tr>
    </w:tbl>
    <w:p w14:paraId="45A9E05D" w14:textId="5FB546DC" w:rsidR="00120D6E" w:rsidRDefault="00120D6E" w:rsidP="00DA702B">
      <w:pPr>
        <w:rPr>
          <w:sz w:val="20"/>
          <w:szCs w:val="20"/>
        </w:rPr>
      </w:pPr>
      <w:r>
        <w:rPr>
          <w:sz w:val="20"/>
          <w:szCs w:val="20"/>
        </w:rPr>
        <w:br w:type="page"/>
      </w:r>
    </w:p>
    <w:p w14:paraId="0334697F" w14:textId="77777777" w:rsidR="00DA702B" w:rsidRPr="00DA702B" w:rsidRDefault="00DA702B" w:rsidP="00192273">
      <w:pPr>
        <w:widowControl w:val="0"/>
        <w:jc w:val="center"/>
        <w:rPr>
          <w:rFonts w:eastAsiaTheme="majorEastAsia"/>
          <w:b/>
          <w:bCs/>
        </w:rPr>
      </w:pPr>
      <w:r w:rsidRPr="00DA702B">
        <w:rPr>
          <w:rFonts w:eastAsiaTheme="majorEastAsia"/>
          <w:b/>
          <w:bCs/>
        </w:rPr>
        <w:lastRenderedPageBreak/>
        <w:t>Boiler/Steam Generator/Steam Generating Unit Attributes</w:t>
      </w:r>
    </w:p>
    <w:p w14:paraId="0CBFF1C6" w14:textId="77777777" w:rsidR="00DA702B" w:rsidRPr="00DA702B" w:rsidRDefault="00DA702B" w:rsidP="00192273">
      <w:pPr>
        <w:widowControl w:val="0"/>
        <w:jc w:val="center"/>
        <w:rPr>
          <w:rFonts w:eastAsiaTheme="majorEastAsia"/>
          <w:b/>
          <w:bCs/>
        </w:rPr>
      </w:pPr>
      <w:r w:rsidRPr="00DA702B">
        <w:rPr>
          <w:rFonts w:eastAsiaTheme="majorEastAsia"/>
          <w:b/>
          <w:bCs/>
        </w:rPr>
        <w:t>Form OP-UA6 (Page 4)</w:t>
      </w:r>
    </w:p>
    <w:p w14:paraId="3AAAFB18" w14:textId="77777777" w:rsidR="00DA702B" w:rsidRPr="00DA702B" w:rsidRDefault="00DA702B" w:rsidP="00192273">
      <w:pPr>
        <w:widowControl w:val="0"/>
        <w:jc w:val="center"/>
        <w:rPr>
          <w:rFonts w:eastAsiaTheme="majorEastAsia"/>
          <w:b/>
          <w:bCs/>
        </w:rPr>
      </w:pPr>
      <w:r w:rsidRPr="00DA702B">
        <w:rPr>
          <w:rFonts w:eastAsiaTheme="majorEastAsia"/>
          <w:b/>
          <w:bCs/>
        </w:rPr>
        <w:t>Federal Operating Permit Program</w:t>
      </w:r>
    </w:p>
    <w:p w14:paraId="4C6FA119" w14:textId="77777777" w:rsidR="00DA702B" w:rsidRPr="00DA702B" w:rsidRDefault="00DA702B" w:rsidP="00192273">
      <w:pPr>
        <w:widowControl w:val="0"/>
        <w:jc w:val="center"/>
        <w:rPr>
          <w:b/>
          <w:bCs/>
        </w:rPr>
      </w:pPr>
      <w:bookmarkStart w:id="166" w:name="TBL_2b"/>
      <w:r w:rsidRPr="00DA702B">
        <w:rPr>
          <w:b/>
          <w:bCs/>
        </w:rPr>
        <w:t>Table 2b</w:t>
      </w:r>
      <w:bookmarkEnd w:id="166"/>
      <w:r w:rsidRPr="00DA702B">
        <w:rPr>
          <w:b/>
          <w:bCs/>
        </w:rPr>
        <w:t>:  Title 40 Code of Federal Regulations Part 60 (40 CFR Part 60)</w:t>
      </w:r>
    </w:p>
    <w:p w14:paraId="71842162" w14:textId="77777777" w:rsidR="00DA702B" w:rsidRPr="00DA702B" w:rsidRDefault="00DA702B" w:rsidP="00192273">
      <w:pPr>
        <w:widowControl w:val="0"/>
        <w:jc w:val="center"/>
        <w:rPr>
          <w:b/>
          <w:bCs/>
        </w:rPr>
      </w:pPr>
      <w:r w:rsidRPr="00DA702B">
        <w:rPr>
          <w:b/>
          <w:bCs/>
        </w:rPr>
        <w:t>Subpart Da:  Standards of Performance for Electric Utility Steam Generating Units</w:t>
      </w:r>
    </w:p>
    <w:p w14:paraId="75019C9E" w14:textId="77777777" w:rsidR="00DA702B" w:rsidRPr="00DA702B" w:rsidRDefault="00DA702B" w:rsidP="00192273">
      <w:pPr>
        <w:widowControl w:val="0"/>
        <w:jc w:val="center"/>
        <w:rPr>
          <w:b/>
          <w:bCs/>
        </w:rPr>
      </w:pPr>
      <w:r w:rsidRPr="00DA702B">
        <w:rPr>
          <w:b/>
          <w:bCs/>
        </w:rPr>
        <w:t>Texas Commission on Environmental Quality</w:t>
      </w:r>
    </w:p>
    <w:p w14:paraId="59E24884" w14:textId="77777777" w:rsidR="00DA702B" w:rsidRPr="00DA702B" w:rsidRDefault="00DA702B" w:rsidP="00DA702B">
      <w:pPr>
        <w:spacing w:before="24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2b:  Title 40 Code of Federal Regulations Part 60 (40 CFR Part 60)&#10;Subpart Da:  Standards of Performance for Electric Utility Steam Generating Units&#10;"/>
      </w:tblPr>
      <w:tblGrid>
        <w:gridCol w:w="4800"/>
        <w:gridCol w:w="4800"/>
        <w:gridCol w:w="4800"/>
      </w:tblGrid>
      <w:tr w:rsidR="00DA702B" w:rsidRPr="00DA702B" w14:paraId="2078EB80" w14:textId="77777777" w:rsidTr="00247007">
        <w:trPr>
          <w:cantSplit/>
          <w:tblHeader/>
        </w:trPr>
        <w:tc>
          <w:tcPr>
            <w:tcW w:w="4800" w:type="dxa"/>
            <w:shd w:val="clear" w:color="auto" w:fill="D9D9D9" w:themeFill="background1" w:themeFillShade="D9"/>
          </w:tcPr>
          <w:p w14:paraId="5904D82D"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9E62997"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7DD64744"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55DC114B" w14:textId="77777777" w:rsidTr="00247007">
        <w:trPr>
          <w:cantSplit/>
          <w:tblHeader/>
        </w:trPr>
        <w:tc>
          <w:tcPr>
            <w:tcW w:w="4800" w:type="dxa"/>
          </w:tcPr>
          <w:p w14:paraId="59EF4146" w14:textId="77777777" w:rsidR="00DA702B" w:rsidRPr="00DA702B" w:rsidRDefault="00DA702B" w:rsidP="00DA702B">
            <w:pPr>
              <w:rPr>
                <w:rFonts w:asciiTheme="majorHAnsi" w:hAnsiTheme="majorHAnsi" w:cstheme="majorHAnsi"/>
              </w:rPr>
            </w:pPr>
          </w:p>
        </w:tc>
        <w:tc>
          <w:tcPr>
            <w:tcW w:w="4800" w:type="dxa"/>
          </w:tcPr>
          <w:p w14:paraId="4AA807F9" w14:textId="77777777" w:rsidR="00DA702B" w:rsidRPr="00DA702B" w:rsidRDefault="00DA702B" w:rsidP="00DA702B">
            <w:pPr>
              <w:rPr>
                <w:rFonts w:asciiTheme="majorHAnsi" w:hAnsiTheme="majorHAnsi" w:cstheme="majorHAnsi"/>
              </w:rPr>
            </w:pPr>
          </w:p>
        </w:tc>
        <w:tc>
          <w:tcPr>
            <w:tcW w:w="4800" w:type="dxa"/>
          </w:tcPr>
          <w:p w14:paraId="2B46CABA" w14:textId="77777777" w:rsidR="00DA702B" w:rsidRPr="00DA702B" w:rsidRDefault="00DA702B" w:rsidP="00DA702B">
            <w:pPr>
              <w:rPr>
                <w:rFonts w:asciiTheme="majorHAnsi" w:hAnsiTheme="majorHAnsi" w:cstheme="majorHAnsi"/>
              </w:rPr>
            </w:pPr>
          </w:p>
        </w:tc>
      </w:tr>
    </w:tbl>
    <w:p w14:paraId="76904E46"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2b:  Title 40 Code of Federal Regulations Part 60 (40 CFR Part 60)&#10;Subpart Da:  Standards of Performance for Electric Utility Steam Generating Units&#10;"/>
      </w:tblPr>
      <w:tblGrid>
        <w:gridCol w:w="1327"/>
        <w:gridCol w:w="1080"/>
        <w:gridCol w:w="1163"/>
        <w:gridCol w:w="1541"/>
        <w:gridCol w:w="896"/>
        <w:gridCol w:w="1530"/>
        <w:gridCol w:w="1170"/>
        <w:gridCol w:w="1170"/>
        <w:gridCol w:w="1192"/>
        <w:gridCol w:w="1418"/>
        <w:gridCol w:w="1080"/>
        <w:gridCol w:w="833"/>
      </w:tblGrid>
      <w:tr w:rsidR="00DA702B" w:rsidRPr="00DA702B" w14:paraId="09FF0154" w14:textId="77777777" w:rsidTr="00247007">
        <w:trPr>
          <w:cantSplit/>
          <w:tblHeader/>
        </w:trPr>
        <w:tc>
          <w:tcPr>
            <w:tcW w:w="1327" w:type="dxa"/>
            <w:shd w:val="clear" w:color="auto" w:fill="D9D9D9" w:themeFill="background1" w:themeFillShade="D9"/>
            <w:vAlign w:val="bottom"/>
          </w:tcPr>
          <w:p w14:paraId="1917C014" w14:textId="77777777" w:rsidR="00DA702B" w:rsidRPr="00DA702B" w:rsidRDefault="00DA702B" w:rsidP="00DA702B">
            <w:pPr>
              <w:jc w:val="center"/>
              <w:rPr>
                <w:b/>
                <w:sz w:val="20"/>
                <w:szCs w:val="20"/>
              </w:rPr>
            </w:pPr>
            <w:r w:rsidRPr="00DA702B">
              <w:rPr>
                <w:b/>
                <w:sz w:val="20"/>
                <w:szCs w:val="20"/>
              </w:rPr>
              <w:t>Unit</w:t>
            </w:r>
          </w:p>
          <w:p w14:paraId="3F30816D" w14:textId="77777777" w:rsidR="00DA702B" w:rsidRPr="00DA702B" w:rsidRDefault="00DA702B" w:rsidP="00DA702B">
            <w:pPr>
              <w:jc w:val="center"/>
              <w:rPr>
                <w:sz w:val="20"/>
                <w:szCs w:val="20"/>
              </w:rPr>
            </w:pPr>
            <w:r w:rsidRPr="00DA702B">
              <w:rPr>
                <w:b/>
                <w:sz w:val="20"/>
                <w:szCs w:val="20"/>
              </w:rPr>
              <w:t>ID No.</w:t>
            </w:r>
          </w:p>
        </w:tc>
        <w:tc>
          <w:tcPr>
            <w:tcW w:w="1080" w:type="dxa"/>
            <w:shd w:val="clear" w:color="auto" w:fill="D9D9D9" w:themeFill="background1" w:themeFillShade="D9"/>
            <w:vAlign w:val="bottom"/>
          </w:tcPr>
          <w:p w14:paraId="42E21B59" w14:textId="77777777" w:rsidR="00DA702B" w:rsidRPr="00DA702B" w:rsidRDefault="00DA702B" w:rsidP="00DA702B">
            <w:pPr>
              <w:jc w:val="center"/>
              <w:rPr>
                <w:b/>
                <w:sz w:val="20"/>
                <w:szCs w:val="20"/>
              </w:rPr>
            </w:pPr>
            <w:r w:rsidRPr="00DA702B">
              <w:rPr>
                <w:b/>
                <w:sz w:val="20"/>
                <w:szCs w:val="20"/>
              </w:rPr>
              <w:t>SOP</w:t>
            </w:r>
          </w:p>
          <w:p w14:paraId="773FFC9F" w14:textId="77777777" w:rsidR="00DA702B" w:rsidRPr="00DA702B" w:rsidRDefault="00DA702B" w:rsidP="00DA702B">
            <w:pPr>
              <w:jc w:val="center"/>
              <w:rPr>
                <w:sz w:val="20"/>
                <w:szCs w:val="20"/>
              </w:rPr>
            </w:pPr>
            <w:r w:rsidRPr="00DA702B">
              <w:rPr>
                <w:b/>
                <w:sz w:val="20"/>
                <w:szCs w:val="20"/>
              </w:rPr>
              <w:t>Index No.</w:t>
            </w:r>
          </w:p>
        </w:tc>
        <w:tc>
          <w:tcPr>
            <w:tcW w:w="1163" w:type="dxa"/>
            <w:shd w:val="clear" w:color="auto" w:fill="D9D9D9" w:themeFill="background1" w:themeFillShade="D9"/>
            <w:vAlign w:val="bottom"/>
          </w:tcPr>
          <w:p w14:paraId="6CCB510D" w14:textId="77777777" w:rsidR="00DA702B" w:rsidRPr="00DA702B" w:rsidRDefault="00DA702B" w:rsidP="00DA702B">
            <w:pPr>
              <w:jc w:val="center"/>
              <w:rPr>
                <w:sz w:val="20"/>
                <w:szCs w:val="20"/>
              </w:rPr>
            </w:pPr>
            <w:r w:rsidRPr="00DA702B">
              <w:rPr>
                <w:b/>
                <w:sz w:val="20"/>
                <w:szCs w:val="20"/>
              </w:rPr>
              <w:t>NOx IGCC Standard</w:t>
            </w:r>
          </w:p>
        </w:tc>
        <w:tc>
          <w:tcPr>
            <w:tcW w:w="1541" w:type="dxa"/>
            <w:shd w:val="clear" w:color="auto" w:fill="D9D9D9" w:themeFill="background1" w:themeFillShade="D9"/>
            <w:vAlign w:val="bottom"/>
          </w:tcPr>
          <w:p w14:paraId="4EF15223" w14:textId="77777777" w:rsidR="00DA702B" w:rsidRPr="00DA702B" w:rsidRDefault="00DA702B" w:rsidP="00DA702B">
            <w:pPr>
              <w:jc w:val="center"/>
              <w:rPr>
                <w:b/>
                <w:sz w:val="20"/>
                <w:szCs w:val="20"/>
              </w:rPr>
            </w:pPr>
            <w:r w:rsidRPr="00DA702B">
              <w:rPr>
                <w:b/>
                <w:sz w:val="20"/>
                <w:szCs w:val="20"/>
              </w:rPr>
              <w:t>MACT Applicability</w:t>
            </w:r>
          </w:p>
        </w:tc>
        <w:tc>
          <w:tcPr>
            <w:tcW w:w="896" w:type="dxa"/>
            <w:shd w:val="clear" w:color="auto" w:fill="D9D9D9" w:themeFill="background1" w:themeFillShade="D9"/>
            <w:vAlign w:val="bottom"/>
          </w:tcPr>
          <w:p w14:paraId="1AE8F0A5" w14:textId="77777777" w:rsidR="00DA702B" w:rsidRPr="00DA702B" w:rsidRDefault="00DA702B" w:rsidP="00DA702B">
            <w:pPr>
              <w:jc w:val="center"/>
              <w:rPr>
                <w:sz w:val="20"/>
                <w:szCs w:val="20"/>
              </w:rPr>
            </w:pPr>
            <w:r w:rsidRPr="00DA702B">
              <w:rPr>
                <w:b/>
                <w:sz w:val="20"/>
                <w:szCs w:val="20"/>
              </w:rPr>
              <w:t>Unit Type</w:t>
            </w:r>
          </w:p>
        </w:tc>
        <w:tc>
          <w:tcPr>
            <w:tcW w:w="1530" w:type="dxa"/>
            <w:shd w:val="clear" w:color="auto" w:fill="D9D9D9" w:themeFill="background1" w:themeFillShade="D9"/>
            <w:vAlign w:val="bottom"/>
          </w:tcPr>
          <w:p w14:paraId="75649AF1" w14:textId="77777777" w:rsidR="00DA702B" w:rsidRPr="00DA702B" w:rsidRDefault="00DA702B" w:rsidP="00DA702B">
            <w:pPr>
              <w:jc w:val="center"/>
              <w:rPr>
                <w:sz w:val="20"/>
                <w:szCs w:val="20"/>
              </w:rPr>
            </w:pPr>
            <w:r w:rsidRPr="00DA702B">
              <w:rPr>
                <w:b/>
                <w:sz w:val="20"/>
                <w:szCs w:val="20"/>
              </w:rPr>
              <w:t xml:space="preserve">PM Monitoring Type </w:t>
            </w:r>
          </w:p>
        </w:tc>
        <w:tc>
          <w:tcPr>
            <w:tcW w:w="1170" w:type="dxa"/>
            <w:shd w:val="clear" w:color="auto" w:fill="D9D9D9" w:themeFill="background1" w:themeFillShade="D9"/>
            <w:vAlign w:val="bottom"/>
          </w:tcPr>
          <w:p w14:paraId="2F9907D0" w14:textId="77777777" w:rsidR="00DA702B" w:rsidRPr="00DA702B" w:rsidRDefault="00DA702B" w:rsidP="00DA702B">
            <w:pPr>
              <w:jc w:val="center"/>
              <w:rPr>
                <w:sz w:val="20"/>
                <w:szCs w:val="20"/>
              </w:rPr>
            </w:pPr>
            <w:r w:rsidRPr="00DA702B">
              <w:rPr>
                <w:b/>
                <w:sz w:val="20"/>
                <w:szCs w:val="20"/>
              </w:rPr>
              <w:t xml:space="preserve">Opacity Monitoring Type </w:t>
            </w:r>
          </w:p>
        </w:tc>
        <w:tc>
          <w:tcPr>
            <w:tcW w:w="1170" w:type="dxa"/>
            <w:shd w:val="clear" w:color="auto" w:fill="D9D9D9" w:themeFill="background1" w:themeFillShade="D9"/>
            <w:vAlign w:val="bottom"/>
          </w:tcPr>
          <w:p w14:paraId="1CCD7E92" w14:textId="77777777" w:rsidR="00DA702B" w:rsidRPr="00DA702B" w:rsidRDefault="00DA702B" w:rsidP="00DA702B">
            <w:pPr>
              <w:jc w:val="center"/>
              <w:rPr>
                <w:sz w:val="20"/>
                <w:szCs w:val="20"/>
              </w:rPr>
            </w:pPr>
            <w:r w:rsidRPr="00DA702B">
              <w:rPr>
                <w:b/>
                <w:sz w:val="20"/>
                <w:szCs w:val="20"/>
              </w:rPr>
              <w:t>SO</w:t>
            </w:r>
            <w:r w:rsidRPr="00DA702B">
              <w:rPr>
                <w:b/>
                <w:sz w:val="20"/>
                <w:szCs w:val="20"/>
                <w:vertAlign w:val="subscript"/>
              </w:rPr>
              <w:t xml:space="preserve">2 </w:t>
            </w:r>
            <w:r w:rsidRPr="00DA702B">
              <w:rPr>
                <w:b/>
                <w:sz w:val="20"/>
                <w:szCs w:val="20"/>
              </w:rPr>
              <w:t>Monitoring Type</w:t>
            </w:r>
          </w:p>
        </w:tc>
        <w:tc>
          <w:tcPr>
            <w:tcW w:w="1192" w:type="dxa"/>
            <w:shd w:val="clear" w:color="auto" w:fill="D9D9D9" w:themeFill="background1" w:themeFillShade="D9"/>
            <w:vAlign w:val="bottom"/>
          </w:tcPr>
          <w:p w14:paraId="127D6FDF" w14:textId="77777777" w:rsidR="00DA702B" w:rsidRPr="00DA702B" w:rsidRDefault="00DA702B" w:rsidP="00DA702B">
            <w:pPr>
              <w:jc w:val="center"/>
              <w:rPr>
                <w:b/>
                <w:sz w:val="20"/>
                <w:szCs w:val="20"/>
              </w:rPr>
            </w:pPr>
            <w:r w:rsidRPr="00DA702B">
              <w:rPr>
                <w:b/>
                <w:sz w:val="20"/>
                <w:szCs w:val="20"/>
              </w:rPr>
              <w:t>NO</w:t>
            </w:r>
            <w:r w:rsidRPr="00DA702B">
              <w:rPr>
                <w:b/>
                <w:sz w:val="20"/>
                <w:szCs w:val="20"/>
                <w:vertAlign w:val="subscript"/>
              </w:rPr>
              <w:t>x</w:t>
            </w:r>
          </w:p>
          <w:p w14:paraId="713986C4" w14:textId="77777777" w:rsidR="00DA702B" w:rsidRPr="00DA702B" w:rsidRDefault="00DA702B" w:rsidP="00DA702B">
            <w:pPr>
              <w:jc w:val="center"/>
              <w:rPr>
                <w:sz w:val="20"/>
                <w:szCs w:val="20"/>
              </w:rPr>
            </w:pPr>
            <w:r w:rsidRPr="00DA702B">
              <w:rPr>
                <w:b/>
                <w:sz w:val="20"/>
                <w:szCs w:val="20"/>
              </w:rPr>
              <w:t>Monitoring Type</w:t>
            </w:r>
          </w:p>
        </w:tc>
        <w:tc>
          <w:tcPr>
            <w:tcW w:w="1418" w:type="dxa"/>
            <w:shd w:val="clear" w:color="auto" w:fill="D9D9D9" w:themeFill="background1" w:themeFillShade="D9"/>
            <w:vAlign w:val="bottom"/>
          </w:tcPr>
          <w:p w14:paraId="46F3F55A" w14:textId="77777777" w:rsidR="00DA702B" w:rsidRPr="00DA702B" w:rsidRDefault="00DA702B" w:rsidP="00DA702B">
            <w:pPr>
              <w:jc w:val="center"/>
              <w:rPr>
                <w:sz w:val="20"/>
                <w:szCs w:val="20"/>
              </w:rPr>
            </w:pPr>
            <w:r w:rsidRPr="00DA702B">
              <w:rPr>
                <w:b/>
                <w:sz w:val="20"/>
                <w:szCs w:val="20"/>
              </w:rPr>
              <w:t>SO</w:t>
            </w:r>
            <w:r w:rsidRPr="00DA702B">
              <w:rPr>
                <w:b/>
                <w:sz w:val="20"/>
                <w:szCs w:val="20"/>
                <w:vertAlign w:val="subscript"/>
              </w:rPr>
              <w:t xml:space="preserve">2 </w:t>
            </w:r>
            <w:r w:rsidRPr="00DA702B">
              <w:rPr>
                <w:b/>
                <w:sz w:val="20"/>
                <w:szCs w:val="20"/>
              </w:rPr>
              <w:t>Commercial Demonstration Permit</w:t>
            </w:r>
          </w:p>
        </w:tc>
        <w:tc>
          <w:tcPr>
            <w:tcW w:w="1080" w:type="dxa"/>
            <w:shd w:val="clear" w:color="auto" w:fill="D9D9D9" w:themeFill="background1" w:themeFillShade="D9"/>
            <w:vAlign w:val="bottom"/>
          </w:tcPr>
          <w:p w14:paraId="18186A1F" w14:textId="77777777" w:rsidR="00DA702B" w:rsidRPr="00DA702B" w:rsidRDefault="00DA702B" w:rsidP="00DA702B">
            <w:pPr>
              <w:jc w:val="center"/>
              <w:rPr>
                <w:sz w:val="20"/>
                <w:szCs w:val="20"/>
              </w:rPr>
            </w:pPr>
            <w:r w:rsidRPr="00DA702B">
              <w:rPr>
                <w:b/>
                <w:sz w:val="20"/>
                <w:szCs w:val="20"/>
              </w:rPr>
              <w:t>SO</w:t>
            </w:r>
            <w:r w:rsidRPr="00DA702B">
              <w:rPr>
                <w:b/>
                <w:sz w:val="20"/>
                <w:szCs w:val="20"/>
                <w:vertAlign w:val="subscript"/>
              </w:rPr>
              <w:t>2</w:t>
            </w:r>
            <w:r w:rsidRPr="00DA702B">
              <w:rPr>
                <w:b/>
                <w:sz w:val="20"/>
                <w:szCs w:val="20"/>
              </w:rPr>
              <w:t xml:space="preserve"> Emission Rate</w:t>
            </w:r>
          </w:p>
        </w:tc>
        <w:tc>
          <w:tcPr>
            <w:tcW w:w="833" w:type="dxa"/>
            <w:shd w:val="clear" w:color="auto" w:fill="D9D9D9" w:themeFill="background1" w:themeFillShade="D9"/>
            <w:vAlign w:val="bottom"/>
          </w:tcPr>
          <w:p w14:paraId="7BABD45E" w14:textId="77777777" w:rsidR="00DA702B" w:rsidRPr="00DA702B" w:rsidRDefault="00DA702B" w:rsidP="00DA702B">
            <w:pPr>
              <w:jc w:val="center"/>
              <w:rPr>
                <w:sz w:val="20"/>
                <w:szCs w:val="20"/>
              </w:rPr>
            </w:pPr>
            <w:r w:rsidRPr="00DA702B">
              <w:rPr>
                <w:b/>
                <w:sz w:val="20"/>
                <w:szCs w:val="20"/>
              </w:rPr>
              <w:t>FGD</w:t>
            </w:r>
          </w:p>
        </w:tc>
      </w:tr>
      <w:tr w:rsidR="00DA702B" w:rsidRPr="00DA702B" w14:paraId="2955EE4F" w14:textId="77777777" w:rsidTr="00247007">
        <w:trPr>
          <w:cantSplit/>
          <w:trHeight w:val="346"/>
          <w:tblHeader/>
        </w:trPr>
        <w:tc>
          <w:tcPr>
            <w:tcW w:w="1327" w:type="dxa"/>
          </w:tcPr>
          <w:p w14:paraId="16E2ABA4" w14:textId="77777777" w:rsidR="00DA702B" w:rsidRPr="00DA702B" w:rsidRDefault="00DA702B" w:rsidP="00DA702B">
            <w:pPr>
              <w:rPr>
                <w:sz w:val="20"/>
                <w:szCs w:val="20"/>
              </w:rPr>
            </w:pPr>
          </w:p>
        </w:tc>
        <w:tc>
          <w:tcPr>
            <w:tcW w:w="1080" w:type="dxa"/>
          </w:tcPr>
          <w:p w14:paraId="10DF67EE" w14:textId="77777777" w:rsidR="00DA702B" w:rsidRPr="00DA702B" w:rsidRDefault="00DA702B" w:rsidP="00DA702B">
            <w:pPr>
              <w:rPr>
                <w:sz w:val="20"/>
                <w:szCs w:val="20"/>
              </w:rPr>
            </w:pPr>
          </w:p>
        </w:tc>
        <w:tc>
          <w:tcPr>
            <w:tcW w:w="1163" w:type="dxa"/>
          </w:tcPr>
          <w:p w14:paraId="65A2D586" w14:textId="77777777" w:rsidR="00DA702B" w:rsidRPr="00DA702B" w:rsidRDefault="00DA702B" w:rsidP="00DA702B">
            <w:pPr>
              <w:rPr>
                <w:sz w:val="20"/>
                <w:szCs w:val="20"/>
              </w:rPr>
            </w:pPr>
          </w:p>
        </w:tc>
        <w:tc>
          <w:tcPr>
            <w:tcW w:w="1541" w:type="dxa"/>
          </w:tcPr>
          <w:p w14:paraId="32E65B22" w14:textId="77777777" w:rsidR="00DA702B" w:rsidRPr="00DA702B" w:rsidRDefault="00DA702B" w:rsidP="00DA702B">
            <w:pPr>
              <w:rPr>
                <w:sz w:val="20"/>
                <w:szCs w:val="20"/>
              </w:rPr>
            </w:pPr>
          </w:p>
        </w:tc>
        <w:tc>
          <w:tcPr>
            <w:tcW w:w="896" w:type="dxa"/>
          </w:tcPr>
          <w:p w14:paraId="4A42FEF1" w14:textId="77777777" w:rsidR="00DA702B" w:rsidRPr="00DA702B" w:rsidRDefault="00DA702B" w:rsidP="00DA702B">
            <w:pPr>
              <w:rPr>
                <w:sz w:val="20"/>
                <w:szCs w:val="20"/>
              </w:rPr>
            </w:pPr>
          </w:p>
        </w:tc>
        <w:tc>
          <w:tcPr>
            <w:tcW w:w="1530" w:type="dxa"/>
          </w:tcPr>
          <w:p w14:paraId="073B4A5B" w14:textId="77777777" w:rsidR="00DA702B" w:rsidRPr="00DA702B" w:rsidRDefault="00DA702B" w:rsidP="00DA702B">
            <w:pPr>
              <w:rPr>
                <w:sz w:val="20"/>
                <w:szCs w:val="20"/>
              </w:rPr>
            </w:pPr>
          </w:p>
        </w:tc>
        <w:tc>
          <w:tcPr>
            <w:tcW w:w="1170" w:type="dxa"/>
          </w:tcPr>
          <w:p w14:paraId="08A040A1" w14:textId="77777777" w:rsidR="00DA702B" w:rsidRPr="00DA702B" w:rsidRDefault="00DA702B" w:rsidP="00DA702B">
            <w:pPr>
              <w:rPr>
                <w:sz w:val="20"/>
                <w:szCs w:val="20"/>
              </w:rPr>
            </w:pPr>
          </w:p>
        </w:tc>
        <w:tc>
          <w:tcPr>
            <w:tcW w:w="1170" w:type="dxa"/>
          </w:tcPr>
          <w:p w14:paraId="06DC237A" w14:textId="77777777" w:rsidR="00DA702B" w:rsidRPr="00DA702B" w:rsidRDefault="00DA702B" w:rsidP="00DA702B">
            <w:pPr>
              <w:rPr>
                <w:sz w:val="20"/>
                <w:szCs w:val="20"/>
              </w:rPr>
            </w:pPr>
          </w:p>
        </w:tc>
        <w:tc>
          <w:tcPr>
            <w:tcW w:w="1192" w:type="dxa"/>
          </w:tcPr>
          <w:p w14:paraId="4649C1A2" w14:textId="77777777" w:rsidR="00DA702B" w:rsidRPr="00DA702B" w:rsidRDefault="00DA702B" w:rsidP="00DA702B">
            <w:pPr>
              <w:rPr>
                <w:sz w:val="20"/>
                <w:szCs w:val="20"/>
              </w:rPr>
            </w:pPr>
          </w:p>
        </w:tc>
        <w:tc>
          <w:tcPr>
            <w:tcW w:w="1418" w:type="dxa"/>
          </w:tcPr>
          <w:p w14:paraId="1696342D" w14:textId="77777777" w:rsidR="00DA702B" w:rsidRPr="00DA702B" w:rsidRDefault="00DA702B" w:rsidP="00DA702B">
            <w:pPr>
              <w:rPr>
                <w:sz w:val="20"/>
                <w:szCs w:val="20"/>
              </w:rPr>
            </w:pPr>
          </w:p>
        </w:tc>
        <w:tc>
          <w:tcPr>
            <w:tcW w:w="1080" w:type="dxa"/>
          </w:tcPr>
          <w:p w14:paraId="1B5C7166" w14:textId="77777777" w:rsidR="00DA702B" w:rsidRPr="00DA702B" w:rsidRDefault="00DA702B" w:rsidP="00DA702B">
            <w:pPr>
              <w:rPr>
                <w:sz w:val="20"/>
                <w:szCs w:val="20"/>
              </w:rPr>
            </w:pPr>
          </w:p>
        </w:tc>
        <w:tc>
          <w:tcPr>
            <w:tcW w:w="833" w:type="dxa"/>
          </w:tcPr>
          <w:p w14:paraId="447721BB" w14:textId="77777777" w:rsidR="00DA702B" w:rsidRPr="00DA702B" w:rsidRDefault="00DA702B" w:rsidP="00DA702B">
            <w:pPr>
              <w:rPr>
                <w:sz w:val="20"/>
                <w:szCs w:val="20"/>
              </w:rPr>
            </w:pPr>
          </w:p>
        </w:tc>
      </w:tr>
      <w:tr w:rsidR="00DA702B" w:rsidRPr="00DA702B" w14:paraId="0581E86C" w14:textId="77777777" w:rsidTr="00247007">
        <w:trPr>
          <w:cantSplit/>
          <w:trHeight w:val="346"/>
          <w:tblHeader/>
        </w:trPr>
        <w:tc>
          <w:tcPr>
            <w:tcW w:w="1327" w:type="dxa"/>
          </w:tcPr>
          <w:p w14:paraId="60A40B56" w14:textId="77777777" w:rsidR="00DA702B" w:rsidRPr="00DA702B" w:rsidRDefault="00DA702B" w:rsidP="00DA702B">
            <w:pPr>
              <w:rPr>
                <w:sz w:val="20"/>
                <w:szCs w:val="20"/>
              </w:rPr>
            </w:pPr>
          </w:p>
        </w:tc>
        <w:tc>
          <w:tcPr>
            <w:tcW w:w="1080" w:type="dxa"/>
          </w:tcPr>
          <w:p w14:paraId="1053DCC1" w14:textId="77777777" w:rsidR="00DA702B" w:rsidRPr="00DA702B" w:rsidRDefault="00DA702B" w:rsidP="00DA702B">
            <w:pPr>
              <w:rPr>
                <w:sz w:val="20"/>
                <w:szCs w:val="20"/>
              </w:rPr>
            </w:pPr>
          </w:p>
        </w:tc>
        <w:tc>
          <w:tcPr>
            <w:tcW w:w="1163" w:type="dxa"/>
          </w:tcPr>
          <w:p w14:paraId="7C488AE9" w14:textId="77777777" w:rsidR="00DA702B" w:rsidRPr="00DA702B" w:rsidRDefault="00DA702B" w:rsidP="00DA702B">
            <w:pPr>
              <w:rPr>
                <w:sz w:val="20"/>
                <w:szCs w:val="20"/>
              </w:rPr>
            </w:pPr>
          </w:p>
        </w:tc>
        <w:tc>
          <w:tcPr>
            <w:tcW w:w="1541" w:type="dxa"/>
          </w:tcPr>
          <w:p w14:paraId="060612B2" w14:textId="77777777" w:rsidR="00DA702B" w:rsidRPr="00DA702B" w:rsidRDefault="00DA702B" w:rsidP="00DA702B">
            <w:pPr>
              <w:rPr>
                <w:sz w:val="20"/>
                <w:szCs w:val="20"/>
              </w:rPr>
            </w:pPr>
          </w:p>
        </w:tc>
        <w:tc>
          <w:tcPr>
            <w:tcW w:w="896" w:type="dxa"/>
          </w:tcPr>
          <w:p w14:paraId="3207E87E" w14:textId="77777777" w:rsidR="00DA702B" w:rsidRPr="00DA702B" w:rsidRDefault="00DA702B" w:rsidP="00DA702B">
            <w:pPr>
              <w:rPr>
                <w:sz w:val="20"/>
                <w:szCs w:val="20"/>
              </w:rPr>
            </w:pPr>
          </w:p>
        </w:tc>
        <w:tc>
          <w:tcPr>
            <w:tcW w:w="1530" w:type="dxa"/>
          </w:tcPr>
          <w:p w14:paraId="746EFB98" w14:textId="77777777" w:rsidR="00DA702B" w:rsidRPr="00DA702B" w:rsidRDefault="00DA702B" w:rsidP="00DA702B">
            <w:pPr>
              <w:rPr>
                <w:sz w:val="20"/>
                <w:szCs w:val="20"/>
              </w:rPr>
            </w:pPr>
          </w:p>
        </w:tc>
        <w:tc>
          <w:tcPr>
            <w:tcW w:w="1170" w:type="dxa"/>
          </w:tcPr>
          <w:p w14:paraId="60B6DD8B" w14:textId="77777777" w:rsidR="00DA702B" w:rsidRPr="00DA702B" w:rsidRDefault="00DA702B" w:rsidP="00DA702B">
            <w:pPr>
              <w:rPr>
                <w:sz w:val="20"/>
                <w:szCs w:val="20"/>
              </w:rPr>
            </w:pPr>
          </w:p>
        </w:tc>
        <w:tc>
          <w:tcPr>
            <w:tcW w:w="1170" w:type="dxa"/>
          </w:tcPr>
          <w:p w14:paraId="625E09EA" w14:textId="77777777" w:rsidR="00DA702B" w:rsidRPr="00DA702B" w:rsidRDefault="00DA702B" w:rsidP="00DA702B">
            <w:pPr>
              <w:rPr>
                <w:sz w:val="20"/>
                <w:szCs w:val="20"/>
              </w:rPr>
            </w:pPr>
          </w:p>
        </w:tc>
        <w:tc>
          <w:tcPr>
            <w:tcW w:w="1192" w:type="dxa"/>
          </w:tcPr>
          <w:p w14:paraId="4CAF4FD7" w14:textId="77777777" w:rsidR="00DA702B" w:rsidRPr="00DA702B" w:rsidRDefault="00DA702B" w:rsidP="00DA702B">
            <w:pPr>
              <w:rPr>
                <w:sz w:val="20"/>
                <w:szCs w:val="20"/>
              </w:rPr>
            </w:pPr>
          </w:p>
        </w:tc>
        <w:tc>
          <w:tcPr>
            <w:tcW w:w="1418" w:type="dxa"/>
          </w:tcPr>
          <w:p w14:paraId="7C96D247" w14:textId="77777777" w:rsidR="00DA702B" w:rsidRPr="00DA702B" w:rsidRDefault="00DA702B" w:rsidP="00DA702B">
            <w:pPr>
              <w:rPr>
                <w:sz w:val="20"/>
                <w:szCs w:val="20"/>
              </w:rPr>
            </w:pPr>
          </w:p>
        </w:tc>
        <w:tc>
          <w:tcPr>
            <w:tcW w:w="1080" w:type="dxa"/>
          </w:tcPr>
          <w:p w14:paraId="410DF291" w14:textId="77777777" w:rsidR="00DA702B" w:rsidRPr="00DA702B" w:rsidRDefault="00DA702B" w:rsidP="00DA702B">
            <w:pPr>
              <w:rPr>
                <w:sz w:val="20"/>
                <w:szCs w:val="20"/>
              </w:rPr>
            </w:pPr>
          </w:p>
        </w:tc>
        <w:tc>
          <w:tcPr>
            <w:tcW w:w="833" w:type="dxa"/>
          </w:tcPr>
          <w:p w14:paraId="4F1F796B" w14:textId="77777777" w:rsidR="00DA702B" w:rsidRPr="00DA702B" w:rsidRDefault="00DA702B" w:rsidP="00DA702B">
            <w:pPr>
              <w:rPr>
                <w:sz w:val="20"/>
                <w:szCs w:val="20"/>
              </w:rPr>
            </w:pPr>
          </w:p>
        </w:tc>
      </w:tr>
      <w:tr w:rsidR="00DA702B" w:rsidRPr="00DA702B" w14:paraId="6B781114" w14:textId="77777777" w:rsidTr="00247007">
        <w:trPr>
          <w:cantSplit/>
          <w:trHeight w:val="346"/>
          <w:tblHeader/>
        </w:trPr>
        <w:tc>
          <w:tcPr>
            <w:tcW w:w="1327" w:type="dxa"/>
          </w:tcPr>
          <w:p w14:paraId="63BE35F3" w14:textId="77777777" w:rsidR="00DA702B" w:rsidRPr="00DA702B" w:rsidRDefault="00DA702B" w:rsidP="00DA702B">
            <w:pPr>
              <w:rPr>
                <w:sz w:val="20"/>
                <w:szCs w:val="20"/>
              </w:rPr>
            </w:pPr>
          </w:p>
        </w:tc>
        <w:tc>
          <w:tcPr>
            <w:tcW w:w="1080" w:type="dxa"/>
          </w:tcPr>
          <w:p w14:paraId="13288665" w14:textId="77777777" w:rsidR="00DA702B" w:rsidRPr="00DA702B" w:rsidRDefault="00DA702B" w:rsidP="00DA702B">
            <w:pPr>
              <w:rPr>
                <w:sz w:val="20"/>
                <w:szCs w:val="20"/>
              </w:rPr>
            </w:pPr>
          </w:p>
        </w:tc>
        <w:tc>
          <w:tcPr>
            <w:tcW w:w="1163" w:type="dxa"/>
          </w:tcPr>
          <w:p w14:paraId="14B87F60" w14:textId="77777777" w:rsidR="00DA702B" w:rsidRPr="00DA702B" w:rsidRDefault="00DA702B" w:rsidP="00DA702B">
            <w:pPr>
              <w:rPr>
                <w:sz w:val="20"/>
                <w:szCs w:val="20"/>
              </w:rPr>
            </w:pPr>
          </w:p>
        </w:tc>
        <w:tc>
          <w:tcPr>
            <w:tcW w:w="1541" w:type="dxa"/>
          </w:tcPr>
          <w:p w14:paraId="04FB3F93" w14:textId="77777777" w:rsidR="00DA702B" w:rsidRPr="00DA702B" w:rsidRDefault="00DA702B" w:rsidP="00DA702B">
            <w:pPr>
              <w:rPr>
                <w:sz w:val="20"/>
                <w:szCs w:val="20"/>
              </w:rPr>
            </w:pPr>
          </w:p>
        </w:tc>
        <w:tc>
          <w:tcPr>
            <w:tcW w:w="896" w:type="dxa"/>
          </w:tcPr>
          <w:p w14:paraId="35C298A2" w14:textId="77777777" w:rsidR="00DA702B" w:rsidRPr="00DA702B" w:rsidRDefault="00DA702B" w:rsidP="00DA702B">
            <w:pPr>
              <w:rPr>
                <w:sz w:val="20"/>
                <w:szCs w:val="20"/>
              </w:rPr>
            </w:pPr>
          </w:p>
        </w:tc>
        <w:tc>
          <w:tcPr>
            <w:tcW w:w="1530" w:type="dxa"/>
          </w:tcPr>
          <w:p w14:paraId="05665B78" w14:textId="77777777" w:rsidR="00DA702B" w:rsidRPr="00DA702B" w:rsidRDefault="00DA702B" w:rsidP="00DA702B">
            <w:pPr>
              <w:rPr>
                <w:sz w:val="20"/>
                <w:szCs w:val="20"/>
              </w:rPr>
            </w:pPr>
          </w:p>
        </w:tc>
        <w:tc>
          <w:tcPr>
            <w:tcW w:w="1170" w:type="dxa"/>
          </w:tcPr>
          <w:p w14:paraId="42CFAB30" w14:textId="77777777" w:rsidR="00DA702B" w:rsidRPr="00DA702B" w:rsidRDefault="00DA702B" w:rsidP="00DA702B">
            <w:pPr>
              <w:rPr>
                <w:sz w:val="20"/>
                <w:szCs w:val="20"/>
              </w:rPr>
            </w:pPr>
          </w:p>
        </w:tc>
        <w:tc>
          <w:tcPr>
            <w:tcW w:w="1170" w:type="dxa"/>
          </w:tcPr>
          <w:p w14:paraId="33E72ACD" w14:textId="77777777" w:rsidR="00DA702B" w:rsidRPr="00DA702B" w:rsidRDefault="00DA702B" w:rsidP="00DA702B">
            <w:pPr>
              <w:rPr>
                <w:sz w:val="20"/>
                <w:szCs w:val="20"/>
              </w:rPr>
            </w:pPr>
          </w:p>
        </w:tc>
        <w:tc>
          <w:tcPr>
            <w:tcW w:w="1192" w:type="dxa"/>
          </w:tcPr>
          <w:p w14:paraId="4661D68F" w14:textId="77777777" w:rsidR="00DA702B" w:rsidRPr="00DA702B" w:rsidRDefault="00DA702B" w:rsidP="00DA702B">
            <w:pPr>
              <w:rPr>
                <w:sz w:val="20"/>
                <w:szCs w:val="20"/>
              </w:rPr>
            </w:pPr>
          </w:p>
        </w:tc>
        <w:tc>
          <w:tcPr>
            <w:tcW w:w="1418" w:type="dxa"/>
          </w:tcPr>
          <w:p w14:paraId="32710EDB" w14:textId="77777777" w:rsidR="00DA702B" w:rsidRPr="00DA702B" w:rsidRDefault="00DA702B" w:rsidP="00DA702B">
            <w:pPr>
              <w:rPr>
                <w:sz w:val="20"/>
                <w:szCs w:val="20"/>
              </w:rPr>
            </w:pPr>
          </w:p>
        </w:tc>
        <w:tc>
          <w:tcPr>
            <w:tcW w:w="1080" w:type="dxa"/>
          </w:tcPr>
          <w:p w14:paraId="3653B868" w14:textId="77777777" w:rsidR="00DA702B" w:rsidRPr="00DA702B" w:rsidRDefault="00DA702B" w:rsidP="00DA702B">
            <w:pPr>
              <w:rPr>
                <w:sz w:val="20"/>
                <w:szCs w:val="20"/>
              </w:rPr>
            </w:pPr>
          </w:p>
        </w:tc>
        <w:tc>
          <w:tcPr>
            <w:tcW w:w="833" w:type="dxa"/>
          </w:tcPr>
          <w:p w14:paraId="44D6473F" w14:textId="77777777" w:rsidR="00DA702B" w:rsidRPr="00DA702B" w:rsidRDefault="00DA702B" w:rsidP="00DA702B">
            <w:pPr>
              <w:rPr>
                <w:sz w:val="20"/>
                <w:szCs w:val="20"/>
              </w:rPr>
            </w:pPr>
          </w:p>
        </w:tc>
      </w:tr>
      <w:tr w:rsidR="00DA702B" w:rsidRPr="00DA702B" w14:paraId="02D26C44" w14:textId="77777777" w:rsidTr="00247007">
        <w:trPr>
          <w:cantSplit/>
          <w:trHeight w:val="346"/>
          <w:tblHeader/>
        </w:trPr>
        <w:tc>
          <w:tcPr>
            <w:tcW w:w="1327" w:type="dxa"/>
          </w:tcPr>
          <w:p w14:paraId="78341A42" w14:textId="77777777" w:rsidR="00DA702B" w:rsidRPr="00DA702B" w:rsidRDefault="00DA702B" w:rsidP="00DA702B">
            <w:pPr>
              <w:rPr>
                <w:sz w:val="20"/>
                <w:szCs w:val="20"/>
              </w:rPr>
            </w:pPr>
          </w:p>
        </w:tc>
        <w:tc>
          <w:tcPr>
            <w:tcW w:w="1080" w:type="dxa"/>
          </w:tcPr>
          <w:p w14:paraId="01E048B2" w14:textId="77777777" w:rsidR="00DA702B" w:rsidRPr="00DA702B" w:rsidRDefault="00DA702B" w:rsidP="00DA702B">
            <w:pPr>
              <w:rPr>
                <w:sz w:val="20"/>
                <w:szCs w:val="20"/>
              </w:rPr>
            </w:pPr>
          </w:p>
        </w:tc>
        <w:tc>
          <w:tcPr>
            <w:tcW w:w="1163" w:type="dxa"/>
          </w:tcPr>
          <w:p w14:paraId="14518BBD" w14:textId="77777777" w:rsidR="00DA702B" w:rsidRPr="00DA702B" w:rsidRDefault="00DA702B" w:rsidP="00DA702B">
            <w:pPr>
              <w:rPr>
                <w:sz w:val="20"/>
                <w:szCs w:val="20"/>
              </w:rPr>
            </w:pPr>
          </w:p>
        </w:tc>
        <w:tc>
          <w:tcPr>
            <w:tcW w:w="1541" w:type="dxa"/>
          </w:tcPr>
          <w:p w14:paraId="176A988C" w14:textId="77777777" w:rsidR="00DA702B" w:rsidRPr="00DA702B" w:rsidRDefault="00DA702B" w:rsidP="00DA702B">
            <w:pPr>
              <w:rPr>
                <w:sz w:val="20"/>
                <w:szCs w:val="20"/>
              </w:rPr>
            </w:pPr>
          </w:p>
        </w:tc>
        <w:tc>
          <w:tcPr>
            <w:tcW w:w="896" w:type="dxa"/>
          </w:tcPr>
          <w:p w14:paraId="6F6AF6E4" w14:textId="77777777" w:rsidR="00DA702B" w:rsidRPr="00DA702B" w:rsidRDefault="00DA702B" w:rsidP="00DA702B">
            <w:pPr>
              <w:rPr>
                <w:sz w:val="20"/>
                <w:szCs w:val="20"/>
              </w:rPr>
            </w:pPr>
          </w:p>
        </w:tc>
        <w:tc>
          <w:tcPr>
            <w:tcW w:w="1530" w:type="dxa"/>
          </w:tcPr>
          <w:p w14:paraId="758E8654" w14:textId="77777777" w:rsidR="00DA702B" w:rsidRPr="00DA702B" w:rsidRDefault="00DA702B" w:rsidP="00DA702B">
            <w:pPr>
              <w:rPr>
                <w:sz w:val="20"/>
                <w:szCs w:val="20"/>
              </w:rPr>
            </w:pPr>
          </w:p>
        </w:tc>
        <w:tc>
          <w:tcPr>
            <w:tcW w:w="1170" w:type="dxa"/>
          </w:tcPr>
          <w:p w14:paraId="77C44E4E" w14:textId="77777777" w:rsidR="00DA702B" w:rsidRPr="00DA702B" w:rsidRDefault="00DA702B" w:rsidP="00DA702B">
            <w:pPr>
              <w:rPr>
                <w:sz w:val="20"/>
                <w:szCs w:val="20"/>
              </w:rPr>
            </w:pPr>
          </w:p>
        </w:tc>
        <w:tc>
          <w:tcPr>
            <w:tcW w:w="1170" w:type="dxa"/>
          </w:tcPr>
          <w:p w14:paraId="40FD0809" w14:textId="77777777" w:rsidR="00DA702B" w:rsidRPr="00DA702B" w:rsidRDefault="00DA702B" w:rsidP="00DA702B">
            <w:pPr>
              <w:rPr>
                <w:sz w:val="20"/>
                <w:szCs w:val="20"/>
              </w:rPr>
            </w:pPr>
          </w:p>
        </w:tc>
        <w:tc>
          <w:tcPr>
            <w:tcW w:w="1192" w:type="dxa"/>
          </w:tcPr>
          <w:p w14:paraId="462A2B4B" w14:textId="77777777" w:rsidR="00DA702B" w:rsidRPr="00DA702B" w:rsidRDefault="00DA702B" w:rsidP="00DA702B">
            <w:pPr>
              <w:rPr>
                <w:sz w:val="20"/>
                <w:szCs w:val="20"/>
              </w:rPr>
            </w:pPr>
          </w:p>
        </w:tc>
        <w:tc>
          <w:tcPr>
            <w:tcW w:w="1418" w:type="dxa"/>
          </w:tcPr>
          <w:p w14:paraId="5ACBB6E8" w14:textId="77777777" w:rsidR="00DA702B" w:rsidRPr="00DA702B" w:rsidRDefault="00DA702B" w:rsidP="00DA702B">
            <w:pPr>
              <w:rPr>
                <w:sz w:val="20"/>
                <w:szCs w:val="20"/>
              </w:rPr>
            </w:pPr>
          </w:p>
        </w:tc>
        <w:tc>
          <w:tcPr>
            <w:tcW w:w="1080" w:type="dxa"/>
          </w:tcPr>
          <w:p w14:paraId="5434DA3E" w14:textId="77777777" w:rsidR="00DA702B" w:rsidRPr="00DA702B" w:rsidRDefault="00DA702B" w:rsidP="00DA702B">
            <w:pPr>
              <w:rPr>
                <w:sz w:val="20"/>
                <w:szCs w:val="20"/>
              </w:rPr>
            </w:pPr>
          </w:p>
        </w:tc>
        <w:tc>
          <w:tcPr>
            <w:tcW w:w="833" w:type="dxa"/>
          </w:tcPr>
          <w:p w14:paraId="0AA54EF3" w14:textId="77777777" w:rsidR="00DA702B" w:rsidRPr="00DA702B" w:rsidRDefault="00DA702B" w:rsidP="00DA702B">
            <w:pPr>
              <w:rPr>
                <w:sz w:val="20"/>
                <w:szCs w:val="20"/>
              </w:rPr>
            </w:pPr>
          </w:p>
        </w:tc>
      </w:tr>
      <w:tr w:rsidR="00DA702B" w:rsidRPr="00DA702B" w14:paraId="65119CAF" w14:textId="77777777" w:rsidTr="00247007">
        <w:trPr>
          <w:cantSplit/>
          <w:trHeight w:val="346"/>
          <w:tblHeader/>
        </w:trPr>
        <w:tc>
          <w:tcPr>
            <w:tcW w:w="1327" w:type="dxa"/>
          </w:tcPr>
          <w:p w14:paraId="5D9011B7" w14:textId="77777777" w:rsidR="00DA702B" w:rsidRPr="00DA702B" w:rsidRDefault="00DA702B" w:rsidP="00DA702B">
            <w:pPr>
              <w:rPr>
                <w:sz w:val="20"/>
                <w:szCs w:val="20"/>
              </w:rPr>
            </w:pPr>
          </w:p>
        </w:tc>
        <w:tc>
          <w:tcPr>
            <w:tcW w:w="1080" w:type="dxa"/>
          </w:tcPr>
          <w:p w14:paraId="7B048F57" w14:textId="77777777" w:rsidR="00DA702B" w:rsidRPr="00DA702B" w:rsidRDefault="00DA702B" w:rsidP="00DA702B">
            <w:pPr>
              <w:rPr>
                <w:sz w:val="20"/>
                <w:szCs w:val="20"/>
              </w:rPr>
            </w:pPr>
          </w:p>
        </w:tc>
        <w:tc>
          <w:tcPr>
            <w:tcW w:w="1163" w:type="dxa"/>
          </w:tcPr>
          <w:p w14:paraId="78FC0918" w14:textId="77777777" w:rsidR="00DA702B" w:rsidRPr="00DA702B" w:rsidRDefault="00DA702B" w:rsidP="00DA702B">
            <w:pPr>
              <w:rPr>
                <w:sz w:val="20"/>
                <w:szCs w:val="20"/>
              </w:rPr>
            </w:pPr>
          </w:p>
        </w:tc>
        <w:tc>
          <w:tcPr>
            <w:tcW w:w="1541" w:type="dxa"/>
          </w:tcPr>
          <w:p w14:paraId="77F5CDBC" w14:textId="77777777" w:rsidR="00DA702B" w:rsidRPr="00DA702B" w:rsidRDefault="00DA702B" w:rsidP="00DA702B">
            <w:pPr>
              <w:rPr>
                <w:sz w:val="20"/>
                <w:szCs w:val="20"/>
              </w:rPr>
            </w:pPr>
          </w:p>
        </w:tc>
        <w:tc>
          <w:tcPr>
            <w:tcW w:w="896" w:type="dxa"/>
          </w:tcPr>
          <w:p w14:paraId="2BE2946B" w14:textId="77777777" w:rsidR="00DA702B" w:rsidRPr="00DA702B" w:rsidRDefault="00DA702B" w:rsidP="00DA702B">
            <w:pPr>
              <w:rPr>
                <w:sz w:val="20"/>
                <w:szCs w:val="20"/>
              </w:rPr>
            </w:pPr>
          </w:p>
        </w:tc>
        <w:tc>
          <w:tcPr>
            <w:tcW w:w="1530" w:type="dxa"/>
          </w:tcPr>
          <w:p w14:paraId="2E648EBC" w14:textId="77777777" w:rsidR="00DA702B" w:rsidRPr="00DA702B" w:rsidRDefault="00DA702B" w:rsidP="00DA702B">
            <w:pPr>
              <w:rPr>
                <w:sz w:val="20"/>
                <w:szCs w:val="20"/>
              </w:rPr>
            </w:pPr>
          </w:p>
        </w:tc>
        <w:tc>
          <w:tcPr>
            <w:tcW w:w="1170" w:type="dxa"/>
          </w:tcPr>
          <w:p w14:paraId="62C48F2C" w14:textId="77777777" w:rsidR="00DA702B" w:rsidRPr="00DA702B" w:rsidRDefault="00DA702B" w:rsidP="00DA702B">
            <w:pPr>
              <w:rPr>
                <w:sz w:val="20"/>
                <w:szCs w:val="20"/>
              </w:rPr>
            </w:pPr>
          </w:p>
        </w:tc>
        <w:tc>
          <w:tcPr>
            <w:tcW w:w="1170" w:type="dxa"/>
          </w:tcPr>
          <w:p w14:paraId="29B572C3" w14:textId="77777777" w:rsidR="00DA702B" w:rsidRPr="00DA702B" w:rsidRDefault="00DA702B" w:rsidP="00DA702B">
            <w:pPr>
              <w:rPr>
                <w:sz w:val="20"/>
                <w:szCs w:val="20"/>
              </w:rPr>
            </w:pPr>
          </w:p>
        </w:tc>
        <w:tc>
          <w:tcPr>
            <w:tcW w:w="1192" w:type="dxa"/>
          </w:tcPr>
          <w:p w14:paraId="31006C45" w14:textId="77777777" w:rsidR="00DA702B" w:rsidRPr="00DA702B" w:rsidRDefault="00DA702B" w:rsidP="00DA702B">
            <w:pPr>
              <w:rPr>
                <w:sz w:val="20"/>
                <w:szCs w:val="20"/>
              </w:rPr>
            </w:pPr>
          </w:p>
        </w:tc>
        <w:tc>
          <w:tcPr>
            <w:tcW w:w="1418" w:type="dxa"/>
          </w:tcPr>
          <w:p w14:paraId="78466D34" w14:textId="77777777" w:rsidR="00DA702B" w:rsidRPr="00DA702B" w:rsidRDefault="00DA702B" w:rsidP="00DA702B">
            <w:pPr>
              <w:rPr>
                <w:sz w:val="20"/>
                <w:szCs w:val="20"/>
              </w:rPr>
            </w:pPr>
          </w:p>
        </w:tc>
        <w:tc>
          <w:tcPr>
            <w:tcW w:w="1080" w:type="dxa"/>
          </w:tcPr>
          <w:p w14:paraId="40D85170" w14:textId="77777777" w:rsidR="00DA702B" w:rsidRPr="00DA702B" w:rsidRDefault="00DA702B" w:rsidP="00DA702B">
            <w:pPr>
              <w:rPr>
                <w:sz w:val="20"/>
                <w:szCs w:val="20"/>
              </w:rPr>
            </w:pPr>
          </w:p>
        </w:tc>
        <w:tc>
          <w:tcPr>
            <w:tcW w:w="833" w:type="dxa"/>
          </w:tcPr>
          <w:p w14:paraId="45B8FEBE" w14:textId="77777777" w:rsidR="00DA702B" w:rsidRPr="00DA702B" w:rsidRDefault="00DA702B" w:rsidP="00DA702B">
            <w:pPr>
              <w:rPr>
                <w:sz w:val="20"/>
                <w:szCs w:val="20"/>
              </w:rPr>
            </w:pPr>
          </w:p>
        </w:tc>
      </w:tr>
      <w:tr w:rsidR="00DA702B" w:rsidRPr="00DA702B" w14:paraId="71A48DD7" w14:textId="77777777" w:rsidTr="00247007">
        <w:trPr>
          <w:cantSplit/>
          <w:trHeight w:val="346"/>
          <w:tblHeader/>
        </w:trPr>
        <w:tc>
          <w:tcPr>
            <w:tcW w:w="1327" w:type="dxa"/>
          </w:tcPr>
          <w:p w14:paraId="6FB4C15C" w14:textId="77777777" w:rsidR="00DA702B" w:rsidRPr="00DA702B" w:rsidRDefault="00DA702B" w:rsidP="00DA702B">
            <w:pPr>
              <w:rPr>
                <w:sz w:val="20"/>
                <w:szCs w:val="20"/>
              </w:rPr>
            </w:pPr>
          </w:p>
        </w:tc>
        <w:tc>
          <w:tcPr>
            <w:tcW w:w="1080" w:type="dxa"/>
          </w:tcPr>
          <w:p w14:paraId="046AD3D2" w14:textId="77777777" w:rsidR="00DA702B" w:rsidRPr="00DA702B" w:rsidRDefault="00DA702B" w:rsidP="00DA702B">
            <w:pPr>
              <w:rPr>
                <w:sz w:val="20"/>
                <w:szCs w:val="20"/>
              </w:rPr>
            </w:pPr>
          </w:p>
        </w:tc>
        <w:tc>
          <w:tcPr>
            <w:tcW w:w="1163" w:type="dxa"/>
          </w:tcPr>
          <w:p w14:paraId="114CDA43" w14:textId="77777777" w:rsidR="00DA702B" w:rsidRPr="00DA702B" w:rsidRDefault="00DA702B" w:rsidP="00DA702B">
            <w:pPr>
              <w:rPr>
                <w:sz w:val="20"/>
                <w:szCs w:val="20"/>
              </w:rPr>
            </w:pPr>
          </w:p>
        </w:tc>
        <w:tc>
          <w:tcPr>
            <w:tcW w:w="1541" w:type="dxa"/>
          </w:tcPr>
          <w:p w14:paraId="4C5DEDF1" w14:textId="77777777" w:rsidR="00DA702B" w:rsidRPr="00DA702B" w:rsidRDefault="00DA702B" w:rsidP="00DA702B">
            <w:pPr>
              <w:rPr>
                <w:sz w:val="20"/>
                <w:szCs w:val="20"/>
              </w:rPr>
            </w:pPr>
          </w:p>
        </w:tc>
        <w:tc>
          <w:tcPr>
            <w:tcW w:w="896" w:type="dxa"/>
          </w:tcPr>
          <w:p w14:paraId="4A7E19D5" w14:textId="77777777" w:rsidR="00DA702B" w:rsidRPr="00DA702B" w:rsidRDefault="00DA702B" w:rsidP="00DA702B">
            <w:pPr>
              <w:rPr>
                <w:sz w:val="20"/>
                <w:szCs w:val="20"/>
              </w:rPr>
            </w:pPr>
          </w:p>
        </w:tc>
        <w:tc>
          <w:tcPr>
            <w:tcW w:w="1530" w:type="dxa"/>
          </w:tcPr>
          <w:p w14:paraId="62B1CDB4" w14:textId="77777777" w:rsidR="00DA702B" w:rsidRPr="00DA702B" w:rsidRDefault="00DA702B" w:rsidP="00DA702B">
            <w:pPr>
              <w:rPr>
                <w:sz w:val="20"/>
                <w:szCs w:val="20"/>
              </w:rPr>
            </w:pPr>
          </w:p>
        </w:tc>
        <w:tc>
          <w:tcPr>
            <w:tcW w:w="1170" w:type="dxa"/>
          </w:tcPr>
          <w:p w14:paraId="5A2D5D9D" w14:textId="77777777" w:rsidR="00DA702B" w:rsidRPr="00DA702B" w:rsidRDefault="00DA702B" w:rsidP="00DA702B">
            <w:pPr>
              <w:rPr>
                <w:sz w:val="20"/>
                <w:szCs w:val="20"/>
              </w:rPr>
            </w:pPr>
          </w:p>
        </w:tc>
        <w:tc>
          <w:tcPr>
            <w:tcW w:w="1170" w:type="dxa"/>
          </w:tcPr>
          <w:p w14:paraId="196D271B" w14:textId="77777777" w:rsidR="00DA702B" w:rsidRPr="00DA702B" w:rsidRDefault="00DA702B" w:rsidP="00DA702B">
            <w:pPr>
              <w:rPr>
                <w:sz w:val="20"/>
                <w:szCs w:val="20"/>
              </w:rPr>
            </w:pPr>
          </w:p>
        </w:tc>
        <w:tc>
          <w:tcPr>
            <w:tcW w:w="1192" w:type="dxa"/>
          </w:tcPr>
          <w:p w14:paraId="0B81ECD6" w14:textId="77777777" w:rsidR="00DA702B" w:rsidRPr="00DA702B" w:rsidRDefault="00DA702B" w:rsidP="00DA702B">
            <w:pPr>
              <w:rPr>
                <w:sz w:val="20"/>
                <w:szCs w:val="20"/>
              </w:rPr>
            </w:pPr>
          </w:p>
        </w:tc>
        <w:tc>
          <w:tcPr>
            <w:tcW w:w="1418" w:type="dxa"/>
          </w:tcPr>
          <w:p w14:paraId="12677FCC" w14:textId="77777777" w:rsidR="00DA702B" w:rsidRPr="00DA702B" w:rsidRDefault="00DA702B" w:rsidP="00DA702B">
            <w:pPr>
              <w:rPr>
                <w:sz w:val="20"/>
                <w:szCs w:val="20"/>
              </w:rPr>
            </w:pPr>
          </w:p>
        </w:tc>
        <w:tc>
          <w:tcPr>
            <w:tcW w:w="1080" w:type="dxa"/>
          </w:tcPr>
          <w:p w14:paraId="279E7579" w14:textId="77777777" w:rsidR="00DA702B" w:rsidRPr="00DA702B" w:rsidRDefault="00DA702B" w:rsidP="00DA702B">
            <w:pPr>
              <w:rPr>
                <w:sz w:val="20"/>
                <w:szCs w:val="20"/>
              </w:rPr>
            </w:pPr>
          </w:p>
        </w:tc>
        <w:tc>
          <w:tcPr>
            <w:tcW w:w="833" w:type="dxa"/>
          </w:tcPr>
          <w:p w14:paraId="050D7DED" w14:textId="77777777" w:rsidR="00DA702B" w:rsidRPr="00DA702B" w:rsidRDefault="00DA702B" w:rsidP="00DA702B">
            <w:pPr>
              <w:rPr>
                <w:sz w:val="20"/>
                <w:szCs w:val="20"/>
              </w:rPr>
            </w:pPr>
          </w:p>
        </w:tc>
      </w:tr>
      <w:tr w:rsidR="00DA702B" w:rsidRPr="00DA702B" w14:paraId="531D67E9" w14:textId="77777777" w:rsidTr="00247007">
        <w:trPr>
          <w:cantSplit/>
          <w:trHeight w:val="346"/>
          <w:tblHeader/>
        </w:trPr>
        <w:tc>
          <w:tcPr>
            <w:tcW w:w="1327" w:type="dxa"/>
          </w:tcPr>
          <w:p w14:paraId="50E25968" w14:textId="77777777" w:rsidR="00DA702B" w:rsidRPr="00DA702B" w:rsidRDefault="00DA702B" w:rsidP="00DA702B">
            <w:pPr>
              <w:rPr>
                <w:sz w:val="20"/>
                <w:szCs w:val="20"/>
              </w:rPr>
            </w:pPr>
          </w:p>
        </w:tc>
        <w:tc>
          <w:tcPr>
            <w:tcW w:w="1080" w:type="dxa"/>
          </w:tcPr>
          <w:p w14:paraId="168CBEA1" w14:textId="77777777" w:rsidR="00DA702B" w:rsidRPr="00DA702B" w:rsidRDefault="00DA702B" w:rsidP="00DA702B">
            <w:pPr>
              <w:rPr>
                <w:sz w:val="20"/>
                <w:szCs w:val="20"/>
              </w:rPr>
            </w:pPr>
          </w:p>
        </w:tc>
        <w:tc>
          <w:tcPr>
            <w:tcW w:w="1163" w:type="dxa"/>
          </w:tcPr>
          <w:p w14:paraId="3079E3C8" w14:textId="77777777" w:rsidR="00DA702B" w:rsidRPr="00DA702B" w:rsidRDefault="00DA702B" w:rsidP="00DA702B">
            <w:pPr>
              <w:rPr>
                <w:sz w:val="20"/>
                <w:szCs w:val="20"/>
              </w:rPr>
            </w:pPr>
          </w:p>
        </w:tc>
        <w:tc>
          <w:tcPr>
            <w:tcW w:w="1541" w:type="dxa"/>
          </w:tcPr>
          <w:p w14:paraId="4F243976" w14:textId="77777777" w:rsidR="00DA702B" w:rsidRPr="00DA702B" w:rsidRDefault="00DA702B" w:rsidP="00DA702B">
            <w:pPr>
              <w:rPr>
                <w:sz w:val="20"/>
                <w:szCs w:val="20"/>
              </w:rPr>
            </w:pPr>
          </w:p>
        </w:tc>
        <w:tc>
          <w:tcPr>
            <w:tcW w:w="896" w:type="dxa"/>
          </w:tcPr>
          <w:p w14:paraId="3BBD3A7C" w14:textId="77777777" w:rsidR="00DA702B" w:rsidRPr="00DA702B" w:rsidRDefault="00DA702B" w:rsidP="00DA702B">
            <w:pPr>
              <w:rPr>
                <w:sz w:val="20"/>
                <w:szCs w:val="20"/>
              </w:rPr>
            </w:pPr>
          </w:p>
        </w:tc>
        <w:tc>
          <w:tcPr>
            <w:tcW w:w="1530" w:type="dxa"/>
          </w:tcPr>
          <w:p w14:paraId="65797FFC" w14:textId="77777777" w:rsidR="00DA702B" w:rsidRPr="00DA702B" w:rsidRDefault="00DA702B" w:rsidP="00DA702B">
            <w:pPr>
              <w:rPr>
                <w:sz w:val="20"/>
                <w:szCs w:val="20"/>
              </w:rPr>
            </w:pPr>
          </w:p>
        </w:tc>
        <w:tc>
          <w:tcPr>
            <w:tcW w:w="1170" w:type="dxa"/>
          </w:tcPr>
          <w:p w14:paraId="012FD7B1" w14:textId="77777777" w:rsidR="00DA702B" w:rsidRPr="00DA702B" w:rsidRDefault="00DA702B" w:rsidP="00DA702B">
            <w:pPr>
              <w:rPr>
                <w:sz w:val="20"/>
                <w:szCs w:val="20"/>
              </w:rPr>
            </w:pPr>
          </w:p>
        </w:tc>
        <w:tc>
          <w:tcPr>
            <w:tcW w:w="1170" w:type="dxa"/>
          </w:tcPr>
          <w:p w14:paraId="23725F6B" w14:textId="77777777" w:rsidR="00DA702B" w:rsidRPr="00DA702B" w:rsidRDefault="00DA702B" w:rsidP="00DA702B">
            <w:pPr>
              <w:rPr>
                <w:sz w:val="20"/>
                <w:szCs w:val="20"/>
              </w:rPr>
            </w:pPr>
          </w:p>
        </w:tc>
        <w:tc>
          <w:tcPr>
            <w:tcW w:w="1192" w:type="dxa"/>
          </w:tcPr>
          <w:p w14:paraId="75C35599" w14:textId="77777777" w:rsidR="00DA702B" w:rsidRPr="00DA702B" w:rsidRDefault="00DA702B" w:rsidP="00DA702B">
            <w:pPr>
              <w:rPr>
                <w:sz w:val="20"/>
                <w:szCs w:val="20"/>
              </w:rPr>
            </w:pPr>
          </w:p>
        </w:tc>
        <w:tc>
          <w:tcPr>
            <w:tcW w:w="1418" w:type="dxa"/>
          </w:tcPr>
          <w:p w14:paraId="61B7D018" w14:textId="77777777" w:rsidR="00DA702B" w:rsidRPr="00DA702B" w:rsidRDefault="00DA702B" w:rsidP="00DA702B">
            <w:pPr>
              <w:rPr>
                <w:sz w:val="20"/>
                <w:szCs w:val="20"/>
              </w:rPr>
            </w:pPr>
          </w:p>
        </w:tc>
        <w:tc>
          <w:tcPr>
            <w:tcW w:w="1080" w:type="dxa"/>
          </w:tcPr>
          <w:p w14:paraId="63B7148A" w14:textId="77777777" w:rsidR="00DA702B" w:rsidRPr="00DA702B" w:rsidRDefault="00DA702B" w:rsidP="00DA702B">
            <w:pPr>
              <w:rPr>
                <w:sz w:val="20"/>
                <w:szCs w:val="20"/>
              </w:rPr>
            </w:pPr>
          </w:p>
        </w:tc>
        <w:tc>
          <w:tcPr>
            <w:tcW w:w="833" w:type="dxa"/>
          </w:tcPr>
          <w:p w14:paraId="019BDA96" w14:textId="77777777" w:rsidR="00DA702B" w:rsidRPr="00DA702B" w:rsidRDefault="00DA702B" w:rsidP="00DA702B">
            <w:pPr>
              <w:rPr>
                <w:sz w:val="20"/>
                <w:szCs w:val="20"/>
              </w:rPr>
            </w:pPr>
          </w:p>
        </w:tc>
      </w:tr>
      <w:tr w:rsidR="00DA702B" w:rsidRPr="00DA702B" w14:paraId="60E134EA" w14:textId="77777777" w:rsidTr="00247007">
        <w:trPr>
          <w:cantSplit/>
          <w:trHeight w:val="346"/>
          <w:tblHeader/>
        </w:trPr>
        <w:tc>
          <w:tcPr>
            <w:tcW w:w="1327" w:type="dxa"/>
          </w:tcPr>
          <w:p w14:paraId="2A28310F" w14:textId="77777777" w:rsidR="00DA702B" w:rsidRPr="00DA702B" w:rsidRDefault="00DA702B" w:rsidP="00DA702B">
            <w:pPr>
              <w:rPr>
                <w:sz w:val="20"/>
                <w:szCs w:val="20"/>
              </w:rPr>
            </w:pPr>
          </w:p>
        </w:tc>
        <w:tc>
          <w:tcPr>
            <w:tcW w:w="1080" w:type="dxa"/>
          </w:tcPr>
          <w:p w14:paraId="62EEE277" w14:textId="77777777" w:rsidR="00DA702B" w:rsidRPr="00DA702B" w:rsidRDefault="00DA702B" w:rsidP="00DA702B">
            <w:pPr>
              <w:rPr>
                <w:sz w:val="20"/>
                <w:szCs w:val="20"/>
              </w:rPr>
            </w:pPr>
          </w:p>
        </w:tc>
        <w:tc>
          <w:tcPr>
            <w:tcW w:w="1163" w:type="dxa"/>
          </w:tcPr>
          <w:p w14:paraId="0172DD28" w14:textId="77777777" w:rsidR="00DA702B" w:rsidRPr="00DA702B" w:rsidRDefault="00DA702B" w:rsidP="00DA702B">
            <w:pPr>
              <w:rPr>
                <w:sz w:val="20"/>
                <w:szCs w:val="20"/>
              </w:rPr>
            </w:pPr>
          </w:p>
        </w:tc>
        <w:tc>
          <w:tcPr>
            <w:tcW w:w="1541" w:type="dxa"/>
          </w:tcPr>
          <w:p w14:paraId="2E9AE68E" w14:textId="77777777" w:rsidR="00DA702B" w:rsidRPr="00DA702B" w:rsidRDefault="00DA702B" w:rsidP="00DA702B">
            <w:pPr>
              <w:rPr>
                <w:sz w:val="20"/>
                <w:szCs w:val="20"/>
              </w:rPr>
            </w:pPr>
          </w:p>
        </w:tc>
        <w:tc>
          <w:tcPr>
            <w:tcW w:w="896" w:type="dxa"/>
          </w:tcPr>
          <w:p w14:paraId="078B90B6" w14:textId="77777777" w:rsidR="00DA702B" w:rsidRPr="00DA702B" w:rsidRDefault="00DA702B" w:rsidP="00DA702B">
            <w:pPr>
              <w:rPr>
                <w:sz w:val="20"/>
                <w:szCs w:val="20"/>
              </w:rPr>
            </w:pPr>
          </w:p>
        </w:tc>
        <w:tc>
          <w:tcPr>
            <w:tcW w:w="1530" w:type="dxa"/>
          </w:tcPr>
          <w:p w14:paraId="103B3ACC" w14:textId="77777777" w:rsidR="00DA702B" w:rsidRPr="00DA702B" w:rsidRDefault="00DA702B" w:rsidP="00DA702B">
            <w:pPr>
              <w:rPr>
                <w:sz w:val="20"/>
                <w:szCs w:val="20"/>
              </w:rPr>
            </w:pPr>
          </w:p>
        </w:tc>
        <w:tc>
          <w:tcPr>
            <w:tcW w:w="1170" w:type="dxa"/>
          </w:tcPr>
          <w:p w14:paraId="4B4B676F" w14:textId="77777777" w:rsidR="00DA702B" w:rsidRPr="00DA702B" w:rsidRDefault="00DA702B" w:rsidP="00DA702B">
            <w:pPr>
              <w:rPr>
                <w:sz w:val="20"/>
                <w:szCs w:val="20"/>
              </w:rPr>
            </w:pPr>
          </w:p>
        </w:tc>
        <w:tc>
          <w:tcPr>
            <w:tcW w:w="1170" w:type="dxa"/>
          </w:tcPr>
          <w:p w14:paraId="26CBDBD0" w14:textId="77777777" w:rsidR="00DA702B" w:rsidRPr="00DA702B" w:rsidRDefault="00DA702B" w:rsidP="00DA702B">
            <w:pPr>
              <w:rPr>
                <w:sz w:val="20"/>
                <w:szCs w:val="20"/>
              </w:rPr>
            </w:pPr>
          </w:p>
        </w:tc>
        <w:tc>
          <w:tcPr>
            <w:tcW w:w="1192" w:type="dxa"/>
          </w:tcPr>
          <w:p w14:paraId="75BC8B7B" w14:textId="77777777" w:rsidR="00DA702B" w:rsidRPr="00DA702B" w:rsidRDefault="00DA702B" w:rsidP="00DA702B">
            <w:pPr>
              <w:rPr>
                <w:sz w:val="20"/>
                <w:szCs w:val="20"/>
              </w:rPr>
            </w:pPr>
          </w:p>
        </w:tc>
        <w:tc>
          <w:tcPr>
            <w:tcW w:w="1418" w:type="dxa"/>
          </w:tcPr>
          <w:p w14:paraId="5D3FF47A" w14:textId="77777777" w:rsidR="00DA702B" w:rsidRPr="00DA702B" w:rsidRDefault="00DA702B" w:rsidP="00DA702B">
            <w:pPr>
              <w:rPr>
                <w:sz w:val="20"/>
                <w:szCs w:val="20"/>
              </w:rPr>
            </w:pPr>
          </w:p>
        </w:tc>
        <w:tc>
          <w:tcPr>
            <w:tcW w:w="1080" w:type="dxa"/>
          </w:tcPr>
          <w:p w14:paraId="7992E3D4" w14:textId="77777777" w:rsidR="00DA702B" w:rsidRPr="00DA702B" w:rsidRDefault="00DA702B" w:rsidP="00DA702B">
            <w:pPr>
              <w:rPr>
                <w:sz w:val="20"/>
                <w:szCs w:val="20"/>
              </w:rPr>
            </w:pPr>
          </w:p>
        </w:tc>
        <w:tc>
          <w:tcPr>
            <w:tcW w:w="833" w:type="dxa"/>
          </w:tcPr>
          <w:p w14:paraId="133B315B" w14:textId="77777777" w:rsidR="00DA702B" w:rsidRPr="00DA702B" w:rsidRDefault="00DA702B" w:rsidP="00DA702B">
            <w:pPr>
              <w:rPr>
                <w:sz w:val="20"/>
                <w:szCs w:val="20"/>
              </w:rPr>
            </w:pPr>
          </w:p>
        </w:tc>
      </w:tr>
      <w:tr w:rsidR="00DA702B" w:rsidRPr="00DA702B" w14:paraId="4AE4F30E" w14:textId="77777777" w:rsidTr="00247007">
        <w:trPr>
          <w:cantSplit/>
          <w:trHeight w:val="346"/>
          <w:tblHeader/>
        </w:trPr>
        <w:tc>
          <w:tcPr>
            <w:tcW w:w="1327" w:type="dxa"/>
          </w:tcPr>
          <w:p w14:paraId="3AB7F270" w14:textId="77777777" w:rsidR="00DA702B" w:rsidRPr="00DA702B" w:rsidRDefault="00DA702B" w:rsidP="00DA702B">
            <w:pPr>
              <w:rPr>
                <w:sz w:val="20"/>
                <w:szCs w:val="20"/>
              </w:rPr>
            </w:pPr>
          </w:p>
        </w:tc>
        <w:tc>
          <w:tcPr>
            <w:tcW w:w="1080" w:type="dxa"/>
          </w:tcPr>
          <w:p w14:paraId="3DDC8F13" w14:textId="77777777" w:rsidR="00DA702B" w:rsidRPr="00DA702B" w:rsidRDefault="00DA702B" w:rsidP="00DA702B">
            <w:pPr>
              <w:rPr>
                <w:sz w:val="20"/>
                <w:szCs w:val="20"/>
              </w:rPr>
            </w:pPr>
          </w:p>
        </w:tc>
        <w:tc>
          <w:tcPr>
            <w:tcW w:w="1163" w:type="dxa"/>
          </w:tcPr>
          <w:p w14:paraId="5169A451" w14:textId="77777777" w:rsidR="00DA702B" w:rsidRPr="00DA702B" w:rsidRDefault="00DA702B" w:rsidP="00DA702B">
            <w:pPr>
              <w:rPr>
                <w:sz w:val="20"/>
                <w:szCs w:val="20"/>
              </w:rPr>
            </w:pPr>
          </w:p>
        </w:tc>
        <w:tc>
          <w:tcPr>
            <w:tcW w:w="1541" w:type="dxa"/>
          </w:tcPr>
          <w:p w14:paraId="5CD19E27" w14:textId="77777777" w:rsidR="00DA702B" w:rsidRPr="00DA702B" w:rsidRDefault="00DA702B" w:rsidP="00DA702B">
            <w:pPr>
              <w:rPr>
                <w:sz w:val="20"/>
                <w:szCs w:val="20"/>
              </w:rPr>
            </w:pPr>
          </w:p>
        </w:tc>
        <w:tc>
          <w:tcPr>
            <w:tcW w:w="896" w:type="dxa"/>
          </w:tcPr>
          <w:p w14:paraId="70AD1921" w14:textId="77777777" w:rsidR="00DA702B" w:rsidRPr="00DA702B" w:rsidRDefault="00DA702B" w:rsidP="00DA702B">
            <w:pPr>
              <w:rPr>
                <w:sz w:val="20"/>
                <w:szCs w:val="20"/>
              </w:rPr>
            </w:pPr>
          </w:p>
        </w:tc>
        <w:tc>
          <w:tcPr>
            <w:tcW w:w="1530" w:type="dxa"/>
          </w:tcPr>
          <w:p w14:paraId="3BA9F476" w14:textId="77777777" w:rsidR="00DA702B" w:rsidRPr="00DA702B" w:rsidRDefault="00DA702B" w:rsidP="00DA702B">
            <w:pPr>
              <w:rPr>
                <w:sz w:val="20"/>
                <w:szCs w:val="20"/>
              </w:rPr>
            </w:pPr>
          </w:p>
        </w:tc>
        <w:tc>
          <w:tcPr>
            <w:tcW w:w="1170" w:type="dxa"/>
          </w:tcPr>
          <w:p w14:paraId="021414E2" w14:textId="77777777" w:rsidR="00DA702B" w:rsidRPr="00DA702B" w:rsidRDefault="00DA702B" w:rsidP="00DA702B">
            <w:pPr>
              <w:rPr>
                <w:sz w:val="20"/>
                <w:szCs w:val="20"/>
              </w:rPr>
            </w:pPr>
          </w:p>
        </w:tc>
        <w:tc>
          <w:tcPr>
            <w:tcW w:w="1170" w:type="dxa"/>
          </w:tcPr>
          <w:p w14:paraId="5771D68D" w14:textId="77777777" w:rsidR="00DA702B" w:rsidRPr="00DA702B" w:rsidRDefault="00DA702B" w:rsidP="00DA702B">
            <w:pPr>
              <w:rPr>
                <w:sz w:val="20"/>
                <w:szCs w:val="20"/>
              </w:rPr>
            </w:pPr>
          </w:p>
        </w:tc>
        <w:tc>
          <w:tcPr>
            <w:tcW w:w="1192" w:type="dxa"/>
          </w:tcPr>
          <w:p w14:paraId="4540BEC2" w14:textId="77777777" w:rsidR="00DA702B" w:rsidRPr="00DA702B" w:rsidRDefault="00DA702B" w:rsidP="00DA702B">
            <w:pPr>
              <w:rPr>
                <w:sz w:val="20"/>
                <w:szCs w:val="20"/>
              </w:rPr>
            </w:pPr>
          </w:p>
        </w:tc>
        <w:tc>
          <w:tcPr>
            <w:tcW w:w="1418" w:type="dxa"/>
          </w:tcPr>
          <w:p w14:paraId="5FE2F9A8" w14:textId="77777777" w:rsidR="00DA702B" w:rsidRPr="00DA702B" w:rsidRDefault="00DA702B" w:rsidP="00DA702B">
            <w:pPr>
              <w:rPr>
                <w:sz w:val="20"/>
                <w:szCs w:val="20"/>
              </w:rPr>
            </w:pPr>
          </w:p>
        </w:tc>
        <w:tc>
          <w:tcPr>
            <w:tcW w:w="1080" w:type="dxa"/>
          </w:tcPr>
          <w:p w14:paraId="2190926D" w14:textId="77777777" w:rsidR="00DA702B" w:rsidRPr="00DA702B" w:rsidRDefault="00DA702B" w:rsidP="00DA702B">
            <w:pPr>
              <w:rPr>
                <w:sz w:val="20"/>
                <w:szCs w:val="20"/>
              </w:rPr>
            </w:pPr>
          </w:p>
        </w:tc>
        <w:tc>
          <w:tcPr>
            <w:tcW w:w="833" w:type="dxa"/>
          </w:tcPr>
          <w:p w14:paraId="424E24C2" w14:textId="77777777" w:rsidR="00DA702B" w:rsidRPr="00DA702B" w:rsidRDefault="00DA702B" w:rsidP="00DA702B">
            <w:pPr>
              <w:rPr>
                <w:sz w:val="20"/>
                <w:szCs w:val="20"/>
              </w:rPr>
            </w:pPr>
          </w:p>
        </w:tc>
      </w:tr>
      <w:tr w:rsidR="00DA702B" w:rsidRPr="00DA702B" w14:paraId="6879C17A" w14:textId="77777777" w:rsidTr="00247007">
        <w:trPr>
          <w:cantSplit/>
          <w:trHeight w:val="346"/>
          <w:tblHeader/>
        </w:trPr>
        <w:tc>
          <w:tcPr>
            <w:tcW w:w="1327" w:type="dxa"/>
          </w:tcPr>
          <w:p w14:paraId="4C4D2BFD" w14:textId="77777777" w:rsidR="00DA702B" w:rsidRPr="00DA702B" w:rsidRDefault="00DA702B" w:rsidP="00DA702B">
            <w:pPr>
              <w:rPr>
                <w:sz w:val="20"/>
                <w:szCs w:val="20"/>
              </w:rPr>
            </w:pPr>
          </w:p>
        </w:tc>
        <w:tc>
          <w:tcPr>
            <w:tcW w:w="1080" w:type="dxa"/>
          </w:tcPr>
          <w:p w14:paraId="479D62D3" w14:textId="77777777" w:rsidR="00DA702B" w:rsidRPr="00DA702B" w:rsidRDefault="00DA702B" w:rsidP="00DA702B">
            <w:pPr>
              <w:rPr>
                <w:sz w:val="20"/>
                <w:szCs w:val="20"/>
              </w:rPr>
            </w:pPr>
          </w:p>
        </w:tc>
        <w:tc>
          <w:tcPr>
            <w:tcW w:w="1163" w:type="dxa"/>
          </w:tcPr>
          <w:p w14:paraId="7BE5114A" w14:textId="77777777" w:rsidR="00DA702B" w:rsidRPr="00DA702B" w:rsidRDefault="00DA702B" w:rsidP="00DA702B">
            <w:pPr>
              <w:rPr>
                <w:sz w:val="20"/>
                <w:szCs w:val="20"/>
              </w:rPr>
            </w:pPr>
          </w:p>
        </w:tc>
        <w:tc>
          <w:tcPr>
            <w:tcW w:w="1541" w:type="dxa"/>
          </w:tcPr>
          <w:p w14:paraId="1DD53F84" w14:textId="77777777" w:rsidR="00DA702B" w:rsidRPr="00DA702B" w:rsidRDefault="00DA702B" w:rsidP="00DA702B">
            <w:pPr>
              <w:rPr>
                <w:sz w:val="20"/>
                <w:szCs w:val="20"/>
              </w:rPr>
            </w:pPr>
          </w:p>
        </w:tc>
        <w:tc>
          <w:tcPr>
            <w:tcW w:w="896" w:type="dxa"/>
          </w:tcPr>
          <w:p w14:paraId="18F279B5" w14:textId="77777777" w:rsidR="00DA702B" w:rsidRPr="00DA702B" w:rsidRDefault="00DA702B" w:rsidP="00DA702B">
            <w:pPr>
              <w:rPr>
                <w:sz w:val="20"/>
                <w:szCs w:val="20"/>
              </w:rPr>
            </w:pPr>
          </w:p>
        </w:tc>
        <w:tc>
          <w:tcPr>
            <w:tcW w:w="1530" w:type="dxa"/>
          </w:tcPr>
          <w:p w14:paraId="2933C48F" w14:textId="77777777" w:rsidR="00DA702B" w:rsidRPr="00DA702B" w:rsidRDefault="00DA702B" w:rsidP="00DA702B">
            <w:pPr>
              <w:rPr>
                <w:sz w:val="20"/>
                <w:szCs w:val="20"/>
              </w:rPr>
            </w:pPr>
          </w:p>
        </w:tc>
        <w:tc>
          <w:tcPr>
            <w:tcW w:w="1170" w:type="dxa"/>
          </w:tcPr>
          <w:p w14:paraId="42087771" w14:textId="77777777" w:rsidR="00DA702B" w:rsidRPr="00DA702B" w:rsidRDefault="00DA702B" w:rsidP="00DA702B">
            <w:pPr>
              <w:rPr>
                <w:sz w:val="20"/>
                <w:szCs w:val="20"/>
              </w:rPr>
            </w:pPr>
          </w:p>
        </w:tc>
        <w:tc>
          <w:tcPr>
            <w:tcW w:w="1170" w:type="dxa"/>
          </w:tcPr>
          <w:p w14:paraId="59DB0D8E" w14:textId="77777777" w:rsidR="00DA702B" w:rsidRPr="00DA702B" w:rsidRDefault="00DA702B" w:rsidP="00DA702B">
            <w:pPr>
              <w:rPr>
                <w:sz w:val="20"/>
                <w:szCs w:val="20"/>
              </w:rPr>
            </w:pPr>
          </w:p>
        </w:tc>
        <w:tc>
          <w:tcPr>
            <w:tcW w:w="1192" w:type="dxa"/>
          </w:tcPr>
          <w:p w14:paraId="43A3E2D1" w14:textId="77777777" w:rsidR="00DA702B" w:rsidRPr="00DA702B" w:rsidRDefault="00DA702B" w:rsidP="00DA702B">
            <w:pPr>
              <w:rPr>
                <w:sz w:val="20"/>
                <w:szCs w:val="20"/>
              </w:rPr>
            </w:pPr>
          </w:p>
        </w:tc>
        <w:tc>
          <w:tcPr>
            <w:tcW w:w="1418" w:type="dxa"/>
          </w:tcPr>
          <w:p w14:paraId="01414ACA" w14:textId="77777777" w:rsidR="00DA702B" w:rsidRPr="00DA702B" w:rsidRDefault="00DA702B" w:rsidP="00DA702B">
            <w:pPr>
              <w:rPr>
                <w:sz w:val="20"/>
                <w:szCs w:val="20"/>
              </w:rPr>
            </w:pPr>
          </w:p>
        </w:tc>
        <w:tc>
          <w:tcPr>
            <w:tcW w:w="1080" w:type="dxa"/>
          </w:tcPr>
          <w:p w14:paraId="40DED936" w14:textId="77777777" w:rsidR="00DA702B" w:rsidRPr="00DA702B" w:rsidRDefault="00DA702B" w:rsidP="00DA702B">
            <w:pPr>
              <w:rPr>
                <w:sz w:val="20"/>
                <w:szCs w:val="20"/>
              </w:rPr>
            </w:pPr>
          </w:p>
        </w:tc>
        <w:tc>
          <w:tcPr>
            <w:tcW w:w="833" w:type="dxa"/>
          </w:tcPr>
          <w:p w14:paraId="403FBE71" w14:textId="77777777" w:rsidR="00DA702B" w:rsidRPr="00DA702B" w:rsidRDefault="00DA702B" w:rsidP="00DA702B">
            <w:pPr>
              <w:rPr>
                <w:sz w:val="20"/>
                <w:szCs w:val="20"/>
              </w:rPr>
            </w:pPr>
          </w:p>
        </w:tc>
      </w:tr>
    </w:tbl>
    <w:p w14:paraId="220049A7" w14:textId="0F1628EC" w:rsidR="00120D6E" w:rsidRDefault="00120D6E" w:rsidP="00DA702B">
      <w:pPr>
        <w:rPr>
          <w:sz w:val="20"/>
          <w:szCs w:val="20"/>
        </w:rPr>
      </w:pPr>
      <w:r>
        <w:rPr>
          <w:sz w:val="20"/>
          <w:szCs w:val="20"/>
        </w:rPr>
        <w:br w:type="page"/>
      </w:r>
    </w:p>
    <w:p w14:paraId="7A0D5BC9" w14:textId="77777777" w:rsidR="00DA702B" w:rsidRPr="00DA702B" w:rsidRDefault="00DA702B" w:rsidP="00726BC5">
      <w:pPr>
        <w:widowControl w:val="0"/>
        <w:jc w:val="center"/>
        <w:rPr>
          <w:rFonts w:eastAsiaTheme="majorEastAsia"/>
          <w:b/>
          <w:bCs/>
        </w:rPr>
      </w:pPr>
      <w:r w:rsidRPr="00DA702B">
        <w:rPr>
          <w:rFonts w:eastAsiaTheme="majorEastAsia"/>
          <w:b/>
          <w:bCs/>
        </w:rPr>
        <w:lastRenderedPageBreak/>
        <w:t>Boiler/Steam Generator/Steam Generating Unit Attributes</w:t>
      </w:r>
    </w:p>
    <w:p w14:paraId="6D87339D" w14:textId="77777777" w:rsidR="00DA702B" w:rsidRPr="00DA702B" w:rsidRDefault="00DA702B" w:rsidP="00726BC5">
      <w:pPr>
        <w:widowControl w:val="0"/>
        <w:jc w:val="center"/>
        <w:rPr>
          <w:rFonts w:eastAsiaTheme="majorEastAsia"/>
          <w:b/>
          <w:bCs/>
        </w:rPr>
      </w:pPr>
      <w:r w:rsidRPr="00DA702B">
        <w:rPr>
          <w:rFonts w:eastAsiaTheme="majorEastAsia"/>
          <w:b/>
          <w:bCs/>
        </w:rPr>
        <w:t>Form OP-UA6 (Page 5)</w:t>
      </w:r>
    </w:p>
    <w:p w14:paraId="76D40924" w14:textId="77777777" w:rsidR="00DA702B" w:rsidRPr="00DA702B" w:rsidRDefault="00DA702B" w:rsidP="00726BC5">
      <w:pPr>
        <w:widowControl w:val="0"/>
        <w:jc w:val="center"/>
        <w:rPr>
          <w:rFonts w:eastAsiaTheme="majorEastAsia"/>
          <w:b/>
          <w:bCs/>
        </w:rPr>
      </w:pPr>
      <w:r w:rsidRPr="00DA702B">
        <w:rPr>
          <w:rFonts w:eastAsiaTheme="majorEastAsia"/>
          <w:b/>
          <w:bCs/>
        </w:rPr>
        <w:t>Federal Operating Permit Program</w:t>
      </w:r>
    </w:p>
    <w:p w14:paraId="3F6F94B4" w14:textId="77777777" w:rsidR="00DA702B" w:rsidRPr="00DA702B" w:rsidRDefault="00DA702B" w:rsidP="00726BC5">
      <w:pPr>
        <w:widowControl w:val="0"/>
        <w:jc w:val="center"/>
        <w:rPr>
          <w:b/>
          <w:bCs/>
        </w:rPr>
      </w:pPr>
      <w:bookmarkStart w:id="167" w:name="TBL_2c"/>
      <w:r w:rsidRPr="00DA702B">
        <w:rPr>
          <w:b/>
          <w:bCs/>
        </w:rPr>
        <w:t>Table 2c</w:t>
      </w:r>
      <w:bookmarkEnd w:id="167"/>
      <w:r w:rsidRPr="00DA702B">
        <w:rPr>
          <w:b/>
          <w:bCs/>
        </w:rPr>
        <w:t>:  Title 40 Code of Federal Regulations Part 60 (40 CFR Part 60)</w:t>
      </w:r>
    </w:p>
    <w:p w14:paraId="36A88326" w14:textId="77777777" w:rsidR="00DA702B" w:rsidRPr="00DA702B" w:rsidRDefault="00DA702B" w:rsidP="00726BC5">
      <w:pPr>
        <w:widowControl w:val="0"/>
        <w:jc w:val="center"/>
        <w:rPr>
          <w:b/>
          <w:bCs/>
        </w:rPr>
      </w:pPr>
      <w:r w:rsidRPr="00DA702B">
        <w:rPr>
          <w:b/>
          <w:bCs/>
        </w:rPr>
        <w:t>Subpart Da:  Standards of Performance for Electric Utility Steam Generating Units</w:t>
      </w:r>
    </w:p>
    <w:p w14:paraId="79BC26C3" w14:textId="77777777" w:rsidR="00DA702B" w:rsidRPr="00DA702B" w:rsidRDefault="00DA702B" w:rsidP="00560A45">
      <w:pPr>
        <w:widowControl w:val="0"/>
        <w:spacing w:after="360"/>
        <w:jc w:val="center"/>
        <w:rPr>
          <w:b/>
          <w:bCs/>
        </w:rPr>
      </w:pPr>
      <w:r w:rsidRPr="00DA702B">
        <w:rPr>
          <w:b/>
          <w:bCs/>
        </w:rPr>
        <w:t>Texas Commission on Environmental Quality</w:t>
      </w:r>
    </w:p>
    <w:p w14:paraId="4227FE80" w14:textId="77777777" w:rsidR="00DA702B" w:rsidRPr="00DA702B" w:rsidRDefault="00DA702B" w:rsidP="00560A45"/>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2c:  Title 40 Code of Federal Regulations Part 60 (40 CFR Part 60)&#10;Subpart Da:  Standards of Performance for Electric Utility Steam Generating Units&#10;&#10;"/>
      </w:tblPr>
      <w:tblGrid>
        <w:gridCol w:w="4800"/>
        <w:gridCol w:w="4800"/>
        <w:gridCol w:w="4800"/>
      </w:tblGrid>
      <w:tr w:rsidR="00DA702B" w:rsidRPr="00DA702B" w14:paraId="3C63E3D1" w14:textId="77777777" w:rsidTr="00247007">
        <w:trPr>
          <w:cantSplit/>
          <w:tblHeader/>
        </w:trPr>
        <w:tc>
          <w:tcPr>
            <w:tcW w:w="4800" w:type="dxa"/>
            <w:shd w:val="clear" w:color="auto" w:fill="D9D9D9" w:themeFill="background1" w:themeFillShade="D9"/>
          </w:tcPr>
          <w:p w14:paraId="135B517D"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3151EBD9"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2ED1A997"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08ACD251" w14:textId="77777777" w:rsidTr="00247007">
        <w:trPr>
          <w:cantSplit/>
          <w:tblHeader/>
        </w:trPr>
        <w:tc>
          <w:tcPr>
            <w:tcW w:w="4800" w:type="dxa"/>
          </w:tcPr>
          <w:p w14:paraId="5F279A39" w14:textId="77777777" w:rsidR="00DA702B" w:rsidRPr="00DA702B" w:rsidRDefault="00DA702B" w:rsidP="00DA702B">
            <w:pPr>
              <w:rPr>
                <w:rFonts w:asciiTheme="majorHAnsi" w:hAnsiTheme="majorHAnsi" w:cstheme="majorHAnsi"/>
              </w:rPr>
            </w:pPr>
          </w:p>
        </w:tc>
        <w:tc>
          <w:tcPr>
            <w:tcW w:w="4800" w:type="dxa"/>
          </w:tcPr>
          <w:p w14:paraId="0D54599F" w14:textId="77777777" w:rsidR="00DA702B" w:rsidRPr="00DA702B" w:rsidRDefault="00DA702B" w:rsidP="00DA702B">
            <w:pPr>
              <w:rPr>
                <w:rFonts w:asciiTheme="majorHAnsi" w:hAnsiTheme="majorHAnsi" w:cstheme="majorHAnsi"/>
              </w:rPr>
            </w:pPr>
          </w:p>
        </w:tc>
        <w:tc>
          <w:tcPr>
            <w:tcW w:w="4800" w:type="dxa"/>
          </w:tcPr>
          <w:p w14:paraId="77FEE53A" w14:textId="77777777" w:rsidR="00DA702B" w:rsidRPr="00DA702B" w:rsidRDefault="00DA702B" w:rsidP="00DA702B">
            <w:pPr>
              <w:rPr>
                <w:rFonts w:asciiTheme="majorHAnsi" w:hAnsiTheme="majorHAnsi" w:cstheme="majorHAnsi"/>
              </w:rPr>
            </w:pPr>
          </w:p>
        </w:tc>
      </w:tr>
    </w:tbl>
    <w:p w14:paraId="690D24CC" w14:textId="77777777" w:rsidR="00DA702B" w:rsidRPr="00DA702B" w:rsidRDefault="00DA702B" w:rsidP="00DA702B"/>
    <w:tbl>
      <w:tblPr>
        <w:tblStyle w:val="TableGrid"/>
        <w:tblpPr w:leftFromText="180" w:rightFromText="180" w:vertAnchor="text" w:tblpY="1"/>
        <w:tblOverlap w:val="never"/>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2c:  Title 40 Code of Federal Regulations Part 60 (40 CFR Part 60)&#10;Subpart Da:  Standards of Performance for Electric Utility Steam Generating Units&#10;"/>
      </w:tblPr>
      <w:tblGrid>
        <w:gridCol w:w="1450"/>
        <w:gridCol w:w="1450"/>
        <w:gridCol w:w="1450"/>
        <w:gridCol w:w="1450"/>
        <w:gridCol w:w="1450"/>
        <w:gridCol w:w="1450"/>
        <w:gridCol w:w="1450"/>
        <w:gridCol w:w="1450"/>
        <w:gridCol w:w="1450"/>
        <w:gridCol w:w="1350"/>
      </w:tblGrid>
      <w:tr w:rsidR="00DA702B" w:rsidRPr="00DA702B" w14:paraId="2406857B" w14:textId="77777777" w:rsidTr="00247007">
        <w:trPr>
          <w:trHeight w:val="443"/>
        </w:trPr>
        <w:tc>
          <w:tcPr>
            <w:tcW w:w="1205" w:type="dxa"/>
            <w:shd w:val="clear" w:color="auto" w:fill="D9D9D9" w:themeFill="background1" w:themeFillShade="D9"/>
            <w:vAlign w:val="bottom"/>
          </w:tcPr>
          <w:p w14:paraId="384988DE" w14:textId="77777777" w:rsidR="00DA702B" w:rsidRPr="00DA702B" w:rsidRDefault="00DA702B" w:rsidP="00DA702B">
            <w:pPr>
              <w:jc w:val="center"/>
              <w:rPr>
                <w:sz w:val="20"/>
                <w:szCs w:val="20"/>
              </w:rPr>
            </w:pPr>
            <w:r w:rsidRPr="00DA702B">
              <w:rPr>
                <w:b/>
                <w:sz w:val="20"/>
                <w:szCs w:val="20"/>
              </w:rPr>
              <w:t>Unit ID No.</w:t>
            </w:r>
          </w:p>
        </w:tc>
        <w:tc>
          <w:tcPr>
            <w:tcW w:w="1205" w:type="dxa"/>
            <w:shd w:val="clear" w:color="auto" w:fill="D9D9D9" w:themeFill="background1" w:themeFillShade="D9"/>
            <w:vAlign w:val="bottom"/>
          </w:tcPr>
          <w:p w14:paraId="78146F8E" w14:textId="77777777" w:rsidR="00DA702B" w:rsidRPr="00DA702B" w:rsidRDefault="00DA702B" w:rsidP="00DA702B">
            <w:pPr>
              <w:jc w:val="center"/>
              <w:rPr>
                <w:sz w:val="20"/>
                <w:szCs w:val="20"/>
              </w:rPr>
            </w:pPr>
            <w:r w:rsidRPr="00DA702B">
              <w:rPr>
                <w:b/>
                <w:sz w:val="20"/>
                <w:szCs w:val="20"/>
              </w:rPr>
              <w:t>SOP Index No.</w:t>
            </w:r>
          </w:p>
        </w:tc>
        <w:tc>
          <w:tcPr>
            <w:tcW w:w="1205" w:type="dxa"/>
            <w:shd w:val="clear" w:color="auto" w:fill="D9D9D9" w:themeFill="background1" w:themeFillShade="D9"/>
            <w:vAlign w:val="bottom"/>
          </w:tcPr>
          <w:p w14:paraId="4308A2A8" w14:textId="77777777" w:rsidR="00DA702B" w:rsidRPr="00DA702B" w:rsidDel="0081161F" w:rsidRDefault="00DA702B" w:rsidP="00DA702B">
            <w:pPr>
              <w:jc w:val="center"/>
              <w:rPr>
                <w:b/>
                <w:sz w:val="20"/>
                <w:szCs w:val="20"/>
              </w:rPr>
            </w:pPr>
            <w:r w:rsidRPr="00DA702B">
              <w:rPr>
                <w:b/>
                <w:sz w:val="20"/>
                <w:szCs w:val="20"/>
              </w:rPr>
              <w:t>SO</w:t>
            </w:r>
            <w:r w:rsidRPr="00DA702B">
              <w:rPr>
                <w:b/>
                <w:sz w:val="20"/>
                <w:szCs w:val="20"/>
                <w:vertAlign w:val="subscript"/>
              </w:rPr>
              <w:t>2</w:t>
            </w:r>
            <w:r w:rsidRPr="00DA702B">
              <w:rPr>
                <w:b/>
                <w:sz w:val="20"/>
                <w:szCs w:val="20"/>
              </w:rPr>
              <w:t xml:space="preserve"> Standard Basis</w:t>
            </w:r>
          </w:p>
        </w:tc>
        <w:tc>
          <w:tcPr>
            <w:tcW w:w="1205" w:type="dxa"/>
            <w:shd w:val="clear" w:color="auto" w:fill="D9D9D9" w:themeFill="background1" w:themeFillShade="D9"/>
            <w:vAlign w:val="bottom"/>
          </w:tcPr>
          <w:p w14:paraId="3D54DB7A" w14:textId="77777777" w:rsidR="00DA702B" w:rsidRPr="00DA702B" w:rsidDel="0081161F" w:rsidRDefault="00DA702B" w:rsidP="00DA702B">
            <w:pPr>
              <w:jc w:val="center"/>
              <w:rPr>
                <w:b/>
                <w:sz w:val="20"/>
                <w:szCs w:val="20"/>
              </w:rPr>
            </w:pPr>
            <w:r w:rsidRPr="00DA702B">
              <w:rPr>
                <w:b/>
                <w:sz w:val="20"/>
                <w:szCs w:val="20"/>
              </w:rPr>
              <w:t>NOx Comm. Dem. Permit</w:t>
            </w:r>
          </w:p>
        </w:tc>
        <w:tc>
          <w:tcPr>
            <w:tcW w:w="1205" w:type="dxa"/>
            <w:shd w:val="clear" w:color="auto" w:fill="D9D9D9" w:themeFill="background1" w:themeFillShade="D9"/>
            <w:vAlign w:val="bottom"/>
          </w:tcPr>
          <w:p w14:paraId="7B74A5FE" w14:textId="77777777" w:rsidR="00DA702B" w:rsidRPr="00DA702B" w:rsidDel="0081161F" w:rsidRDefault="00DA702B" w:rsidP="00DA702B">
            <w:pPr>
              <w:jc w:val="center"/>
              <w:rPr>
                <w:b/>
                <w:sz w:val="20"/>
                <w:szCs w:val="20"/>
              </w:rPr>
            </w:pPr>
            <w:r w:rsidRPr="00DA702B">
              <w:rPr>
                <w:b/>
                <w:sz w:val="20"/>
                <w:szCs w:val="20"/>
              </w:rPr>
              <w:t>Alt. Stds. for Comb. NOx and CO</w:t>
            </w:r>
          </w:p>
        </w:tc>
        <w:tc>
          <w:tcPr>
            <w:tcW w:w="1205" w:type="dxa"/>
            <w:shd w:val="clear" w:color="auto" w:fill="D9D9D9" w:themeFill="background1" w:themeFillShade="D9"/>
            <w:vAlign w:val="bottom"/>
          </w:tcPr>
          <w:p w14:paraId="4510F6D6" w14:textId="77777777" w:rsidR="00DA702B" w:rsidRPr="00DA702B" w:rsidDel="0081161F" w:rsidRDefault="00DA702B" w:rsidP="00DA702B">
            <w:pPr>
              <w:jc w:val="center"/>
              <w:rPr>
                <w:b/>
                <w:sz w:val="20"/>
                <w:szCs w:val="20"/>
              </w:rPr>
            </w:pPr>
            <w:r w:rsidRPr="00DA702B">
              <w:rPr>
                <w:b/>
                <w:sz w:val="20"/>
                <w:szCs w:val="20"/>
              </w:rPr>
              <w:t>NO</w:t>
            </w:r>
            <w:r w:rsidRPr="00DA702B">
              <w:rPr>
                <w:b/>
                <w:sz w:val="20"/>
                <w:szCs w:val="20"/>
                <w:vertAlign w:val="subscript"/>
              </w:rPr>
              <w:t>x</w:t>
            </w:r>
            <w:r w:rsidRPr="00DA702B">
              <w:rPr>
                <w:b/>
                <w:sz w:val="20"/>
                <w:szCs w:val="20"/>
              </w:rPr>
              <w:t xml:space="preserve"> Standard Basis</w:t>
            </w:r>
          </w:p>
        </w:tc>
        <w:tc>
          <w:tcPr>
            <w:tcW w:w="1205" w:type="dxa"/>
            <w:shd w:val="clear" w:color="auto" w:fill="D9D9D9" w:themeFill="background1" w:themeFillShade="D9"/>
            <w:vAlign w:val="bottom"/>
          </w:tcPr>
          <w:p w14:paraId="36DA496F" w14:textId="77777777" w:rsidR="00DA702B" w:rsidRPr="00DA702B" w:rsidRDefault="00DA702B" w:rsidP="00DA702B">
            <w:pPr>
              <w:jc w:val="center"/>
              <w:rPr>
                <w:sz w:val="20"/>
                <w:szCs w:val="20"/>
              </w:rPr>
            </w:pPr>
            <w:r w:rsidRPr="00DA702B">
              <w:rPr>
                <w:b/>
                <w:sz w:val="20"/>
                <w:szCs w:val="20"/>
              </w:rPr>
              <w:t>Duct Burner</w:t>
            </w:r>
          </w:p>
        </w:tc>
        <w:tc>
          <w:tcPr>
            <w:tcW w:w="1205" w:type="dxa"/>
            <w:shd w:val="clear" w:color="auto" w:fill="D9D9D9" w:themeFill="background1" w:themeFillShade="D9"/>
            <w:vAlign w:val="bottom"/>
          </w:tcPr>
          <w:p w14:paraId="6F3FEB0F" w14:textId="77777777" w:rsidR="00DA702B" w:rsidRPr="00DA702B" w:rsidRDefault="00DA702B" w:rsidP="00DA702B">
            <w:pPr>
              <w:jc w:val="center"/>
              <w:rPr>
                <w:sz w:val="20"/>
                <w:szCs w:val="20"/>
              </w:rPr>
            </w:pPr>
            <w:r w:rsidRPr="00DA702B">
              <w:rPr>
                <w:b/>
                <w:sz w:val="20"/>
                <w:szCs w:val="20"/>
              </w:rPr>
              <w:t>PM Flow Monitoring System</w:t>
            </w:r>
          </w:p>
        </w:tc>
        <w:tc>
          <w:tcPr>
            <w:tcW w:w="1205" w:type="dxa"/>
            <w:shd w:val="clear" w:color="auto" w:fill="D9D9D9" w:themeFill="background1" w:themeFillShade="D9"/>
            <w:vAlign w:val="bottom"/>
          </w:tcPr>
          <w:p w14:paraId="02298016" w14:textId="77777777" w:rsidR="00DA702B" w:rsidRPr="00DA702B" w:rsidRDefault="00DA702B" w:rsidP="00DA702B">
            <w:pPr>
              <w:jc w:val="center"/>
              <w:rPr>
                <w:sz w:val="20"/>
                <w:szCs w:val="20"/>
              </w:rPr>
            </w:pPr>
            <w:r w:rsidRPr="00DA702B">
              <w:rPr>
                <w:b/>
                <w:sz w:val="20"/>
                <w:szCs w:val="20"/>
              </w:rPr>
              <w:t>SO</w:t>
            </w:r>
            <w:r w:rsidRPr="00DA702B">
              <w:rPr>
                <w:b/>
                <w:sz w:val="20"/>
                <w:szCs w:val="20"/>
                <w:vertAlign w:val="subscript"/>
              </w:rPr>
              <w:t>2</w:t>
            </w:r>
            <w:r w:rsidRPr="00DA702B">
              <w:rPr>
                <w:b/>
                <w:sz w:val="20"/>
                <w:szCs w:val="20"/>
              </w:rPr>
              <w:t xml:space="preserve"> Flow Monitoring System</w:t>
            </w:r>
          </w:p>
        </w:tc>
        <w:tc>
          <w:tcPr>
            <w:tcW w:w="1122" w:type="dxa"/>
            <w:shd w:val="clear" w:color="auto" w:fill="D9D9D9" w:themeFill="background1" w:themeFillShade="D9"/>
            <w:vAlign w:val="bottom"/>
          </w:tcPr>
          <w:p w14:paraId="0D23732F" w14:textId="77777777" w:rsidR="00DA702B" w:rsidRPr="00DA702B" w:rsidRDefault="00DA702B" w:rsidP="00DA702B">
            <w:pPr>
              <w:jc w:val="center"/>
              <w:rPr>
                <w:sz w:val="20"/>
                <w:szCs w:val="20"/>
              </w:rPr>
            </w:pPr>
            <w:r w:rsidRPr="00DA702B">
              <w:rPr>
                <w:b/>
                <w:sz w:val="20"/>
                <w:szCs w:val="20"/>
              </w:rPr>
              <w:t>NO</w:t>
            </w:r>
            <w:r w:rsidRPr="00DA702B">
              <w:rPr>
                <w:b/>
                <w:sz w:val="20"/>
                <w:szCs w:val="20"/>
                <w:vertAlign w:val="subscript"/>
              </w:rPr>
              <w:t>X</w:t>
            </w:r>
            <w:r w:rsidRPr="00DA702B">
              <w:rPr>
                <w:b/>
                <w:sz w:val="20"/>
                <w:szCs w:val="20"/>
              </w:rPr>
              <w:t xml:space="preserve"> Flow Monitoring System</w:t>
            </w:r>
          </w:p>
        </w:tc>
      </w:tr>
      <w:tr w:rsidR="00DA702B" w:rsidRPr="00DA702B" w14:paraId="4FBABED3" w14:textId="77777777" w:rsidTr="00247007">
        <w:trPr>
          <w:trHeight w:val="326"/>
        </w:trPr>
        <w:tc>
          <w:tcPr>
            <w:tcW w:w="1205" w:type="dxa"/>
          </w:tcPr>
          <w:p w14:paraId="293B7B05" w14:textId="77777777" w:rsidR="00DA702B" w:rsidRPr="00DA702B" w:rsidRDefault="00DA702B" w:rsidP="00DA702B">
            <w:pPr>
              <w:rPr>
                <w:sz w:val="20"/>
                <w:szCs w:val="20"/>
              </w:rPr>
            </w:pPr>
          </w:p>
        </w:tc>
        <w:tc>
          <w:tcPr>
            <w:tcW w:w="1205" w:type="dxa"/>
          </w:tcPr>
          <w:p w14:paraId="69EB3403" w14:textId="77777777" w:rsidR="00DA702B" w:rsidRPr="00DA702B" w:rsidRDefault="00DA702B" w:rsidP="00DA702B">
            <w:pPr>
              <w:rPr>
                <w:sz w:val="20"/>
                <w:szCs w:val="20"/>
              </w:rPr>
            </w:pPr>
          </w:p>
        </w:tc>
        <w:tc>
          <w:tcPr>
            <w:tcW w:w="1205" w:type="dxa"/>
          </w:tcPr>
          <w:p w14:paraId="7F373A54" w14:textId="77777777" w:rsidR="00DA702B" w:rsidRPr="00DA702B" w:rsidRDefault="00DA702B" w:rsidP="00DA702B">
            <w:pPr>
              <w:rPr>
                <w:sz w:val="20"/>
                <w:szCs w:val="20"/>
              </w:rPr>
            </w:pPr>
          </w:p>
        </w:tc>
        <w:tc>
          <w:tcPr>
            <w:tcW w:w="1205" w:type="dxa"/>
          </w:tcPr>
          <w:p w14:paraId="04C5ABF2" w14:textId="77777777" w:rsidR="00DA702B" w:rsidRPr="00DA702B" w:rsidRDefault="00DA702B" w:rsidP="00DA702B">
            <w:pPr>
              <w:rPr>
                <w:sz w:val="20"/>
                <w:szCs w:val="20"/>
              </w:rPr>
            </w:pPr>
          </w:p>
        </w:tc>
        <w:tc>
          <w:tcPr>
            <w:tcW w:w="1205" w:type="dxa"/>
          </w:tcPr>
          <w:p w14:paraId="2E62071B" w14:textId="77777777" w:rsidR="00DA702B" w:rsidRPr="00DA702B" w:rsidRDefault="00DA702B" w:rsidP="00DA702B">
            <w:pPr>
              <w:rPr>
                <w:sz w:val="20"/>
                <w:szCs w:val="20"/>
              </w:rPr>
            </w:pPr>
          </w:p>
        </w:tc>
        <w:tc>
          <w:tcPr>
            <w:tcW w:w="1205" w:type="dxa"/>
          </w:tcPr>
          <w:p w14:paraId="01B76663" w14:textId="77777777" w:rsidR="00DA702B" w:rsidRPr="00DA702B" w:rsidRDefault="00DA702B" w:rsidP="00DA702B">
            <w:pPr>
              <w:rPr>
                <w:sz w:val="20"/>
                <w:szCs w:val="20"/>
              </w:rPr>
            </w:pPr>
          </w:p>
        </w:tc>
        <w:tc>
          <w:tcPr>
            <w:tcW w:w="1205" w:type="dxa"/>
          </w:tcPr>
          <w:p w14:paraId="73DF93B1" w14:textId="77777777" w:rsidR="00DA702B" w:rsidRPr="00DA702B" w:rsidRDefault="00DA702B" w:rsidP="00DA702B">
            <w:pPr>
              <w:rPr>
                <w:sz w:val="20"/>
                <w:szCs w:val="20"/>
              </w:rPr>
            </w:pPr>
          </w:p>
        </w:tc>
        <w:tc>
          <w:tcPr>
            <w:tcW w:w="1205" w:type="dxa"/>
          </w:tcPr>
          <w:p w14:paraId="6331E230" w14:textId="77777777" w:rsidR="00DA702B" w:rsidRPr="00DA702B" w:rsidRDefault="00DA702B" w:rsidP="00DA702B">
            <w:pPr>
              <w:rPr>
                <w:sz w:val="20"/>
                <w:szCs w:val="20"/>
              </w:rPr>
            </w:pPr>
          </w:p>
        </w:tc>
        <w:tc>
          <w:tcPr>
            <w:tcW w:w="1205" w:type="dxa"/>
          </w:tcPr>
          <w:p w14:paraId="0BBF4A25" w14:textId="77777777" w:rsidR="00DA702B" w:rsidRPr="00DA702B" w:rsidRDefault="00DA702B" w:rsidP="00DA702B">
            <w:pPr>
              <w:rPr>
                <w:sz w:val="20"/>
                <w:szCs w:val="20"/>
              </w:rPr>
            </w:pPr>
          </w:p>
        </w:tc>
        <w:tc>
          <w:tcPr>
            <w:tcW w:w="1122" w:type="dxa"/>
          </w:tcPr>
          <w:p w14:paraId="448C26D6" w14:textId="77777777" w:rsidR="00DA702B" w:rsidRPr="00DA702B" w:rsidRDefault="00DA702B" w:rsidP="00DA702B">
            <w:pPr>
              <w:rPr>
                <w:sz w:val="20"/>
                <w:szCs w:val="20"/>
              </w:rPr>
            </w:pPr>
          </w:p>
        </w:tc>
      </w:tr>
      <w:tr w:rsidR="00DA702B" w:rsidRPr="00DA702B" w14:paraId="086CC181" w14:textId="77777777" w:rsidTr="00247007">
        <w:trPr>
          <w:trHeight w:val="326"/>
        </w:trPr>
        <w:tc>
          <w:tcPr>
            <w:tcW w:w="1205" w:type="dxa"/>
          </w:tcPr>
          <w:p w14:paraId="4A3791BF" w14:textId="77777777" w:rsidR="00DA702B" w:rsidRPr="00DA702B" w:rsidRDefault="00DA702B" w:rsidP="00DA702B">
            <w:pPr>
              <w:rPr>
                <w:sz w:val="20"/>
                <w:szCs w:val="20"/>
              </w:rPr>
            </w:pPr>
          </w:p>
        </w:tc>
        <w:tc>
          <w:tcPr>
            <w:tcW w:w="1205" w:type="dxa"/>
          </w:tcPr>
          <w:p w14:paraId="50DF3835" w14:textId="77777777" w:rsidR="00DA702B" w:rsidRPr="00DA702B" w:rsidRDefault="00DA702B" w:rsidP="00DA702B">
            <w:pPr>
              <w:rPr>
                <w:sz w:val="20"/>
                <w:szCs w:val="20"/>
              </w:rPr>
            </w:pPr>
          </w:p>
        </w:tc>
        <w:tc>
          <w:tcPr>
            <w:tcW w:w="1205" w:type="dxa"/>
          </w:tcPr>
          <w:p w14:paraId="1E7C31B5" w14:textId="77777777" w:rsidR="00DA702B" w:rsidRPr="00DA702B" w:rsidRDefault="00DA702B" w:rsidP="00DA702B">
            <w:pPr>
              <w:rPr>
                <w:sz w:val="20"/>
                <w:szCs w:val="20"/>
              </w:rPr>
            </w:pPr>
          </w:p>
        </w:tc>
        <w:tc>
          <w:tcPr>
            <w:tcW w:w="1205" w:type="dxa"/>
          </w:tcPr>
          <w:p w14:paraId="1D8BA82D" w14:textId="77777777" w:rsidR="00DA702B" w:rsidRPr="00DA702B" w:rsidRDefault="00DA702B" w:rsidP="00DA702B">
            <w:pPr>
              <w:rPr>
                <w:sz w:val="20"/>
                <w:szCs w:val="20"/>
              </w:rPr>
            </w:pPr>
          </w:p>
        </w:tc>
        <w:tc>
          <w:tcPr>
            <w:tcW w:w="1205" w:type="dxa"/>
          </w:tcPr>
          <w:p w14:paraId="11BF7B66" w14:textId="77777777" w:rsidR="00DA702B" w:rsidRPr="00DA702B" w:rsidRDefault="00DA702B" w:rsidP="00DA702B">
            <w:pPr>
              <w:rPr>
                <w:sz w:val="20"/>
                <w:szCs w:val="20"/>
              </w:rPr>
            </w:pPr>
          </w:p>
        </w:tc>
        <w:tc>
          <w:tcPr>
            <w:tcW w:w="1205" w:type="dxa"/>
          </w:tcPr>
          <w:p w14:paraId="79EDC29B" w14:textId="77777777" w:rsidR="00DA702B" w:rsidRPr="00DA702B" w:rsidRDefault="00DA702B" w:rsidP="00DA702B">
            <w:pPr>
              <w:rPr>
                <w:sz w:val="20"/>
                <w:szCs w:val="20"/>
              </w:rPr>
            </w:pPr>
          </w:p>
        </w:tc>
        <w:tc>
          <w:tcPr>
            <w:tcW w:w="1205" w:type="dxa"/>
          </w:tcPr>
          <w:p w14:paraId="314FAA3F" w14:textId="77777777" w:rsidR="00DA702B" w:rsidRPr="00DA702B" w:rsidRDefault="00DA702B" w:rsidP="00DA702B">
            <w:pPr>
              <w:rPr>
                <w:sz w:val="20"/>
                <w:szCs w:val="20"/>
              </w:rPr>
            </w:pPr>
          </w:p>
        </w:tc>
        <w:tc>
          <w:tcPr>
            <w:tcW w:w="1205" w:type="dxa"/>
          </w:tcPr>
          <w:p w14:paraId="58430921" w14:textId="77777777" w:rsidR="00DA702B" w:rsidRPr="00DA702B" w:rsidRDefault="00DA702B" w:rsidP="00DA702B">
            <w:pPr>
              <w:rPr>
                <w:sz w:val="20"/>
                <w:szCs w:val="20"/>
              </w:rPr>
            </w:pPr>
          </w:p>
        </w:tc>
        <w:tc>
          <w:tcPr>
            <w:tcW w:w="1205" w:type="dxa"/>
          </w:tcPr>
          <w:p w14:paraId="1EC21374" w14:textId="77777777" w:rsidR="00DA702B" w:rsidRPr="00DA702B" w:rsidRDefault="00DA702B" w:rsidP="00DA702B">
            <w:pPr>
              <w:rPr>
                <w:sz w:val="20"/>
                <w:szCs w:val="20"/>
              </w:rPr>
            </w:pPr>
          </w:p>
        </w:tc>
        <w:tc>
          <w:tcPr>
            <w:tcW w:w="1122" w:type="dxa"/>
          </w:tcPr>
          <w:p w14:paraId="1671022A" w14:textId="77777777" w:rsidR="00DA702B" w:rsidRPr="00DA702B" w:rsidRDefault="00DA702B" w:rsidP="00DA702B">
            <w:pPr>
              <w:rPr>
                <w:sz w:val="20"/>
                <w:szCs w:val="20"/>
              </w:rPr>
            </w:pPr>
          </w:p>
        </w:tc>
      </w:tr>
      <w:tr w:rsidR="00DA702B" w:rsidRPr="00DA702B" w14:paraId="495724A5" w14:textId="77777777" w:rsidTr="00247007">
        <w:trPr>
          <w:trHeight w:val="326"/>
        </w:trPr>
        <w:tc>
          <w:tcPr>
            <w:tcW w:w="1205" w:type="dxa"/>
          </w:tcPr>
          <w:p w14:paraId="4F4826D6" w14:textId="77777777" w:rsidR="00DA702B" w:rsidRPr="00DA702B" w:rsidRDefault="00DA702B" w:rsidP="00DA702B">
            <w:pPr>
              <w:rPr>
                <w:sz w:val="20"/>
                <w:szCs w:val="20"/>
              </w:rPr>
            </w:pPr>
          </w:p>
        </w:tc>
        <w:tc>
          <w:tcPr>
            <w:tcW w:w="1205" w:type="dxa"/>
          </w:tcPr>
          <w:p w14:paraId="1E06C9B1" w14:textId="77777777" w:rsidR="00DA702B" w:rsidRPr="00DA702B" w:rsidRDefault="00DA702B" w:rsidP="00DA702B">
            <w:pPr>
              <w:rPr>
                <w:sz w:val="20"/>
                <w:szCs w:val="20"/>
              </w:rPr>
            </w:pPr>
          </w:p>
        </w:tc>
        <w:tc>
          <w:tcPr>
            <w:tcW w:w="1205" w:type="dxa"/>
          </w:tcPr>
          <w:p w14:paraId="05745F00" w14:textId="77777777" w:rsidR="00DA702B" w:rsidRPr="00DA702B" w:rsidRDefault="00DA702B" w:rsidP="00DA702B">
            <w:pPr>
              <w:rPr>
                <w:sz w:val="20"/>
                <w:szCs w:val="20"/>
              </w:rPr>
            </w:pPr>
          </w:p>
        </w:tc>
        <w:tc>
          <w:tcPr>
            <w:tcW w:w="1205" w:type="dxa"/>
          </w:tcPr>
          <w:p w14:paraId="5C6D325A" w14:textId="77777777" w:rsidR="00DA702B" w:rsidRPr="00DA702B" w:rsidRDefault="00DA702B" w:rsidP="00DA702B">
            <w:pPr>
              <w:rPr>
                <w:sz w:val="20"/>
                <w:szCs w:val="20"/>
              </w:rPr>
            </w:pPr>
          </w:p>
        </w:tc>
        <w:tc>
          <w:tcPr>
            <w:tcW w:w="1205" w:type="dxa"/>
          </w:tcPr>
          <w:p w14:paraId="64319F1A" w14:textId="77777777" w:rsidR="00DA702B" w:rsidRPr="00DA702B" w:rsidRDefault="00DA702B" w:rsidP="00DA702B">
            <w:pPr>
              <w:rPr>
                <w:sz w:val="20"/>
                <w:szCs w:val="20"/>
              </w:rPr>
            </w:pPr>
          </w:p>
        </w:tc>
        <w:tc>
          <w:tcPr>
            <w:tcW w:w="1205" w:type="dxa"/>
          </w:tcPr>
          <w:p w14:paraId="5EB1A4AD" w14:textId="77777777" w:rsidR="00DA702B" w:rsidRPr="00DA702B" w:rsidRDefault="00DA702B" w:rsidP="00DA702B">
            <w:pPr>
              <w:rPr>
                <w:sz w:val="20"/>
                <w:szCs w:val="20"/>
              </w:rPr>
            </w:pPr>
          </w:p>
        </w:tc>
        <w:tc>
          <w:tcPr>
            <w:tcW w:w="1205" w:type="dxa"/>
          </w:tcPr>
          <w:p w14:paraId="600760D4" w14:textId="77777777" w:rsidR="00DA702B" w:rsidRPr="00DA702B" w:rsidRDefault="00DA702B" w:rsidP="00DA702B">
            <w:pPr>
              <w:rPr>
                <w:sz w:val="20"/>
                <w:szCs w:val="20"/>
              </w:rPr>
            </w:pPr>
          </w:p>
        </w:tc>
        <w:tc>
          <w:tcPr>
            <w:tcW w:w="1205" w:type="dxa"/>
          </w:tcPr>
          <w:p w14:paraId="161A9902" w14:textId="77777777" w:rsidR="00DA702B" w:rsidRPr="00DA702B" w:rsidRDefault="00DA702B" w:rsidP="00DA702B">
            <w:pPr>
              <w:rPr>
                <w:sz w:val="20"/>
                <w:szCs w:val="20"/>
              </w:rPr>
            </w:pPr>
          </w:p>
        </w:tc>
        <w:tc>
          <w:tcPr>
            <w:tcW w:w="1205" w:type="dxa"/>
          </w:tcPr>
          <w:p w14:paraId="156C9C19" w14:textId="77777777" w:rsidR="00DA702B" w:rsidRPr="00DA702B" w:rsidRDefault="00DA702B" w:rsidP="00DA702B">
            <w:pPr>
              <w:rPr>
                <w:sz w:val="20"/>
                <w:szCs w:val="20"/>
              </w:rPr>
            </w:pPr>
          </w:p>
        </w:tc>
        <w:tc>
          <w:tcPr>
            <w:tcW w:w="1122" w:type="dxa"/>
          </w:tcPr>
          <w:p w14:paraId="02AD31AB" w14:textId="77777777" w:rsidR="00DA702B" w:rsidRPr="00DA702B" w:rsidRDefault="00DA702B" w:rsidP="00DA702B">
            <w:pPr>
              <w:rPr>
                <w:sz w:val="20"/>
                <w:szCs w:val="20"/>
              </w:rPr>
            </w:pPr>
          </w:p>
        </w:tc>
      </w:tr>
      <w:tr w:rsidR="00DA702B" w:rsidRPr="00DA702B" w14:paraId="636AE049" w14:textId="77777777" w:rsidTr="00247007">
        <w:trPr>
          <w:trHeight w:val="326"/>
        </w:trPr>
        <w:tc>
          <w:tcPr>
            <w:tcW w:w="1205" w:type="dxa"/>
          </w:tcPr>
          <w:p w14:paraId="2F259846" w14:textId="77777777" w:rsidR="00DA702B" w:rsidRPr="00DA702B" w:rsidRDefault="00DA702B" w:rsidP="00DA702B">
            <w:pPr>
              <w:rPr>
                <w:sz w:val="20"/>
                <w:szCs w:val="20"/>
              </w:rPr>
            </w:pPr>
          </w:p>
        </w:tc>
        <w:tc>
          <w:tcPr>
            <w:tcW w:w="1205" w:type="dxa"/>
          </w:tcPr>
          <w:p w14:paraId="504F871A" w14:textId="77777777" w:rsidR="00DA702B" w:rsidRPr="00DA702B" w:rsidRDefault="00DA702B" w:rsidP="00DA702B">
            <w:pPr>
              <w:rPr>
                <w:sz w:val="20"/>
                <w:szCs w:val="20"/>
              </w:rPr>
            </w:pPr>
          </w:p>
        </w:tc>
        <w:tc>
          <w:tcPr>
            <w:tcW w:w="1205" w:type="dxa"/>
          </w:tcPr>
          <w:p w14:paraId="15FEC9D6" w14:textId="77777777" w:rsidR="00DA702B" w:rsidRPr="00DA702B" w:rsidRDefault="00DA702B" w:rsidP="00DA702B">
            <w:pPr>
              <w:rPr>
                <w:sz w:val="20"/>
                <w:szCs w:val="20"/>
              </w:rPr>
            </w:pPr>
          </w:p>
        </w:tc>
        <w:tc>
          <w:tcPr>
            <w:tcW w:w="1205" w:type="dxa"/>
          </w:tcPr>
          <w:p w14:paraId="6A91E4F7" w14:textId="77777777" w:rsidR="00DA702B" w:rsidRPr="00DA702B" w:rsidRDefault="00DA702B" w:rsidP="00DA702B">
            <w:pPr>
              <w:rPr>
                <w:sz w:val="20"/>
                <w:szCs w:val="20"/>
              </w:rPr>
            </w:pPr>
          </w:p>
        </w:tc>
        <w:tc>
          <w:tcPr>
            <w:tcW w:w="1205" w:type="dxa"/>
          </w:tcPr>
          <w:p w14:paraId="7A09C9D8" w14:textId="77777777" w:rsidR="00DA702B" w:rsidRPr="00DA702B" w:rsidRDefault="00DA702B" w:rsidP="00DA702B">
            <w:pPr>
              <w:rPr>
                <w:sz w:val="20"/>
                <w:szCs w:val="20"/>
              </w:rPr>
            </w:pPr>
          </w:p>
        </w:tc>
        <w:tc>
          <w:tcPr>
            <w:tcW w:w="1205" w:type="dxa"/>
          </w:tcPr>
          <w:p w14:paraId="649155CF" w14:textId="77777777" w:rsidR="00DA702B" w:rsidRPr="00DA702B" w:rsidRDefault="00DA702B" w:rsidP="00DA702B">
            <w:pPr>
              <w:rPr>
                <w:sz w:val="20"/>
                <w:szCs w:val="20"/>
              </w:rPr>
            </w:pPr>
          </w:p>
        </w:tc>
        <w:tc>
          <w:tcPr>
            <w:tcW w:w="1205" w:type="dxa"/>
          </w:tcPr>
          <w:p w14:paraId="3695C73B" w14:textId="77777777" w:rsidR="00DA702B" w:rsidRPr="00DA702B" w:rsidRDefault="00DA702B" w:rsidP="00DA702B">
            <w:pPr>
              <w:rPr>
                <w:sz w:val="20"/>
                <w:szCs w:val="20"/>
              </w:rPr>
            </w:pPr>
          </w:p>
        </w:tc>
        <w:tc>
          <w:tcPr>
            <w:tcW w:w="1205" w:type="dxa"/>
          </w:tcPr>
          <w:p w14:paraId="2B0904E4" w14:textId="77777777" w:rsidR="00DA702B" w:rsidRPr="00DA702B" w:rsidRDefault="00DA702B" w:rsidP="00DA702B">
            <w:pPr>
              <w:rPr>
                <w:sz w:val="20"/>
                <w:szCs w:val="20"/>
              </w:rPr>
            </w:pPr>
          </w:p>
        </w:tc>
        <w:tc>
          <w:tcPr>
            <w:tcW w:w="1205" w:type="dxa"/>
          </w:tcPr>
          <w:p w14:paraId="140D6C3B" w14:textId="77777777" w:rsidR="00DA702B" w:rsidRPr="00DA702B" w:rsidRDefault="00DA702B" w:rsidP="00DA702B">
            <w:pPr>
              <w:rPr>
                <w:sz w:val="20"/>
                <w:szCs w:val="20"/>
              </w:rPr>
            </w:pPr>
          </w:p>
        </w:tc>
        <w:tc>
          <w:tcPr>
            <w:tcW w:w="1122" w:type="dxa"/>
          </w:tcPr>
          <w:p w14:paraId="61FDDF42" w14:textId="77777777" w:rsidR="00DA702B" w:rsidRPr="00DA702B" w:rsidRDefault="00DA702B" w:rsidP="00DA702B">
            <w:pPr>
              <w:rPr>
                <w:sz w:val="20"/>
                <w:szCs w:val="20"/>
              </w:rPr>
            </w:pPr>
          </w:p>
        </w:tc>
      </w:tr>
      <w:tr w:rsidR="00DA702B" w:rsidRPr="00DA702B" w14:paraId="3F45F7B4" w14:textId="77777777" w:rsidTr="00247007">
        <w:trPr>
          <w:trHeight w:val="326"/>
        </w:trPr>
        <w:tc>
          <w:tcPr>
            <w:tcW w:w="1205" w:type="dxa"/>
          </w:tcPr>
          <w:p w14:paraId="162B2D49" w14:textId="77777777" w:rsidR="00DA702B" w:rsidRPr="00DA702B" w:rsidRDefault="00DA702B" w:rsidP="00DA702B">
            <w:pPr>
              <w:rPr>
                <w:sz w:val="20"/>
                <w:szCs w:val="20"/>
              </w:rPr>
            </w:pPr>
          </w:p>
        </w:tc>
        <w:tc>
          <w:tcPr>
            <w:tcW w:w="1205" w:type="dxa"/>
          </w:tcPr>
          <w:p w14:paraId="1174F80E" w14:textId="77777777" w:rsidR="00DA702B" w:rsidRPr="00DA702B" w:rsidRDefault="00DA702B" w:rsidP="00DA702B">
            <w:pPr>
              <w:rPr>
                <w:sz w:val="20"/>
                <w:szCs w:val="20"/>
              </w:rPr>
            </w:pPr>
          </w:p>
        </w:tc>
        <w:tc>
          <w:tcPr>
            <w:tcW w:w="1205" w:type="dxa"/>
          </w:tcPr>
          <w:p w14:paraId="4F5CDCD8" w14:textId="77777777" w:rsidR="00DA702B" w:rsidRPr="00DA702B" w:rsidRDefault="00DA702B" w:rsidP="00DA702B">
            <w:pPr>
              <w:rPr>
                <w:sz w:val="20"/>
                <w:szCs w:val="20"/>
              </w:rPr>
            </w:pPr>
          </w:p>
        </w:tc>
        <w:tc>
          <w:tcPr>
            <w:tcW w:w="1205" w:type="dxa"/>
          </w:tcPr>
          <w:p w14:paraId="3891274E" w14:textId="77777777" w:rsidR="00DA702B" w:rsidRPr="00DA702B" w:rsidRDefault="00DA702B" w:rsidP="00DA702B">
            <w:pPr>
              <w:rPr>
                <w:sz w:val="20"/>
                <w:szCs w:val="20"/>
              </w:rPr>
            </w:pPr>
          </w:p>
        </w:tc>
        <w:tc>
          <w:tcPr>
            <w:tcW w:w="1205" w:type="dxa"/>
          </w:tcPr>
          <w:p w14:paraId="339DB733" w14:textId="77777777" w:rsidR="00DA702B" w:rsidRPr="00DA702B" w:rsidRDefault="00DA702B" w:rsidP="00DA702B">
            <w:pPr>
              <w:rPr>
                <w:sz w:val="20"/>
                <w:szCs w:val="20"/>
              </w:rPr>
            </w:pPr>
          </w:p>
        </w:tc>
        <w:tc>
          <w:tcPr>
            <w:tcW w:w="1205" w:type="dxa"/>
          </w:tcPr>
          <w:p w14:paraId="4489ED87" w14:textId="77777777" w:rsidR="00DA702B" w:rsidRPr="00DA702B" w:rsidRDefault="00DA702B" w:rsidP="00DA702B">
            <w:pPr>
              <w:rPr>
                <w:sz w:val="20"/>
                <w:szCs w:val="20"/>
              </w:rPr>
            </w:pPr>
          </w:p>
        </w:tc>
        <w:tc>
          <w:tcPr>
            <w:tcW w:w="1205" w:type="dxa"/>
          </w:tcPr>
          <w:p w14:paraId="7A6A3140" w14:textId="77777777" w:rsidR="00DA702B" w:rsidRPr="00DA702B" w:rsidRDefault="00DA702B" w:rsidP="00DA702B">
            <w:pPr>
              <w:rPr>
                <w:sz w:val="20"/>
                <w:szCs w:val="20"/>
              </w:rPr>
            </w:pPr>
          </w:p>
        </w:tc>
        <w:tc>
          <w:tcPr>
            <w:tcW w:w="1205" w:type="dxa"/>
          </w:tcPr>
          <w:p w14:paraId="56F062F4" w14:textId="77777777" w:rsidR="00DA702B" w:rsidRPr="00DA702B" w:rsidRDefault="00DA702B" w:rsidP="00DA702B">
            <w:pPr>
              <w:rPr>
                <w:sz w:val="20"/>
                <w:szCs w:val="20"/>
              </w:rPr>
            </w:pPr>
          </w:p>
        </w:tc>
        <w:tc>
          <w:tcPr>
            <w:tcW w:w="1205" w:type="dxa"/>
          </w:tcPr>
          <w:p w14:paraId="5F110A79" w14:textId="77777777" w:rsidR="00DA702B" w:rsidRPr="00DA702B" w:rsidRDefault="00DA702B" w:rsidP="00DA702B">
            <w:pPr>
              <w:rPr>
                <w:sz w:val="20"/>
                <w:szCs w:val="20"/>
              </w:rPr>
            </w:pPr>
          </w:p>
        </w:tc>
        <w:tc>
          <w:tcPr>
            <w:tcW w:w="1122" w:type="dxa"/>
          </w:tcPr>
          <w:p w14:paraId="2BCBAA03" w14:textId="77777777" w:rsidR="00DA702B" w:rsidRPr="00DA702B" w:rsidRDefault="00DA702B" w:rsidP="00DA702B">
            <w:pPr>
              <w:rPr>
                <w:sz w:val="20"/>
                <w:szCs w:val="20"/>
              </w:rPr>
            </w:pPr>
          </w:p>
        </w:tc>
      </w:tr>
      <w:tr w:rsidR="00DA702B" w:rsidRPr="00DA702B" w14:paraId="1B62601F" w14:textId="77777777" w:rsidTr="00247007">
        <w:trPr>
          <w:trHeight w:val="326"/>
        </w:trPr>
        <w:tc>
          <w:tcPr>
            <w:tcW w:w="1205" w:type="dxa"/>
          </w:tcPr>
          <w:p w14:paraId="7A3C7A38" w14:textId="77777777" w:rsidR="00DA702B" w:rsidRPr="00DA702B" w:rsidRDefault="00DA702B" w:rsidP="00DA702B">
            <w:pPr>
              <w:rPr>
                <w:sz w:val="20"/>
                <w:szCs w:val="20"/>
              </w:rPr>
            </w:pPr>
          </w:p>
        </w:tc>
        <w:tc>
          <w:tcPr>
            <w:tcW w:w="1205" w:type="dxa"/>
          </w:tcPr>
          <w:p w14:paraId="7D29C1A2" w14:textId="77777777" w:rsidR="00DA702B" w:rsidRPr="00DA702B" w:rsidRDefault="00DA702B" w:rsidP="00DA702B">
            <w:pPr>
              <w:rPr>
                <w:sz w:val="20"/>
                <w:szCs w:val="20"/>
              </w:rPr>
            </w:pPr>
          </w:p>
        </w:tc>
        <w:tc>
          <w:tcPr>
            <w:tcW w:w="1205" w:type="dxa"/>
          </w:tcPr>
          <w:p w14:paraId="45F65777" w14:textId="77777777" w:rsidR="00DA702B" w:rsidRPr="00DA702B" w:rsidRDefault="00DA702B" w:rsidP="00DA702B">
            <w:pPr>
              <w:rPr>
                <w:sz w:val="20"/>
                <w:szCs w:val="20"/>
              </w:rPr>
            </w:pPr>
          </w:p>
        </w:tc>
        <w:tc>
          <w:tcPr>
            <w:tcW w:w="1205" w:type="dxa"/>
          </w:tcPr>
          <w:p w14:paraId="16865490" w14:textId="77777777" w:rsidR="00DA702B" w:rsidRPr="00DA702B" w:rsidRDefault="00DA702B" w:rsidP="00DA702B">
            <w:pPr>
              <w:rPr>
                <w:sz w:val="20"/>
                <w:szCs w:val="20"/>
              </w:rPr>
            </w:pPr>
          </w:p>
        </w:tc>
        <w:tc>
          <w:tcPr>
            <w:tcW w:w="1205" w:type="dxa"/>
          </w:tcPr>
          <w:p w14:paraId="3A66D41B" w14:textId="77777777" w:rsidR="00DA702B" w:rsidRPr="00DA702B" w:rsidRDefault="00DA702B" w:rsidP="00DA702B">
            <w:pPr>
              <w:rPr>
                <w:sz w:val="20"/>
                <w:szCs w:val="20"/>
              </w:rPr>
            </w:pPr>
          </w:p>
        </w:tc>
        <w:tc>
          <w:tcPr>
            <w:tcW w:w="1205" w:type="dxa"/>
          </w:tcPr>
          <w:p w14:paraId="15E3E7B4" w14:textId="77777777" w:rsidR="00DA702B" w:rsidRPr="00DA702B" w:rsidRDefault="00DA702B" w:rsidP="00DA702B">
            <w:pPr>
              <w:rPr>
                <w:sz w:val="20"/>
                <w:szCs w:val="20"/>
              </w:rPr>
            </w:pPr>
          </w:p>
        </w:tc>
        <w:tc>
          <w:tcPr>
            <w:tcW w:w="1205" w:type="dxa"/>
          </w:tcPr>
          <w:p w14:paraId="633C9A56" w14:textId="77777777" w:rsidR="00DA702B" w:rsidRPr="00DA702B" w:rsidRDefault="00DA702B" w:rsidP="00DA702B">
            <w:pPr>
              <w:rPr>
                <w:sz w:val="20"/>
                <w:szCs w:val="20"/>
              </w:rPr>
            </w:pPr>
          </w:p>
        </w:tc>
        <w:tc>
          <w:tcPr>
            <w:tcW w:w="1205" w:type="dxa"/>
          </w:tcPr>
          <w:p w14:paraId="26F9CD0E" w14:textId="77777777" w:rsidR="00DA702B" w:rsidRPr="00DA702B" w:rsidRDefault="00DA702B" w:rsidP="00DA702B">
            <w:pPr>
              <w:rPr>
                <w:sz w:val="20"/>
                <w:szCs w:val="20"/>
              </w:rPr>
            </w:pPr>
          </w:p>
        </w:tc>
        <w:tc>
          <w:tcPr>
            <w:tcW w:w="1205" w:type="dxa"/>
          </w:tcPr>
          <w:p w14:paraId="583C5692" w14:textId="77777777" w:rsidR="00DA702B" w:rsidRPr="00DA702B" w:rsidRDefault="00DA702B" w:rsidP="00DA702B">
            <w:pPr>
              <w:rPr>
                <w:sz w:val="20"/>
                <w:szCs w:val="20"/>
              </w:rPr>
            </w:pPr>
          </w:p>
        </w:tc>
        <w:tc>
          <w:tcPr>
            <w:tcW w:w="1122" w:type="dxa"/>
          </w:tcPr>
          <w:p w14:paraId="1DD1F9A1" w14:textId="77777777" w:rsidR="00DA702B" w:rsidRPr="00DA702B" w:rsidRDefault="00DA702B" w:rsidP="00DA702B">
            <w:pPr>
              <w:rPr>
                <w:sz w:val="20"/>
                <w:szCs w:val="20"/>
              </w:rPr>
            </w:pPr>
          </w:p>
        </w:tc>
      </w:tr>
      <w:tr w:rsidR="00DA702B" w:rsidRPr="00DA702B" w14:paraId="5A58D5B1" w14:textId="77777777" w:rsidTr="00247007">
        <w:trPr>
          <w:trHeight w:val="326"/>
        </w:trPr>
        <w:tc>
          <w:tcPr>
            <w:tcW w:w="1205" w:type="dxa"/>
          </w:tcPr>
          <w:p w14:paraId="280E3571" w14:textId="77777777" w:rsidR="00DA702B" w:rsidRPr="00DA702B" w:rsidRDefault="00DA702B" w:rsidP="00DA702B">
            <w:pPr>
              <w:rPr>
                <w:sz w:val="20"/>
                <w:szCs w:val="20"/>
              </w:rPr>
            </w:pPr>
          </w:p>
        </w:tc>
        <w:tc>
          <w:tcPr>
            <w:tcW w:w="1205" w:type="dxa"/>
          </w:tcPr>
          <w:p w14:paraId="44250206" w14:textId="77777777" w:rsidR="00DA702B" w:rsidRPr="00DA702B" w:rsidRDefault="00DA702B" w:rsidP="00DA702B">
            <w:pPr>
              <w:rPr>
                <w:sz w:val="20"/>
                <w:szCs w:val="20"/>
              </w:rPr>
            </w:pPr>
          </w:p>
        </w:tc>
        <w:tc>
          <w:tcPr>
            <w:tcW w:w="1205" w:type="dxa"/>
          </w:tcPr>
          <w:p w14:paraId="5ACB6F14" w14:textId="77777777" w:rsidR="00DA702B" w:rsidRPr="00DA702B" w:rsidRDefault="00DA702B" w:rsidP="00DA702B">
            <w:pPr>
              <w:rPr>
                <w:sz w:val="20"/>
                <w:szCs w:val="20"/>
              </w:rPr>
            </w:pPr>
          </w:p>
        </w:tc>
        <w:tc>
          <w:tcPr>
            <w:tcW w:w="1205" w:type="dxa"/>
          </w:tcPr>
          <w:p w14:paraId="4971365F" w14:textId="77777777" w:rsidR="00DA702B" w:rsidRPr="00DA702B" w:rsidRDefault="00DA702B" w:rsidP="00DA702B">
            <w:pPr>
              <w:rPr>
                <w:sz w:val="20"/>
                <w:szCs w:val="20"/>
              </w:rPr>
            </w:pPr>
          </w:p>
        </w:tc>
        <w:tc>
          <w:tcPr>
            <w:tcW w:w="1205" w:type="dxa"/>
          </w:tcPr>
          <w:p w14:paraId="173FA7C4" w14:textId="77777777" w:rsidR="00DA702B" w:rsidRPr="00DA702B" w:rsidRDefault="00DA702B" w:rsidP="00DA702B">
            <w:pPr>
              <w:rPr>
                <w:sz w:val="20"/>
                <w:szCs w:val="20"/>
              </w:rPr>
            </w:pPr>
          </w:p>
        </w:tc>
        <w:tc>
          <w:tcPr>
            <w:tcW w:w="1205" w:type="dxa"/>
          </w:tcPr>
          <w:p w14:paraId="0013C819" w14:textId="77777777" w:rsidR="00DA702B" w:rsidRPr="00DA702B" w:rsidRDefault="00DA702B" w:rsidP="00DA702B">
            <w:pPr>
              <w:rPr>
                <w:sz w:val="20"/>
                <w:szCs w:val="20"/>
              </w:rPr>
            </w:pPr>
          </w:p>
        </w:tc>
        <w:tc>
          <w:tcPr>
            <w:tcW w:w="1205" w:type="dxa"/>
          </w:tcPr>
          <w:p w14:paraId="11F01BE9" w14:textId="77777777" w:rsidR="00DA702B" w:rsidRPr="00DA702B" w:rsidRDefault="00DA702B" w:rsidP="00DA702B">
            <w:pPr>
              <w:rPr>
                <w:sz w:val="20"/>
                <w:szCs w:val="20"/>
              </w:rPr>
            </w:pPr>
          </w:p>
        </w:tc>
        <w:tc>
          <w:tcPr>
            <w:tcW w:w="1205" w:type="dxa"/>
          </w:tcPr>
          <w:p w14:paraId="436B6F4B" w14:textId="77777777" w:rsidR="00DA702B" w:rsidRPr="00DA702B" w:rsidRDefault="00DA702B" w:rsidP="00DA702B">
            <w:pPr>
              <w:rPr>
                <w:sz w:val="20"/>
                <w:szCs w:val="20"/>
              </w:rPr>
            </w:pPr>
          </w:p>
        </w:tc>
        <w:tc>
          <w:tcPr>
            <w:tcW w:w="1205" w:type="dxa"/>
          </w:tcPr>
          <w:p w14:paraId="0B9979D8" w14:textId="77777777" w:rsidR="00DA702B" w:rsidRPr="00DA702B" w:rsidRDefault="00DA702B" w:rsidP="00DA702B">
            <w:pPr>
              <w:rPr>
                <w:sz w:val="20"/>
                <w:szCs w:val="20"/>
              </w:rPr>
            </w:pPr>
          </w:p>
        </w:tc>
        <w:tc>
          <w:tcPr>
            <w:tcW w:w="1122" w:type="dxa"/>
          </w:tcPr>
          <w:p w14:paraId="19E3FC75" w14:textId="77777777" w:rsidR="00DA702B" w:rsidRPr="00DA702B" w:rsidRDefault="00DA702B" w:rsidP="00DA702B">
            <w:pPr>
              <w:rPr>
                <w:sz w:val="20"/>
                <w:szCs w:val="20"/>
              </w:rPr>
            </w:pPr>
          </w:p>
        </w:tc>
      </w:tr>
      <w:tr w:rsidR="00DA702B" w:rsidRPr="00DA702B" w14:paraId="0B4E18A5" w14:textId="77777777" w:rsidTr="00247007">
        <w:trPr>
          <w:trHeight w:val="326"/>
        </w:trPr>
        <w:tc>
          <w:tcPr>
            <w:tcW w:w="1205" w:type="dxa"/>
          </w:tcPr>
          <w:p w14:paraId="1D0AC231" w14:textId="77777777" w:rsidR="00DA702B" w:rsidRPr="00DA702B" w:rsidRDefault="00DA702B" w:rsidP="00DA702B">
            <w:pPr>
              <w:rPr>
                <w:sz w:val="20"/>
                <w:szCs w:val="20"/>
              </w:rPr>
            </w:pPr>
          </w:p>
        </w:tc>
        <w:tc>
          <w:tcPr>
            <w:tcW w:w="1205" w:type="dxa"/>
          </w:tcPr>
          <w:p w14:paraId="40C891F1" w14:textId="77777777" w:rsidR="00DA702B" w:rsidRPr="00DA702B" w:rsidRDefault="00DA702B" w:rsidP="00DA702B">
            <w:pPr>
              <w:rPr>
                <w:sz w:val="20"/>
                <w:szCs w:val="20"/>
              </w:rPr>
            </w:pPr>
          </w:p>
        </w:tc>
        <w:tc>
          <w:tcPr>
            <w:tcW w:w="1205" w:type="dxa"/>
          </w:tcPr>
          <w:p w14:paraId="6993909B" w14:textId="77777777" w:rsidR="00DA702B" w:rsidRPr="00DA702B" w:rsidRDefault="00DA702B" w:rsidP="00DA702B">
            <w:pPr>
              <w:rPr>
                <w:sz w:val="20"/>
                <w:szCs w:val="20"/>
              </w:rPr>
            </w:pPr>
          </w:p>
        </w:tc>
        <w:tc>
          <w:tcPr>
            <w:tcW w:w="1205" w:type="dxa"/>
          </w:tcPr>
          <w:p w14:paraId="5D1F8424" w14:textId="77777777" w:rsidR="00DA702B" w:rsidRPr="00DA702B" w:rsidRDefault="00DA702B" w:rsidP="00DA702B">
            <w:pPr>
              <w:rPr>
                <w:sz w:val="20"/>
                <w:szCs w:val="20"/>
              </w:rPr>
            </w:pPr>
          </w:p>
        </w:tc>
        <w:tc>
          <w:tcPr>
            <w:tcW w:w="1205" w:type="dxa"/>
          </w:tcPr>
          <w:p w14:paraId="1D1D4042" w14:textId="77777777" w:rsidR="00DA702B" w:rsidRPr="00DA702B" w:rsidRDefault="00DA702B" w:rsidP="00DA702B">
            <w:pPr>
              <w:rPr>
                <w:sz w:val="20"/>
                <w:szCs w:val="20"/>
              </w:rPr>
            </w:pPr>
          </w:p>
        </w:tc>
        <w:tc>
          <w:tcPr>
            <w:tcW w:w="1205" w:type="dxa"/>
          </w:tcPr>
          <w:p w14:paraId="0636DC07" w14:textId="77777777" w:rsidR="00DA702B" w:rsidRPr="00DA702B" w:rsidRDefault="00DA702B" w:rsidP="00DA702B">
            <w:pPr>
              <w:rPr>
                <w:sz w:val="20"/>
                <w:szCs w:val="20"/>
              </w:rPr>
            </w:pPr>
          </w:p>
        </w:tc>
        <w:tc>
          <w:tcPr>
            <w:tcW w:w="1205" w:type="dxa"/>
          </w:tcPr>
          <w:p w14:paraId="01A3A6ED" w14:textId="77777777" w:rsidR="00DA702B" w:rsidRPr="00DA702B" w:rsidRDefault="00DA702B" w:rsidP="00DA702B">
            <w:pPr>
              <w:rPr>
                <w:sz w:val="20"/>
                <w:szCs w:val="20"/>
              </w:rPr>
            </w:pPr>
          </w:p>
        </w:tc>
        <w:tc>
          <w:tcPr>
            <w:tcW w:w="1205" w:type="dxa"/>
          </w:tcPr>
          <w:p w14:paraId="7E479647" w14:textId="77777777" w:rsidR="00DA702B" w:rsidRPr="00DA702B" w:rsidRDefault="00DA702B" w:rsidP="00DA702B">
            <w:pPr>
              <w:rPr>
                <w:sz w:val="20"/>
                <w:szCs w:val="20"/>
              </w:rPr>
            </w:pPr>
          </w:p>
        </w:tc>
        <w:tc>
          <w:tcPr>
            <w:tcW w:w="1205" w:type="dxa"/>
          </w:tcPr>
          <w:p w14:paraId="1B5D2D3D" w14:textId="77777777" w:rsidR="00DA702B" w:rsidRPr="00DA702B" w:rsidRDefault="00DA702B" w:rsidP="00DA702B">
            <w:pPr>
              <w:rPr>
                <w:sz w:val="20"/>
                <w:szCs w:val="20"/>
              </w:rPr>
            </w:pPr>
          </w:p>
        </w:tc>
        <w:tc>
          <w:tcPr>
            <w:tcW w:w="1122" w:type="dxa"/>
          </w:tcPr>
          <w:p w14:paraId="609D3D86" w14:textId="77777777" w:rsidR="00DA702B" w:rsidRPr="00DA702B" w:rsidRDefault="00DA702B" w:rsidP="00DA702B">
            <w:pPr>
              <w:rPr>
                <w:sz w:val="20"/>
                <w:szCs w:val="20"/>
              </w:rPr>
            </w:pPr>
          </w:p>
        </w:tc>
      </w:tr>
      <w:tr w:rsidR="00DA702B" w:rsidRPr="00DA702B" w14:paraId="208FF942" w14:textId="77777777" w:rsidTr="00247007">
        <w:trPr>
          <w:trHeight w:val="326"/>
        </w:trPr>
        <w:tc>
          <w:tcPr>
            <w:tcW w:w="1205" w:type="dxa"/>
          </w:tcPr>
          <w:p w14:paraId="4E14390C" w14:textId="77777777" w:rsidR="00DA702B" w:rsidRPr="00DA702B" w:rsidRDefault="00DA702B" w:rsidP="00DA702B">
            <w:pPr>
              <w:rPr>
                <w:sz w:val="20"/>
                <w:szCs w:val="20"/>
              </w:rPr>
            </w:pPr>
          </w:p>
        </w:tc>
        <w:tc>
          <w:tcPr>
            <w:tcW w:w="1205" w:type="dxa"/>
          </w:tcPr>
          <w:p w14:paraId="78DD69A8" w14:textId="77777777" w:rsidR="00DA702B" w:rsidRPr="00DA702B" w:rsidRDefault="00DA702B" w:rsidP="00DA702B">
            <w:pPr>
              <w:rPr>
                <w:sz w:val="20"/>
                <w:szCs w:val="20"/>
              </w:rPr>
            </w:pPr>
          </w:p>
        </w:tc>
        <w:tc>
          <w:tcPr>
            <w:tcW w:w="1205" w:type="dxa"/>
          </w:tcPr>
          <w:p w14:paraId="612B4C3D" w14:textId="77777777" w:rsidR="00DA702B" w:rsidRPr="00DA702B" w:rsidRDefault="00DA702B" w:rsidP="00DA702B">
            <w:pPr>
              <w:rPr>
                <w:sz w:val="20"/>
                <w:szCs w:val="20"/>
              </w:rPr>
            </w:pPr>
          </w:p>
        </w:tc>
        <w:tc>
          <w:tcPr>
            <w:tcW w:w="1205" w:type="dxa"/>
          </w:tcPr>
          <w:p w14:paraId="5518A3E4" w14:textId="77777777" w:rsidR="00DA702B" w:rsidRPr="00DA702B" w:rsidRDefault="00DA702B" w:rsidP="00DA702B">
            <w:pPr>
              <w:rPr>
                <w:sz w:val="20"/>
                <w:szCs w:val="20"/>
              </w:rPr>
            </w:pPr>
          </w:p>
        </w:tc>
        <w:tc>
          <w:tcPr>
            <w:tcW w:w="1205" w:type="dxa"/>
          </w:tcPr>
          <w:p w14:paraId="2D54329A" w14:textId="77777777" w:rsidR="00DA702B" w:rsidRPr="00DA702B" w:rsidRDefault="00DA702B" w:rsidP="00DA702B">
            <w:pPr>
              <w:rPr>
                <w:sz w:val="20"/>
                <w:szCs w:val="20"/>
              </w:rPr>
            </w:pPr>
          </w:p>
        </w:tc>
        <w:tc>
          <w:tcPr>
            <w:tcW w:w="1205" w:type="dxa"/>
          </w:tcPr>
          <w:p w14:paraId="12261072" w14:textId="77777777" w:rsidR="00DA702B" w:rsidRPr="00DA702B" w:rsidRDefault="00DA702B" w:rsidP="00DA702B">
            <w:pPr>
              <w:rPr>
                <w:sz w:val="20"/>
                <w:szCs w:val="20"/>
              </w:rPr>
            </w:pPr>
          </w:p>
        </w:tc>
        <w:tc>
          <w:tcPr>
            <w:tcW w:w="1205" w:type="dxa"/>
          </w:tcPr>
          <w:p w14:paraId="5951985D" w14:textId="77777777" w:rsidR="00DA702B" w:rsidRPr="00DA702B" w:rsidRDefault="00DA702B" w:rsidP="00DA702B">
            <w:pPr>
              <w:rPr>
                <w:sz w:val="20"/>
                <w:szCs w:val="20"/>
              </w:rPr>
            </w:pPr>
          </w:p>
        </w:tc>
        <w:tc>
          <w:tcPr>
            <w:tcW w:w="1205" w:type="dxa"/>
          </w:tcPr>
          <w:p w14:paraId="2A4F1568" w14:textId="77777777" w:rsidR="00DA702B" w:rsidRPr="00DA702B" w:rsidRDefault="00DA702B" w:rsidP="00DA702B">
            <w:pPr>
              <w:rPr>
                <w:sz w:val="20"/>
                <w:szCs w:val="20"/>
              </w:rPr>
            </w:pPr>
          </w:p>
        </w:tc>
        <w:tc>
          <w:tcPr>
            <w:tcW w:w="1205" w:type="dxa"/>
          </w:tcPr>
          <w:p w14:paraId="36F506A8" w14:textId="77777777" w:rsidR="00DA702B" w:rsidRPr="00DA702B" w:rsidRDefault="00DA702B" w:rsidP="00DA702B">
            <w:pPr>
              <w:rPr>
                <w:sz w:val="20"/>
                <w:szCs w:val="20"/>
              </w:rPr>
            </w:pPr>
          </w:p>
        </w:tc>
        <w:tc>
          <w:tcPr>
            <w:tcW w:w="1122" w:type="dxa"/>
          </w:tcPr>
          <w:p w14:paraId="710D26A2" w14:textId="77777777" w:rsidR="00DA702B" w:rsidRPr="00DA702B" w:rsidRDefault="00DA702B" w:rsidP="00DA702B">
            <w:pPr>
              <w:rPr>
                <w:sz w:val="20"/>
                <w:szCs w:val="20"/>
              </w:rPr>
            </w:pPr>
          </w:p>
        </w:tc>
      </w:tr>
      <w:tr w:rsidR="00DA702B" w:rsidRPr="00DA702B" w14:paraId="4085867B" w14:textId="77777777" w:rsidTr="00247007">
        <w:trPr>
          <w:trHeight w:val="326"/>
        </w:trPr>
        <w:tc>
          <w:tcPr>
            <w:tcW w:w="1205" w:type="dxa"/>
          </w:tcPr>
          <w:p w14:paraId="4E5A1BBD" w14:textId="77777777" w:rsidR="00DA702B" w:rsidRPr="00DA702B" w:rsidRDefault="00DA702B" w:rsidP="00DA702B">
            <w:pPr>
              <w:rPr>
                <w:sz w:val="20"/>
                <w:szCs w:val="20"/>
              </w:rPr>
            </w:pPr>
          </w:p>
        </w:tc>
        <w:tc>
          <w:tcPr>
            <w:tcW w:w="1205" w:type="dxa"/>
          </w:tcPr>
          <w:p w14:paraId="71E6F56D" w14:textId="77777777" w:rsidR="00DA702B" w:rsidRPr="00DA702B" w:rsidRDefault="00DA702B" w:rsidP="00DA702B">
            <w:pPr>
              <w:rPr>
                <w:sz w:val="20"/>
                <w:szCs w:val="20"/>
              </w:rPr>
            </w:pPr>
          </w:p>
        </w:tc>
        <w:tc>
          <w:tcPr>
            <w:tcW w:w="1205" w:type="dxa"/>
          </w:tcPr>
          <w:p w14:paraId="446259A6" w14:textId="77777777" w:rsidR="00DA702B" w:rsidRPr="00DA702B" w:rsidRDefault="00DA702B" w:rsidP="00DA702B">
            <w:pPr>
              <w:rPr>
                <w:sz w:val="20"/>
                <w:szCs w:val="20"/>
              </w:rPr>
            </w:pPr>
          </w:p>
        </w:tc>
        <w:tc>
          <w:tcPr>
            <w:tcW w:w="1205" w:type="dxa"/>
          </w:tcPr>
          <w:p w14:paraId="0C16034F" w14:textId="77777777" w:rsidR="00DA702B" w:rsidRPr="00DA702B" w:rsidRDefault="00DA702B" w:rsidP="00DA702B">
            <w:pPr>
              <w:rPr>
                <w:sz w:val="20"/>
                <w:szCs w:val="20"/>
              </w:rPr>
            </w:pPr>
          </w:p>
        </w:tc>
        <w:tc>
          <w:tcPr>
            <w:tcW w:w="1205" w:type="dxa"/>
          </w:tcPr>
          <w:p w14:paraId="4389A48C" w14:textId="77777777" w:rsidR="00DA702B" w:rsidRPr="00DA702B" w:rsidRDefault="00DA702B" w:rsidP="00DA702B">
            <w:pPr>
              <w:rPr>
                <w:sz w:val="20"/>
                <w:szCs w:val="20"/>
              </w:rPr>
            </w:pPr>
          </w:p>
        </w:tc>
        <w:tc>
          <w:tcPr>
            <w:tcW w:w="1205" w:type="dxa"/>
          </w:tcPr>
          <w:p w14:paraId="127A6734" w14:textId="77777777" w:rsidR="00DA702B" w:rsidRPr="00DA702B" w:rsidRDefault="00DA702B" w:rsidP="00DA702B">
            <w:pPr>
              <w:rPr>
                <w:sz w:val="20"/>
                <w:szCs w:val="20"/>
              </w:rPr>
            </w:pPr>
          </w:p>
        </w:tc>
        <w:tc>
          <w:tcPr>
            <w:tcW w:w="1205" w:type="dxa"/>
          </w:tcPr>
          <w:p w14:paraId="7CD5EF48" w14:textId="77777777" w:rsidR="00DA702B" w:rsidRPr="00DA702B" w:rsidRDefault="00DA702B" w:rsidP="00DA702B">
            <w:pPr>
              <w:rPr>
                <w:sz w:val="20"/>
                <w:szCs w:val="20"/>
              </w:rPr>
            </w:pPr>
          </w:p>
        </w:tc>
        <w:tc>
          <w:tcPr>
            <w:tcW w:w="1205" w:type="dxa"/>
          </w:tcPr>
          <w:p w14:paraId="3649A29B" w14:textId="77777777" w:rsidR="00DA702B" w:rsidRPr="00DA702B" w:rsidRDefault="00DA702B" w:rsidP="00DA702B">
            <w:pPr>
              <w:rPr>
                <w:sz w:val="20"/>
                <w:szCs w:val="20"/>
              </w:rPr>
            </w:pPr>
          </w:p>
        </w:tc>
        <w:tc>
          <w:tcPr>
            <w:tcW w:w="1205" w:type="dxa"/>
          </w:tcPr>
          <w:p w14:paraId="41EFDB1E" w14:textId="77777777" w:rsidR="00DA702B" w:rsidRPr="00DA702B" w:rsidRDefault="00DA702B" w:rsidP="00DA702B">
            <w:pPr>
              <w:rPr>
                <w:sz w:val="20"/>
                <w:szCs w:val="20"/>
              </w:rPr>
            </w:pPr>
          </w:p>
        </w:tc>
        <w:tc>
          <w:tcPr>
            <w:tcW w:w="1122" w:type="dxa"/>
          </w:tcPr>
          <w:p w14:paraId="29B5DA54" w14:textId="77777777" w:rsidR="00DA702B" w:rsidRPr="00DA702B" w:rsidRDefault="00DA702B" w:rsidP="00DA702B">
            <w:pPr>
              <w:rPr>
                <w:sz w:val="20"/>
                <w:szCs w:val="20"/>
              </w:rPr>
            </w:pPr>
          </w:p>
        </w:tc>
      </w:tr>
    </w:tbl>
    <w:p w14:paraId="523155FF" w14:textId="77777777" w:rsidR="00DA702B" w:rsidRPr="00DA702B" w:rsidRDefault="00DA702B" w:rsidP="00DA702B">
      <w:r w:rsidRPr="00DA702B">
        <w:br w:type="page"/>
      </w:r>
    </w:p>
    <w:p w14:paraId="49BCF3F3" w14:textId="77777777" w:rsidR="00DA702B" w:rsidRPr="00DA702B" w:rsidRDefault="00DA702B" w:rsidP="00A0271E">
      <w:pPr>
        <w:widowControl w:val="0"/>
        <w:jc w:val="center"/>
        <w:rPr>
          <w:rFonts w:eastAsiaTheme="majorEastAsia"/>
          <w:b/>
          <w:bCs/>
        </w:rPr>
      </w:pPr>
      <w:r w:rsidRPr="00DA702B">
        <w:rPr>
          <w:rFonts w:eastAsiaTheme="majorEastAsia"/>
          <w:b/>
          <w:bCs/>
        </w:rPr>
        <w:lastRenderedPageBreak/>
        <w:t>Boiler/Steam Generator/Steam Generating Unit Attributes</w:t>
      </w:r>
    </w:p>
    <w:p w14:paraId="70E782B9" w14:textId="77777777" w:rsidR="00DA702B" w:rsidRPr="00DA702B" w:rsidRDefault="00DA702B" w:rsidP="00A0271E">
      <w:pPr>
        <w:widowControl w:val="0"/>
        <w:jc w:val="center"/>
        <w:rPr>
          <w:rFonts w:eastAsiaTheme="majorEastAsia"/>
          <w:b/>
          <w:bCs/>
        </w:rPr>
      </w:pPr>
      <w:r w:rsidRPr="00DA702B">
        <w:rPr>
          <w:rFonts w:eastAsiaTheme="majorEastAsia"/>
          <w:b/>
          <w:bCs/>
        </w:rPr>
        <w:t>Form OP-UA6 (Page 6)</w:t>
      </w:r>
    </w:p>
    <w:p w14:paraId="7C8EDE0D" w14:textId="77777777" w:rsidR="00DA702B" w:rsidRPr="00DA702B" w:rsidRDefault="00DA702B" w:rsidP="00A0271E">
      <w:pPr>
        <w:widowControl w:val="0"/>
        <w:jc w:val="center"/>
        <w:rPr>
          <w:rFonts w:eastAsiaTheme="majorEastAsia"/>
          <w:b/>
          <w:bCs/>
        </w:rPr>
      </w:pPr>
      <w:r w:rsidRPr="00DA702B">
        <w:rPr>
          <w:rFonts w:eastAsiaTheme="majorEastAsia"/>
          <w:b/>
          <w:bCs/>
        </w:rPr>
        <w:t>Federal Operating Permit Program</w:t>
      </w:r>
    </w:p>
    <w:p w14:paraId="0FE999D4" w14:textId="77777777" w:rsidR="00DA702B" w:rsidRPr="00DA702B" w:rsidRDefault="00DA702B" w:rsidP="00A0271E">
      <w:pPr>
        <w:contextualSpacing/>
        <w:jc w:val="center"/>
        <w:outlineLvl w:val="0"/>
        <w:rPr>
          <w:b/>
          <w:bCs/>
        </w:rPr>
      </w:pPr>
      <w:bookmarkStart w:id="168" w:name="TBL_3a"/>
      <w:r w:rsidRPr="00DA702B">
        <w:rPr>
          <w:b/>
          <w:bCs/>
        </w:rPr>
        <w:t>Table 3a</w:t>
      </w:r>
      <w:bookmarkEnd w:id="168"/>
      <w:r w:rsidRPr="00DA702B">
        <w:rPr>
          <w:b/>
          <w:bCs/>
        </w:rPr>
        <w:t>:  Title 40 Code of Federal Regulations Part 60 (40 CFR Part 60)</w:t>
      </w:r>
    </w:p>
    <w:p w14:paraId="0FBF0C4C" w14:textId="77777777" w:rsidR="00DA702B" w:rsidRPr="00DA702B" w:rsidRDefault="00DA702B" w:rsidP="00A0271E">
      <w:pPr>
        <w:contextualSpacing/>
        <w:jc w:val="center"/>
        <w:outlineLvl w:val="0"/>
        <w:rPr>
          <w:b/>
          <w:bCs/>
        </w:rPr>
      </w:pPr>
      <w:r w:rsidRPr="00DA702B">
        <w:rPr>
          <w:b/>
          <w:bCs/>
        </w:rPr>
        <w:t>Subpart Db:  Standards of Performance for Industrial-Commercial-Institutional Steam Generating Units</w:t>
      </w:r>
    </w:p>
    <w:p w14:paraId="2F476E84" w14:textId="77777777" w:rsidR="00DA702B" w:rsidRPr="00DA702B" w:rsidRDefault="00DA702B" w:rsidP="00A0271E">
      <w:pPr>
        <w:jc w:val="center"/>
        <w:outlineLvl w:val="0"/>
        <w:rPr>
          <w:b/>
          <w:bCs/>
        </w:rPr>
      </w:pPr>
      <w:r w:rsidRPr="00DA702B">
        <w:rPr>
          <w:b/>
          <w:bCs/>
        </w:rPr>
        <w:t>Texas Commission on Environmental Quality</w:t>
      </w:r>
    </w:p>
    <w:p w14:paraId="62678C8D"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a:  Title 40 Code of Federal Regulations Part 60 (40 CFR Part 60)&#10;Subpart Db:  Standards of Performance for Industrial-Commercial Steam Generating Units&#10;&#10;"/>
      </w:tblPr>
      <w:tblGrid>
        <w:gridCol w:w="4800"/>
        <w:gridCol w:w="4800"/>
        <w:gridCol w:w="4800"/>
      </w:tblGrid>
      <w:tr w:rsidR="00DA702B" w:rsidRPr="00DA702B" w14:paraId="299BB715" w14:textId="77777777" w:rsidTr="00247007">
        <w:trPr>
          <w:cantSplit/>
          <w:tblHeader/>
        </w:trPr>
        <w:tc>
          <w:tcPr>
            <w:tcW w:w="4800" w:type="dxa"/>
            <w:shd w:val="clear" w:color="auto" w:fill="D9D9D9" w:themeFill="background1" w:themeFillShade="D9"/>
          </w:tcPr>
          <w:p w14:paraId="3987EBD1"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E6E8EAA"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6263CC26"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4D68DD91" w14:textId="77777777" w:rsidTr="00247007">
        <w:trPr>
          <w:cantSplit/>
          <w:tblHeader/>
        </w:trPr>
        <w:tc>
          <w:tcPr>
            <w:tcW w:w="4800" w:type="dxa"/>
          </w:tcPr>
          <w:p w14:paraId="55CB5BF9" w14:textId="77777777" w:rsidR="00DA702B" w:rsidRPr="00DA702B" w:rsidRDefault="00DA702B" w:rsidP="00DA702B">
            <w:pPr>
              <w:rPr>
                <w:rFonts w:asciiTheme="majorHAnsi" w:hAnsiTheme="majorHAnsi" w:cstheme="majorHAnsi"/>
              </w:rPr>
            </w:pPr>
          </w:p>
        </w:tc>
        <w:tc>
          <w:tcPr>
            <w:tcW w:w="4800" w:type="dxa"/>
          </w:tcPr>
          <w:p w14:paraId="759433E6" w14:textId="77777777" w:rsidR="00DA702B" w:rsidRPr="00DA702B" w:rsidRDefault="00DA702B" w:rsidP="00DA702B">
            <w:pPr>
              <w:rPr>
                <w:rFonts w:asciiTheme="majorHAnsi" w:hAnsiTheme="majorHAnsi" w:cstheme="majorHAnsi"/>
              </w:rPr>
            </w:pPr>
          </w:p>
        </w:tc>
        <w:tc>
          <w:tcPr>
            <w:tcW w:w="4800" w:type="dxa"/>
          </w:tcPr>
          <w:p w14:paraId="5197F398" w14:textId="77777777" w:rsidR="00DA702B" w:rsidRPr="00DA702B" w:rsidRDefault="00DA702B" w:rsidP="00DA702B">
            <w:pPr>
              <w:rPr>
                <w:rFonts w:asciiTheme="majorHAnsi" w:hAnsiTheme="majorHAnsi" w:cstheme="majorHAnsi"/>
              </w:rPr>
            </w:pPr>
          </w:p>
        </w:tc>
      </w:tr>
    </w:tbl>
    <w:p w14:paraId="4B08EB3A"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3a:  Title 40 Code of Federal Regulations Part 60 (40 CFR Part 60)&#10;Subpart Db:  Standards of Performance for Industrial-Commercial Steam Generating Units&#10;"/>
      </w:tblPr>
      <w:tblGrid>
        <w:gridCol w:w="1440"/>
        <w:gridCol w:w="1440"/>
        <w:gridCol w:w="1440"/>
        <w:gridCol w:w="1440"/>
        <w:gridCol w:w="1440"/>
        <w:gridCol w:w="1440"/>
        <w:gridCol w:w="1440"/>
        <w:gridCol w:w="1440"/>
        <w:gridCol w:w="1440"/>
        <w:gridCol w:w="1440"/>
      </w:tblGrid>
      <w:tr w:rsidR="00DA702B" w:rsidRPr="00DA702B" w14:paraId="307837B2" w14:textId="77777777" w:rsidTr="00247007">
        <w:trPr>
          <w:cantSplit/>
          <w:tblHeader/>
        </w:trPr>
        <w:tc>
          <w:tcPr>
            <w:tcW w:w="1440" w:type="dxa"/>
            <w:shd w:val="clear" w:color="auto" w:fill="D9D9D9" w:themeFill="background1" w:themeFillShade="D9"/>
            <w:vAlign w:val="bottom"/>
          </w:tcPr>
          <w:p w14:paraId="3034EAF6" w14:textId="77777777" w:rsidR="00DA702B" w:rsidRPr="00DA702B" w:rsidRDefault="00DA702B" w:rsidP="00DA702B">
            <w:pPr>
              <w:jc w:val="center"/>
              <w:rPr>
                <w:sz w:val="20"/>
                <w:szCs w:val="20"/>
              </w:rPr>
            </w:pPr>
            <w:r w:rsidRPr="00DA702B">
              <w:rPr>
                <w:b/>
                <w:sz w:val="20"/>
                <w:szCs w:val="20"/>
              </w:rPr>
              <w:t>Unit ID No.</w:t>
            </w:r>
          </w:p>
        </w:tc>
        <w:tc>
          <w:tcPr>
            <w:tcW w:w="1440" w:type="dxa"/>
            <w:shd w:val="clear" w:color="auto" w:fill="D9D9D9" w:themeFill="background1" w:themeFillShade="D9"/>
            <w:vAlign w:val="bottom"/>
          </w:tcPr>
          <w:p w14:paraId="79269F81" w14:textId="77777777" w:rsidR="00DA702B" w:rsidRPr="00DA702B" w:rsidRDefault="00DA702B" w:rsidP="00DA702B">
            <w:pPr>
              <w:jc w:val="center"/>
              <w:rPr>
                <w:sz w:val="20"/>
                <w:szCs w:val="20"/>
              </w:rPr>
            </w:pPr>
            <w:r w:rsidRPr="00DA702B">
              <w:rPr>
                <w:b/>
                <w:sz w:val="20"/>
                <w:szCs w:val="20"/>
              </w:rPr>
              <w:t>SOP Index No.</w:t>
            </w:r>
          </w:p>
        </w:tc>
        <w:tc>
          <w:tcPr>
            <w:tcW w:w="1440" w:type="dxa"/>
            <w:shd w:val="clear" w:color="auto" w:fill="D9D9D9" w:themeFill="background1" w:themeFillShade="D9"/>
            <w:vAlign w:val="bottom"/>
          </w:tcPr>
          <w:p w14:paraId="59C20449" w14:textId="77777777" w:rsidR="00DA702B" w:rsidRPr="00DA702B" w:rsidRDefault="00DA702B" w:rsidP="00DA702B">
            <w:pPr>
              <w:jc w:val="center"/>
              <w:rPr>
                <w:sz w:val="20"/>
                <w:szCs w:val="20"/>
              </w:rPr>
            </w:pPr>
            <w:r w:rsidRPr="00DA702B">
              <w:rPr>
                <w:b/>
                <w:sz w:val="20"/>
                <w:szCs w:val="20"/>
              </w:rPr>
              <w:t>Construction/Modification Date</w:t>
            </w:r>
          </w:p>
        </w:tc>
        <w:tc>
          <w:tcPr>
            <w:tcW w:w="1440" w:type="dxa"/>
            <w:shd w:val="clear" w:color="auto" w:fill="D9D9D9" w:themeFill="background1" w:themeFillShade="D9"/>
            <w:vAlign w:val="bottom"/>
          </w:tcPr>
          <w:p w14:paraId="032B3812" w14:textId="77777777" w:rsidR="00DA702B" w:rsidRPr="00DA702B" w:rsidRDefault="00DA702B" w:rsidP="00DA702B">
            <w:pPr>
              <w:jc w:val="center"/>
              <w:rPr>
                <w:sz w:val="20"/>
                <w:szCs w:val="20"/>
              </w:rPr>
            </w:pPr>
            <w:r w:rsidRPr="00DA702B">
              <w:rPr>
                <w:b/>
                <w:sz w:val="20"/>
                <w:szCs w:val="20"/>
              </w:rPr>
              <w:t>Heat Input Capacity</w:t>
            </w:r>
          </w:p>
        </w:tc>
        <w:tc>
          <w:tcPr>
            <w:tcW w:w="1440" w:type="dxa"/>
            <w:shd w:val="clear" w:color="auto" w:fill="D9D9D9" w:themeFill="background1" w:themeFillShade="D9"/>
            <w:vAlign w:val="bottom"/>
          </w:tcPr>
          <w:p w14:paraId="2C12ABF5" w14:textId="77777777" w:rsidR="00DA702B" w:rsidRPr="00DA702B" w:rsidRDefault="00DA702B" w:rsidP="00DA702B">
            <w:pPr>
              <w:jc w:val="center"/>
              <w:rPr>
                <w:sz w:val="20"/>
                <w:szCs w:val="20"/>
              </w:rPr>
            </w:pPr>
            <w:r w:rsidRPr="00DA702B">
              <w:rPr>
                <w:b/>
                <w:sz w:val="20"/>
                <w:szCs w:val="20"/>
              </w:rPr>
              <w:t>Subpart Da</w:t>
            </w:r>
          </w:p>
        </w:tc>
        <w:tc>
          <w:tcPr>
            <w:tcW w:w="1440" w:type="dxa"/>
            <w:shd w:val="clear" w:color="auto" w:fill="D9D9D9" w:themeFill="background1" w:themeFillShade="D9"/>
            <w:vAlign w:val="bottom"/>
          </w:tcPr>
          <w:p w14:paraId="635BB04B" w14:textId="77777777" w:rsidR="00DA702B" w:rsidRPr="00DA702B" w:rsidRDefault="00DA702B" w:rsidP="00DA702B">
            <w:pPr>
              <w:jc w:val="center"/>
              <w:rPr>
                <w:sz w:val="20"/>
                <w:szCs w:val="20"/>
              </w:rPr>
            </w:pPr>
            <w:r w:rsidRPr="00DA702B">
              <w:rPr>
                <w:b/>
                <w:sz w:val="20"/>
                <w:szCs w:val="20"/>
              </w:rPr>
              <w:t>Changes to Existing Affected Facility</w:t>
            </w:r>
          </w:p>
        </w:tc>
        <w:tc>
          <w:tcPr>
            <w:tcW w:w="1440" w:type="dxa"/>
            <w:shd w:val="clear" w:color="auto" w:fill="D9D9D9" w:themeFill="background1" w:themeFillShade="D9"/>
            <w:vAlign w:val="bottom"/>
          </w:tcPr>
          <w:p w14:paraId="4F87195E" w14:textId="77777777" w:rsidR="00DA702B" w:rsidRPr="00DA702B" w:rsidRDefault="00DA702B" w:rsidP="00DA702B">
            <w:pPr>
              <w:jc w:val="center"/>
              <w:rPr>
                <w:sz w:val="20"/>
                <w:szCs w:val="20"/>
              </w:rPr>
            </w:pPr>
            <w:r w:rsidRPr="00DA702B">
              <w:rPr>
                <w:b/>
                <w:sz w:val="20"/>
                <w:szCs w:val="20"/>
              </w:rPr>
              <w:t>Subpart Ea, Eb, AAAA, or CCCC</w:t>
            </w:r>
          </w:p>
        </w:tc>
        <w:tc>
          <w:tcPr>
            <w:tcW w:w="1440" w:type="dxa"/>
            <w:shd w:val="clear" w:color="auto" w:fill="D9D9D9" w:themeFill="background1" w:themeFillShade="D9"/>
            <w:vAlign w:val="bottom"/>
          </w:tcPr>
          <w:p w14:paraId="0CE5091D" w14:textId="77777777" w:rsidR="00DA702B" w:rsidRPr="00DA702B" w:rsidRDefault="00DA702B" w:rsidP="00DA702B">
            <w:pPr>
              <w:jc w:val="center"/>
              <w:rPr>
                <w:sz w:val="20"/>
                <w:szCs w:val="20"/>
              </w:rPr>
            </w:pPr>
            <w:r w:rsidRPr="00DA702B">
              <w:rPr>
                <w:b/>
                <w:sz w:val="20"/>
                <w:szCs w:val="20"/>
              </w:rPr>
              <w:t>Subpart KKKK</w:t>
            </w:r>
          </w:p>
        </w:tc>
        <w:tc>
          <w:tcPr>
            <w:tcW w:w="1440" w:type="dxa"/>
            <w:shd w:val="clear" w:color="auto" w:fill="D9D9D9" w:themeFill="background1" w:themeFillShade="D9"/>
            <w:vAlign w:val="bottom"/>
          </w:tcPr>
          <w:p w14:paraId="499B4878" w14:textId="77777777" w:rsidR="00DA702B" w:rsidRPr="00DA702B" w:rsidRDefault="00DA702B" w:rsidP="00DA702B">
            <w:pPr>
              <w:jc w:val="center"/>
              <w:rPr>
                <w:sz w:val="20"/>
                <w:szCs w:val="20"/>
              </w:rPr>
            </w:pPr>
            <w:r w:rsidRPr="00DA702B">
              <w:rPr>
                <w:b/>
                <w:sz w:val="20"/>
                <w:szCs w:val="20"/>
              </w:rPr>
              <w:t>Subpart Cb or BBBB</w:t>
            </w:r>
          </w:p>
        </w:tc>
        <w:tc>
          <w:tcPr>
            <w:tcW w:w="1440" w:type="dxa"/>
            <w:shd w:val="clear" w:color="auto" w:fill="D9D9D9" w:themeFill="background1" w:themeFillShade="D9"/>
            <w:vAlign w:val="bottom"/>
          </w:tcPr>
          <w:p w14:paraId="65380081" w14:textId="77777777" w:rsidR="00DA702B" w:rsidRPr="00DA702B" w:rsidRDefault="00DA702B" w:rsidP="00DA702B">
            <w:pPr>
              <w:jc w:val="center"/>
              <w:rPr>
                <w:b/>
                <w:sz w:val="20"/>
                <w:szCs w:val="20"/>
              </w:rPr>
            </w:pPr>
            <w:r w:rsidRPr="00DA702B">
              <w:rPr>
                <w:b/>
                <w:sz w:val="20"/>
                <w:szCs w:val="20"/>
              </w:rPr>
              <w:t>Temporary Boiler</w:t>
            </w:r>
          </w:p>
        </w:tc>
      </w:tr>
      <w:tr w:rsidR="00DA702B" w:rsidRPr="00DA702B" w14:paraId="2269CD71" w14:textId="77777777" w:rsidTr="00247007">
        <w:trPr>
          <w:cantSplit/>
          <w:trHeight w:val="346"/>
          <w:tblHeader/>
        </w:trPr>
        <w:tc>
          <w:tcPr>
            <w:tcW w:w="1440" w:type="dxa"/>
          </w:tcPr>
          <w:p w14:paraId="0EFD718C" w14:textId="77777777" w:rsidR="00DA702B" w:rsidRPr="00DA702B" w:rsidRDefault="00DA702B" w:rsidP="00DA702B">
            <w:pPr>
              <w:rPr>
                <w:sz w:val="20"/>
                <w:szCs w:val="20"/>
              </w:rPr>
            </w:pPr>
          </w:p>
        </w:tc>
        <w:tc>
          <w:tcPr>
            <w:tcW w:w="1440" w:type="dxa"/>
          </w:tcPr>
          <w:p w14:paraId="2BF9BF15" w14:textId="77777777" w:rsidR="00DA702B" w:rsidRPr="00DA702B" w:rsidRDefault="00DA702B" w:rsidP="00DA702B">
            <w:pPr>
              <w:rPr>
                <w:sz w:val="20"/>
                <w:szCs w:val="20"/>
              </w:rPr>
            </w:pPr>
          </w:p>
        </w:tc>
        <w:tc>
          <w:tcPr>
            <w:tcW w:w="1440" w:type="dxa"/>
          </w:tcPr>
          <w:p w14:paraId="27245D73" w14:textId="77777777" w:rsidR="00DA702B" w:rsidRPr="00DA702B" w:rsidRDefault="00DA702B" w:rsidP="00DA702B">
            <w:pPr>
              <w:rPr>
                <w:sz w:val="20"/>
                <w:szCs w:val="20"/>
              </w:rPr>
            </w:pPr>
          </w:p>
        </w:tc>
        <w:tc>
          <w:tcPr>
            <w:tcW w:w="1440" w:type="dxa"/>
          </w:tcPr>
          <w:p w14:paraId="3921CFEE" w14:textId="77777777" w:rsidR="00DA702B" w:rsidRPr="00DA702B" w:rsidRDefault="00DA702B" w:rsidP="00DA702B">
            <w:pPr>
              <w:rPr>
                <w:sz w:val="20"/>
                <w:szCs w:val="20"/>
              </w:rPr>
            </w:pPr>
          </w:p>
        </w:tc>
        <w:tc>
          <w:tcPr>
            <w:tcW w:w="1440" w:type="dxa"/>
          </w:tcPr>
          <w:p w14:paraId="6132BE6B" w14:textId="77777777" w:rsidR="00DA702B" w:rsidRPr="00DA702B" w:rsidRDefault="00DA702B" w:rsidP="00DA702B">
            <w:pPr>
              <w:rPr>
                <w:sz w:val="20"/>
                <w:szCs w:val="20"/>
              </w:rPr>
            </w:pPr>
          </w:p>
        </w:tc>
        <w:tc>
          <w:tcPr>
            <w:tcW w:w="1440" w:type="dxa"/>
          </w:tcPr>
          <w:p w14:paraId="72BFEA5B" w14:textId="77777777" w:rsidR="00DA702B" w:rsidRPr="00DA702B" w:rsidRDefault="00DA702B" w:rsidP="00DA702B">
            <w:pPr>
              <w:rPr>
                <w:sz w:val="20"/>
                <w:szCs w:val="20"/>
              </w:rPr>
            </w:pPr>
          </w:p>
        </w:tc>
        <w:tc>
          <w:tcPr>
            <w:tcW w:w="1440" w:type="dxa"/>
          </w:tcPr>
          <w:p w14:paraId="478E9CF2" w14:textId="77777777" w:rsidR="00DA702B" w:rsidRPr="00DA702B" w:rsidRDefault="00DA702B" w:rsidP="00DA702B">
            <w:pPr>
              <w:rPr>
                <w:sz w:val="20"/>
                <w:szCs w:val="20"/>
              </w:rPr>
            </w:pPr>
          </w:p>
        </w:tc>
        <w:tc>
          <w:tcPr>
            <w:tcW w:w="1440" w:type="dxa"/>
          </w:tcPr>
          <w:p w14:paraId="4527BB5E" w14:textId="77777777" w:rsidR="00DA702B" w:rsidRPr="00DA702B" w:rsidRDefault="00DA702B" w:rsidP="00DA702B">
            <w:pPr>
              <w:rPr>
                <w:sz w:val="20"/>
                <w:szCs w:val="20"/>
              </w:rPr>
            </w:pPr>
          </w:p>
        </w:tc>
        <w:tc>
          <w:tcPr>
            <w:tcW w:w="1440" w:type="dxa"/>
          </w:tcPr>
          <w:p w14:paraId="204BDB9E" w14:textId="77777777" w:rsidR="00DA702B" w:rsidRPr="00DA702B" w:rsidRDefault="00DA702B" w:rsidP="00DA702B">
            <w:pPr>
              <w:rPr>
                <w:sz w:val="20"/>
                <w:szCs w:val="20"/>
              </w:rPr>
            </w:pPr>
          </w:p>
        </w:tc>
        <w:tc>
          <w:tcPr>
            <w:tcW w:w="1440" w:type="dxa"/>
          </w:tcPr>
          <w:p w14:paraId="19350768" w14:textId="77777777" w:rsidR="00DA702B" w:rsidRPr="00DA702B" w:rsidRDefault="00DA702B" w:rsidP="00DA702B">
            <w:pPr>
              <w:rPr>
                <w:sz w:val="20"/>
                <w:szCs w:val="20"/>
              </w:rPr>
            </w:pPr>
          </w:p>
        </w:tc>
      </w:tr>
      <w:tr w:rsidR="00DA702B" w:rsidRPr="00DA702B" w14:paraId="60744BF1" w14:textId="77777777" w:rsidTr="00247007">
        <w:trPr>
          <w:cantSplit/>
          <w:trHeight w:val="346"/>
          <w:tblHeader/>
        </w:trPr>
        <w:tc>
          <w:tcPr>
            <w:tcW w:w="1440" w:type="dxa"/>
          </w:tcPr>
          <w:p w14:paraId="4FFB256B" w14:textId="77777777" w:rsidR="00DA702B" w:rsidRPr="00DA702B" w:rsidRDefault="00DA702B" w:rsidP="00DA702B">
            <w:pPr>
              <w:rPr>
                <w:sz w:val="20"/>
                <w:szCs w:val="20"/>
              </w:rPr>
            </w:pPr>
          </w:p>
        </w:tc>
        <w:tc>
          <w:tcPr>
            <w:tcW w:w="1440" w:type="dxa"/>
          </w:tcPr>
          <w:p w14:paraId="70D74AA4" w14:textId="77777777" w:rsidR="00DA702B" w:rsidRPr="00DA702B" w:rsidRDefault="00DA702B" w:rsidP="00DA702B">
            <w:pPr>
              <w:rPr>
                <w:sz w:val="20"/>
                <w:szCs w:val="20"/>
              </w:rPr>
            </w:pPr>
          </w:p>
        </w:tc>
        <w:tc>
          <w:tcPr>
            <w:tcW w:w="1440" w:type="dxa"/>
          </w:tcPr>
          <w:p w14:paraId="0E576E71" w14:textId="77777777" w:rsidR="00DA702B" w:rsidRPr="00DA702B" w:rsidRDefault="00DA702B" w:rsidP="00DA702B">
            <w:pPr>
              <w:rPr>
                <w:sz w:val="20"/>
                <w:szCs w:val="20"/>
              </w:rPr>
            </w:pPr>
          </w:p>
        </w:tc>
        <w:tc>
          <w:tcPr>
            <w:tcW w:w="1440" w:type="dxa"/>
          </w:tcPr>
          <w:p w14:paraId="4B349814" w14:textId="77777777" w:rsidR="00DA702B" w:rsidRPr="00DA702B" w:rsidRDefault="00DA702B" w:rsidP="00DA702B">
            <w:pPr>
              <w:rPr>
                <w:sz w:val="20"/>
                <w:szCs w:val="20"/>
              </w:rPr>
            </w:pPr>
          </w:p>
        </w:tc>
        <w:tc>
          <w:tcPr>
            <w:tcW w:w="1440" w:type="dxa"/>
          </w:tcPr>
          <w:p w14:paraId="3BBB057E" w14:textId="77777777" w:rsidR="00DA702B" w:rsidRPr="00DA702B" w:rsidRDefault="00DA702B" w:rsidP="00DA702B">
            <w:pPr>
              <w:rPr>
                <w:sz w:val="20"/>
                <w:szCs w:val="20"/>
              </w:rPr>
            </w:pPr>
          </w:p>
        </w:tc>
        <w:tc>
          <w:tcPr>
            <w:tcW w:w="1440" w:type="dxa"/>
          </w:tcPr>
          <w:p w14:paraId="10CE7E87" w14:textId="77777777" w:rsidR="00DA702B" w:rsidRPr="00DA702B" w:rsidRDefault="00DA702B" w:rsidP="00DA702B">
            <w:pPr>
              <w:rPr>
                <w:sz w:val="20"/>
                <w:szCs w:val="20"/>
              </w:rPr>
            </w:pPr>
          </w:p>
        </w:tc>
        <w:tc>
          <w:tcPr>
            <w:tcW w:w="1440" w:type="dxa"/>
          </w:tcPr>
          <w:p w14:paraId="5CD8CD05" w14:textId="77777777" w:rsidR="00DA702B" w:rsidRPr="00DA702B" w:rsidRDefault="00DA702B" w:rsidP="00DA702B">
            <w:pPr>
              <w:rPr>
                <w:sz w:val="20"/>
                <w:szCs w:val="20"/>
              </w:rPr>
            </w:pPr>
          </w:p>
        </w:tc>
        <w:tc>
          <w:tcPr>
            <w:tcW w:w="1440" w:type="dxa"/>
          </w:tcPr>
          <w:p w14:paraId="043E19B4" w14:textId="77777777" w:rsidR="00DA702B" w:rsidRPr="00DA702B" w:rsidRDefault="00DA702B" w:rsidP="00DA702B">
            <w:pPr>
              <w:rPr>
                <w:sz w:val="20"/>
                <w:szCs w:val="20"/>
              </w:rPr>
            </w:pPr>
          </w:p>
        </w:tc>
        <w:tc>
          <w:tcPr>
            <w:tcW w:w="1440" w:type="dxa"/>
          </w:tcPr>
          <w:p w14:paraId="5D6CBC8C" w14:textId="77777777" w:rsidR="00DA702B" w:rsidRPr="00DA702B" w:rsidRDefault="00DA702B" w:rsidP="00DA702B">
            <w:pPr>
              <w:rPr>
                <w:sz w:val="20"/>
                <w:szCs w:val="20"/>
              </w:rPr>
            </w:pPr>
          </w:p>
        </w:tc>
        <w:tc>
          <w:tcPr>
            <w:tcW w:w="1440" w:type="dxa"/>
          </w:tcPr>
          <w:p w14:paraId="2F8A1C81" w14:textId="77777777" w:rsidR="00DA702B" w:rsidRPr="00DA702B" w:rsidRDefault="00DA702B" w:rsidP="00DA702B">
            <w:pPr>
              <w:rPr>
                <w:sz w:val="20"/>
                <w:szCs w:val="20"/>
              </w:rPr>
            </w:pPr>
          </w:p>
        </w:tc>
      </w:tr>
      <w:tr w:rsidR="00DA702B" w:rsidRPr="00DA702B" w14:paraId="234F8812" w14:textId="77777777" w:rsidTr="00247007">
        <w:trPr>
          <w:cantSplit/>
          <w:trHeight w:val="346"/>
          <w:tblHeader/>
        </w:trPr>
        <w:tc>
          <w:tcPr>
            <w:tcW w:w="1440" w:type="dxa"/>
          </w:tcPr>
          <w:p w14:paraId="6892368A" w14:textId="77777777" w:rsidR="00DA702B" w:rsidRPr="00DA702B" w:rsidRDefault="00DA702B" w:rsidP="00DA702B">
            <w:pPr>
              <w:rPr>
                <w:sz w:val="20"/>
                <w:szCs w:val="20"/>
              </w:rPr>
            </w:pPr>
          </w:p>
        </w:tc>
        <w:tc>
          <w:tcPr>
            <w:tcW w:w="1440" w:type="dxa"/>
          </w:tcPr>
          <w:p w14:paraId="4C432BBE" w14:textId="77777777" w:rsidR="00DA702B" w:rsidRPr="00DA702B" w:rsidRDefault="00DA702B" w:rsidP="00DA702B">
            <w:pPr>
              <w:rPr>
                <w:sz w:val="20"/>
                <w:szCs w:val="20"/>
              </w:rPr>
            </w:pPr>
          </w:p>
        </w:tc>
        <w:tc>
          <w:tcPr>
            <w:tcW w:w="1440" w:type="dxa"/>
          </w:tcPr>
          <w:p w14:paraId="47F1E92C" w14:textId="77777777" w:rsidR="00DA702B" w:rsidRPr="00DA702B" w:rsidRDefault="00DA702B" w:rsidP="00DA702B">
            <w:pPr>
              <w:rPr>
                <w:sz w:val="20"/>
                <w:szCs w:val="20"/>
              </w:rPr>
            </w:pPr>
          </w:p>
        </w:tc>
        <w:tc>
          <w:tcPr>
            <w:tcW w:w="1440" w:type="dxa"/>
          </w:tcPr>
          <w:p w14:paraId="268B0BF6" w14:textId="77777777" w:rsidR="00DA702B" w:rsidRPr="00DA702B" w:rsidRDefault="00DA702B" w:rsidP="00DA702B">
            <w:pPr>
              <w:rPr>
                <w:sz w:val="20"/>
                <w:szCs w:val="20"/>
              </w:rPr>
            </w:pPr>
          </w:p>
        </w:tc>
        <w:tc>
          <w:tcPr>
            <w:tcW w:w="1440" w:type="dxa"/>
          </w:tcPr>
          <w:p w14:paraId="3F56A114" w14:textId="77777777" w:rsidR="00DA702B" w:rsidRPr="00DA702B" w:rsidRDefault="00DA702B" w:rsidP="00DA702B">
            <w:pPr>
              <w:rPr>
                <w:sz w:val="20"/>
                <w:szCs w:val="20"/>
              </w:rPr>
            </w:pPr>
          </w:p>
        </w:tc>
        <w:tc>
          <w:tcPr>
            <w:tcW w:w="1440" w:type="dxa"/>
          </w:tcPr>
          <w:p w14:paraId="796E4564" w14:textId="77777777" w:rsidR="00DA702B" w:rsidRPr="00DA702B" w:rsidRDefault="00DA702B" w:rsidP="00DA702B">
            <w:pPr>
              <w:rPr>
                <w:sz w:val="20"/>
                <w:szCs w:val="20"/>
              </w:rPr>
            </w:pPr>
          </w:p>
        </w:tc>
        <w:tc>
          <w:tcPr>
            <w:tcW w:w="1440" w:type="dxa"/>
          </w:tcPr>
          <w:p w14:paraId="16691853" w14:textId="77777777" w:rsidR="00DA702B" w:rsidRPr="00DA702B" w:rsidRDefault="00DA702B" w:rsidP="00DA702B">
            <w:pPr>
              <w:rPr>
                <w:sz w:val="20"/>
                <w:szCs w:val="20"/>
              </w:rPr>
            </w:pPr>
          </w:p>
        </w:tc>
        <w:tc>
          <w:tcPr>
            <w:tcW w:w="1440" w:type="dxa"/>
          </w:tcPr>
          <w:p w14:paraId="58D6D987" w14:textId="77777777" w:rsidR="00DA702B" w:rsidRPr="00DA702B" w:rsidRDefault="00DA702B" w:rsidP="00DA702B">
            <w:pPr>
              <w:rPr>
                <w:sz w:val="20"/>
                <w:szCs w:val="20"/>
              </w:rPr>
            </w:pPr>
          </w:p>
        </w:tc>
        <w:tc>
          <w:tcPr>
            <w:tcW w:w="1440" w:type="dxa"/>
          </w:tcPr>
          <w:p w14:paraId="456404C8" w14:textId="77777777" w:rsidR="00DA702B" w:rsidRPr="00DA702B" w:rsidRDefault="00DA702B" w:rsidP="00DA702B">
            <w:pPr>
              <w:rPr>
                <w:sz w:val="20"/>
                <w:szCs w:val="20"/>
              </w:rPr>
            </w:pPr>
          </w:p>
        </w:tc>
        <w:tc>
          <w:tcPr>
            <w:tcW w:w="1440" w:type="dxa"/>
          </w:tcPr>
          <w:p w14:paraId="29184659" w14:textId="77777777" w:rsidR="00DA702B" w:rsidRPr="00DA702B" w:rsidRDefault="00DA702B" w:rsidP="00DA702B">
            <w:pPr>
              <w:rPr>
                <w:sz w:val="20"/>
                <w:szCs w:val="20"/>
              </w:rPr>
            </w:pPr>
          </w:p>
        </w:tc>
      </w:tr>
      <w:tr w:rsidR="00DA702B" w:rsidRPr="00DA702B" w14:paraId="081CBF1F" w14:textId="77777777" w:rsidTr="00247007">
        <w:trPr>
          <w:cantSplit/>
          <w:trHeight w:val="346"/>
          <w:tblHeader/>
        </w:trPr>
        <w:tc>
          <w:tcPr>
            <w:tcW w:w="1440" w:type="dxa"/>
          </w:tcPr>
          <w:p w14:paraId="3D23D5CF" w14:textId="77777777" w:rsidR="00DA702B" w:rsidRPr="00DA702B" w:rsidRDefault="00DA702B" w:rsidP="00DA702B">
            <w:pPr>
              <w:rPr>
                <w:sz w:val="20"/>
                <w:szCs w:val="20"/>
              </w:rPr>
            </w:pPr>
          </w:p>
        </w:tc>
        <w:tc>
          <w:tcPr>
            <w:tcW w:w="1440" w:type="dxa"/>
          </w:tcPr>
          <w:p w14:paraId="22CE33AD" w14:textId="77777777" w:rsidR="00DA702B" w:rsidRPr="00DA702B" w:rsidRDefault="00DA702B" w:rsidP="00DA702B">
            <w:pPr>
              <w:rPr>
                <w:sz w:val="20"/>
                <w:szCs w:val="20"/>
              </w:rPr>
            </w:pPr>
          </w:p>
        </w:tc>
        <w:tc>
          <w:tcPr>
            <w:tcW w:w="1440" w:type="dxa"/>
          </w:tcPr>
          <w:p w14:paraId="5BA146A4" w14:textId="77777777" w:rsidR="00DA702B" w:rsidRPr="00DA702B" w:rsidRDefault="00DA702B" w:rsidP="00DA702B">
            <w:pPr>
              <w:rPr>
                <w:sz w:val="20"/>
                <w:szCs w:val="20"/>
              </w:rPr>
            </w:pPr>
          </w:p>
        </w:tc>
        <w:tc>
          <w:tcPr>
            <w:tcW w:w="1440" w:type="dxa"/>
          </w:tcPr>
          <w:p w14:paraId="551FF6C4" w14:textId="77777777" w:rsidR="00DA702B" w:rsidRPr="00DA702B" w:rsidRDefault="00DA702B" w:rsidP="00DA702B">
            <w:pPr>
              <w:rPr>
                <w:sz w:val="20"/>
                <w:szCs w:val="20"/>
              </w:rPr>
            </w:pPr>
          </w:p>
        </w:tc>
        <w:tc>
          <w:tcPr>
            <w:tcW w:w="1440" w:type="dxa"/>
          </w:tcPr>
          <w:p w14:paraId="464A9A57" w14:textId="77777777" w:rsidR="00DA702B" w:rsidRPr="00DA702B" w:rsidRDefault="00DA702B" w:rsidP="00DA702B">
            <w:pPr>
              <w:rPr>
                <w:sz w:val="20"/>
                <w:szCs w:val="20"/>
              </w:rPr>
            </w:pPr>
          </w:p>
        </w:tc>
        <w:tc>
          <w:tcPr>
            <w:tcW w:w="1440" w:type="dxa"/>
          </w:tcPr>
          <w:p w14:paraId="370FCCFA" w14:textId="77777777" w:rsidR="00DA702B" w:rsidRPr="00DA702B" w:rsidRDefault="00DA702B" w:rsidP="00DA702B">
            <w:pPr>
              <w:rPr>
                <w:sz w:val="20"/>
                <w:szCs w:val="20"/>
              </w:rPr>
            </w:pPr>
          </w:p>
        </w:tc>
        <w:tc>
          <w:tcPr>
            <w:tcW w:w="1440" w:type="dxa"/>
          </w:tcPr>
          <w:p w14:paraId="743776B2" w14:textId="77777777" w:rsidR="00DA702B" w:rsidRPr="00DA702B" w:rsidRDefault="00DA702B" w:rsidP="00DA702B">
            <w:pPr>
              <w:rPr>
                <w:sz w:val="20"/>
                <w:szCs w:val="20"/>
              </w:rPr>
            </w:pPr>
          </w:p>
        </w:tc>
        <w:tc>
          <w:tcPr>
            <w:tcW w:w="1440" w:type="dxa"/>
          </w:tcPr>
          <w:p w14:paraId="0ED18FBD" w14:textId="77777777" w:rsidR="00DA702B" w:rsidRPr="00DA702B" w:rsidRDefault="00DA702B" w:rsidP="00DA702B">
            <w:pPr>
              <w:rPr>
                <w:sz w:val="20"/>
                <w:szCs w:val="20"/>
              </w:rPr>
            </w:pPr>
          </w:p>
        </w:tc>
        <w:tc>
          <w:tcPr>
            <w:tcW w:w="1440" w:type="dxa"/>
          </w:tcPr>
          <w:p w14:paraId="18840FEB" w14:textId="77777777" w:rsidR="00DA702B" w:rsidRPr="00DA702B" w:rsidRDefault="00DA702B" w:rsidP="00DA702B">
            <w:pPr>
              <w:rPr>
                <w:sz w:val="20"/>
                <w:szCs w:val="20"/>
              </w:rPr>
            </w:pPr>
          </w:p>
        </w:tc>
        <w:tc>
          <w:tcPr>
            <w:tcW w:w="1440" w:type="dxa"/>
          </w:tcPr>
          <w:p w14:paraId="1D635E13" w14:textId="77777777" w:rsidR="00DA702B" w:rsidRPr="00DA702B" w:rsidRDefault="00DA702B" w:rsidP="00DA702B">
            <w:pPr>
              <w:rPr>
                <w:sz w:val="20"/>
                <w:szCs w:val="20"/>
              </w:rPr>
            </w:pPr>
          </w:p>
        </w:tc>
      </w:tr>
      <w:tr w:rsidR="00DA702B" w:rsidRPr="00DA702B" w14:paraId="4F2B489A" w14:textId="77777777" w:rsidTr="00247007">
        <w:trPr>
          <w:cantSplit/>
          <w:trHeight w:val="346"/>
          <w:tblHeader/>
        </w:trPr>
        <w:tc>
          <w:tcPr>
            <w:tcW w:w="1440" w:type="dxa"/>
          </w:tcPr>
          <w:p w14:paraId="51DCAEED" w14:textId="77777777" w:rsidR="00DA702B" w:rsidRPr="00DA702B" w:rsidRDefault="00DA702B" w:rsidP="00DA702B">
            <w:pPr>
              <w:rPr>
                <w:sz w:val="20"/>
                <w:szCs w:val="20"/>
              </w:rPr>
            </w:pPr>
          </w:p>
        </w:tc>
        <w:tc>
          <w:tcPr>
            <w:tcW w:w="1440" w:type="dxa"/>
          </w:tcPr>
          <w:p w14:paraId="1A2F8973" w14:textId="77777777" w:rsidR="00DA702B" w:rsidRPr="00DA702B" w:rsidRDefault="00DA702B" w:rsidP="00DA702B">
            <w:pPr>
              <w:rPr>
                <w:sz w:val="20"/>
                <w:szCs w:val="20"/>
              </w:rPr>
            </w:pPr>
          </w:p>
        </w:tc>
        <w:tc>
          <w:tcPr>
            <w:tcW w:w="1440" w:type="dxa"/>
          </w:tcPr>
          <w:p w14:paraId="2CB8C1F7" w14:textId="77777777" w:rsidR="00DA702B" w:rsidRPr="00DA702B" w:rsidRDefault="00DA702B" w:rsidP="00DA702B">
            <w:pPr>
              <w:rPr>
                <w:sz w:val="20"/>
                <w:szCs w:val="20"/>
              </w:rPr>
            </w:pPr>
          </w:p>
        </w:tc>
        <w:tc>
          <w:tcPr>
            <w:tcW w:w="1440" w:type="dxa"/>
          </w:tcPr>
          <w:p w14:paraId="46F5FB9E" w14:textId="77777777" w:rsidR="00DA702B" w:rsidRPr="00DA702B" w:rsidRDefault="00DA702B" w:rsidP="00DA702B">
            <w:pPr>
              <w:rPr>
                <w:sz w:val="20"/>
                <w:szCs w:val="20"/>
              </w:rPr>
            </w:pPr>
          </w:p>
        </w:tc>
        <w:tc>
          <w:tcPr>
            <w:tcW w:w="1440" w:type="dxa"/>
          </w:tcPr>
          <w:p w14:paraId="65C2C2E6" w14:textId="77777777" w:rsidR="00DA702B" w:rsidRPr="00DA702B" w:rsidRDefault="00DA702B" w:rsidP="00DA702B">
            <w:pPr>
              <w:rPr>
                <w:sz w:val="20"/>
                <w:szCs w:val="20"/>
              </w:rPr>
            </w:pPr>
          </w:p>
        </w:tc>
        <w:tc>
          <w:tcPr>
            <w:tcW w:w="1440" w:type="dxa"/>
          </w:tcPr>
          <w:p w14:paraId="7BBBDDF9" w14:textId="77777777" w:rsidR="00DA702B" w:rsidRPr="00DA702B" w:rsidRDefault="00DA702B" w:rsidP="00DA702B">
            <w:pPr>
              <w:rPr>
                <w:sz w:val="20"/>
                <w:szCs w:val="20"/>
              </w:rPr>
            </w:pPr>
          </w:p>
        </w:tc>
        <w:tc>
          <w:tcPr>
            <w:tcW w:w="1440" w:type="dxa"/>
          </w:tcPr>
          <w:p w14:paraId="713F934A" w14:textId="77777777" w:rsidR="00DA702B" w:rsidRPr="00DA702B" w:rsidRDefault="00DA702B" w:rsidP="00DA702B">
            <w:pPr>
              <w:rPr>
                <w:sz w:val="20"/>
                <w:szCs w:val="20"/>
              </w:rPr>
            </w:pPr>
          </w:p>
        </w:tc>
        <w:tc>
          <w:tcPr>
            <w:tcW w:w="1440" w:type="dxa"/>
          </w:tcPr>
          <w:p w14:paraId="2F026536" w14:textId="77777777" w:rsidR="00DA702B" w:rsidRPr="00DA702B" w:rsidRDefault="00DA702B" w:rsidP="00DA702B">
            <w:pPr>
              <w:rPr>
                <w:sz w:val="20"/>
                <w:szCs w:val="20"/>
              </w:rPr>
            </w:pPr>
          </w:p>
        </w:tc>
        <w:tc>
          <w:tcPr>
            <w:tcW w:w="1440" w:type="dxa"/>
          </w:tcPr>
          <w:p w14:paraId="09F18EAE" w14:textId="77777777" w:rsidR="00DA702B" w:rsidRPr="00DA702B" w:rsidRDefault="00DA702B" w:rsidP="00DA702B">
            <w:pPr>
              <w:rPr>
                <w:sz w:val="20"/>
                <w:szCs w:val="20"/>
              </w:rPr>
            </w:pPr>
          </w:p>
        </w:tc>
        <w:tc>
          <w:tcPr>
            <w:tcW w:w="1440" w:type="dxa"/>
          </w:tcPr>
          <w:p w14:paraId="12FB5652" w14:textId="77777777" w:rsidR="00DA702B" w:rsidRPr="00DA702B" w:rsidRDefault="00DA702B" w:rsidP="00DA702B">
            <w:pPr>
              <w:rPr>
                <w:sz w:val="20"/>
                <w:szCs w:val="20"/>
              </w:rPr>
            </w:pPr>
          </w:p>
        </w:tc>
      </w:tr>
      <w:tr w:rsidR="00DA702B" w:rsidRPr="00DA702B" w14:paraId="4CDADAAD" w14:textId="77777777" w:rsidTr="00247007">
        <w:trPr>
          <w:cantSplit/>
          <w:trHeight w:val="346"/>
          <w:tblHeader/>
        </w:trPr>
        <w:tc>
          <w:tcPr>
            <w:tcW w:w="1440" w:type="dxa"/>
          </w:tcPr>
          <w:p w14:paraId="4A8D1A5B" w14:textId="77777777" w:rsidR="00DA702B" w:rsidRPr="00DA702B" w:rsidRDefault="00DA702B" w:rsidP="00DA702B">
            <w:pPr>
              <w:rPr>
                <w:sz w:val="20"/>
                <w:szCs w:val="20"/>
              </w:rPr>
            </w:pPr>
          </w:p>
        </w:tc>
        <w:tc>
          <w:tcPr>
            <w:tcW w:w="1440" w:type="dxa"/>
          </w:tcPr>
          <w:p w14:paraId="2238E9CE" w14:textId="77777777" w:rsidR="00DA702B" w:rsidRPr="00DA702B" w:rsidRDefault="00DA702B" w:rsidP="00DA702B">
            <w:pPr>
              <w:rPr>
                <w:sz w:val="20"/>
                <w:szCs w:val="20"/>
              </w:rPr>
            </w:pPr>
          </w:p>
        </w:tc>
        <w:tc>
          <w:tcPr>
            <w:tcW w:w="1440" w:type="dxa"/>
          </w:tcPr>
          <w:p w14:paraId="7C6E4804" w14:textId="77777777" w:rsidR="00DA702B" w:rsidRPr="00DA702B" w:rsidRDefault="00DA702B" w:rsidP="00DA702B">
            <w:pPr>
              <w:rPr>
                <w:sz w:val="20"/>
                <w:szCs w:val="20"/>
              </w:rPr>
            </w:pPr>
          </w:p>
        </w:tc>
        <w:tc>
          <w:tcPr>
            <w:tcW w:w="1440" w:type="dxa"/>
          </w:tcPr>
          <w:p w14:paraId="2DCDCCE5" w14:textId="77777777" w:rsidR="00DA702B" w:rsidRPr="00DA702B" w:rsidRDefault="00DA702B" w:rsidP="00DA702B">
            <w:pPr>
              <w:rPr>
                <w:sz w:val="20"/>
                <w:szCs w:val="20"/>
              </w:rPr>
            </w:pPr>
          </w:p>
        </w:tc>
        <w:tc>
          <w:tcPr>
            <w:tcW w:w="1440" w:type="dxa"/>
          </w:tcPr>
          <w:p w14:paraId="4B3A4861" w14:textId="77777777" w:rsidR="00DA702B" w:rsidRPr="00DA702B" w:rsidRDefault="00DA702B" w:rsidP="00DA702B">
            <w:pPr>
              <w:rPr>
                <w:sz w:val="20"/>
                <w:szCs w:val="20"/>
              </w:rPr>
            </w:pPr>
          </w:p>
        </w:tc>
        <w:tc>
          <w:tcPr>
            <w:tcW w:w="1440" w:type="dxa"/>
          </w:tcPr>
          <w:p w14:paraId="15F78D41" w14:textId="77777777" w:rsidR="00DA702B" w:rsidRPr="00DA702B" w:rsidRDefault="00DA702B" w:rsidP="00DA702B">
            <w:pPr>
              <w:rPr>
                <w:sz w:val="20"/>
                <w:szCs w:val="20"/>
              </w:rPr>
            </w:pPr>
          </w:p>
        </w:tc>
        <w:tc>
          <w:tcPr>
            <w:tcW w:w="1440" w:type="dxa"/>
          </w:tcPr>
          <w:p w14:paraId="54F2AC30" w14:textId="77777777" w:rsidR="00DA702B" w:rsidRPr="00DA702B" w:rsidRDefault="00DA702B" w:rsidP="00DA702B">
            <w:pPr>
              <w:rPr>
                <w:sz w:val="20"/>
                <w:szCs w:val="20"/>
              </w:rPr>
            </w:pPr>
          </w:p>
        </w:tc>
        <w:tc>
          <w:tcPr>
            <w:tcW w:w="1440" w:type="dxa"/>
          </w:tcPr>
          <w:p w14:paraId="7CC48267" w14:textId="77777777" w:rsidR="00DA702B" w:rsidRPr="00DA702B" w:rsidRDefault="00DA702B" w:rsidP="00DA702B">
            <w:pPr>
              <w:rPr>
                <w:sz w:val="20"/>
                <w:szCs w:val="20"/>
              </w:rPr>
            </w:pPr>
          </w:p>
        </w:tc>
        <w:tc>
          <w:tcPr>
            <w:tcW w:w="1440" w:type="dxa"/>
          </w:tcPr>
          <w:p w14:paraId="19CBA8E0" w14:textId="77777777" w:rsidR="00DA702B" w:rsidRPr="00DA702B" w:rsidRDefault="00DA702B" w:rsidP="00DA702B">
            <w:pPr>
              <w:rPr>
                <w:sz w:val="20"/>
                <w:szCs w:val="20"/>
              </w:rPr>
            </w:pPr>
          </w:p>
        </w:tc>
        <w:tc>
          <w:tcPr>
            <w:tcW w:w="1440" w:type="dxa"/>
          </w:tcPr>
          <w:p w14:paraId="351A4BCE" w14:textId="77777777" w:rsidR="00DA702B" w:rsidRPr="00DA702B" w:rsidRDefault="00DA702B" w:rsidP="00DA702B">
            <w:pPr>
              <w:rPr>
                <w:sz w:val="20"/>
                <w:szCs w:val="20"/>
              </w:rPr>
            </w:pPr>
          </w:p>
        </w:tc>
      </w:tr>
      <w:tr w:rsidR="00DA702B" w:rsidRPr="00DA702B" w14:paraId="01F7DDC8" w14:textId="77777777" w:rsidTr="00247007">
        <w:trPr>
          <w:cantSplit/>
          <w:trHeight w:val="346"/>
          <w:tblHeader/>
        </w:trPr>
        <w:tc>
          <w:tcPr>
            <w:tcW w:w="1440" w:type="dxa"/>
          </w:tcPr>
          <w:p w14:paraId="03040B93" w14:textId="77777777" w:rsidR="00DA702B" w:rsidRPr="00DA702B" w:rsidRDefault="00DA702B" w:rsidP="00DA702B">
            <w:pPr>
              <w:rPr>
                <w:sz w:val="20"/>
                <w:szCs w:val="20"/>
              </w:rPr>
            </w:pPr>
          </w:p>
        </w:tc>
        <w:tc>
          <w:tcPr>
            <w:tcW w:w="1440" w:type="dxa"/>
          </w:tcPr>
          <w:p w14:paraId="4D3CA905" w14:textId="77777777" w:rsidR="00DA702B" w:rsidRPr="00DA702B" w:rsidRDefault="00DA702B" w:rsidP="00DA702B">
            <w:pPr>
              <w:rPr>
                <w:sz w:val="20"/>
                <w:szCs w:val="20"/>
              </w:rPr>
            </w:pPr>
          </w:p>
        </w:tc>
        <w:tc>
          <w:tcPr>
            <w:tcW w:w="1440" w:type="dxa"/>
          </w:tcPr>
          <w:p w14:paraId="2B2CFB83" w14:textId="77777777" w:rsidR="00DA702B" w:rsidRPr="00DA702B" w:rsidRDefault="00DA702B" w:rsidP="00DA702B">
            <w:pPr>
              <w:rPr>
                <w:sz w:val="20"/>
                <w:szCs w:val="20"/>
              </w:rPr>
            </w:pPr>
          </w:p>
        </w:tc>
        <w:tc>
          <w:tcPr>
            <w:tcW w:w="1440" w:type="dxa"/>
          </w:tcPr>
          <w:p w14:paraId="77B9A122" w14:textId="77777777" w:rsidR="00DA702B" w:rsidRPr="00DA702B" w:rsidRDefault="00DA702B" w:rsidP="00DA702B">
            <w:pPr>
              <w:rPr>
                <w:sz w:val="20"/>
                <w:szCs w:val="20"/>
              </w:rPr>
            </w:pPr>
          </w:p>
        </w:tc>
        <w:tc>
          <w:tcPr>
            <w:tcW w:w="1440" w:type="dxa"/>
          </w:tcPr>
          <w:p w14:paraId="27679FAC" w14:textId="77777777" w:rsidR="00DA702B" w:rsidRPr="00DA702B" w:rsidRDefault="00DA702B" w:rsidP="00DA702B">
            <w:pPr>
              <w:rPr>
                <w:sz w:val="20"/>
                <w:szCs w:val="20"/>
              </w:rPr>
            </w:pPr>
          </w:p>
        </w:tc>
        <w:tc>
          <w:tcPr>
            <w:tcW w:w="1440" w:type="dxa"/>
          </w:tcPr>
          <w:p w14:paraId="4D6548F3" w14:textId="77777777" w:rsidR="00DA702B" w:rsidRPr="00DA702B" w:rsidRDefault="00DA702B" w:rsidP="00DA702B">
            <w:pPr>
              <w:rPr>
                <w:sz w:val="20"/>
                <w:szCs w:val="20"/>
              </w:rPr>
            </w:pPr>
          </w:p>
        </w:tc>
        <w:tc>
          <w:tcPr>
            <w:tcW w:w="1440" w:type="dxa"/>
          </w:tcPr>
          <w:p w14:paraId="41AC6659" w14:textId="77777777" w:rsidR="00DA702B" w:rsidRPr="00DA702B" w:rsidRDefault="00DA702B" w:rsidP="00DA702B">
            <w:pPr>
              <w:rPr>
                <w:sz w:val="20"/>
                <w:szCs w:val="20"/>
              </w:rPr>
            </w:pPr>
          </w:p>
        </w:tc>
        <w:tc>
          <w:tcPr>
            <w:tcW w:w="1440" w:type="dxa"/>
          </w:tcPr>
          <w:p w14:paraId="0DDF3688" w14:textId="77777777" w:rsidR="00DA702B" w:rsidRPr="00DA702B" w:rsidRDefault="00DA702B" w:rsidP="00DA702B">
            <w:pPr>
              <w:rPr>
                <w:sz w:val="20"/>
                <w:szCs w:val="20"/>
              </w:rPr>
            </w:pPr>
          </w:p>
        </w:tc>
        <w:tc>
          <w:tcPr>
            <w:tcW w:w="1440" w:type="dxa"/>
          </w:tcPr>
          <w:p w14:paraId="473BBCD9" w14:textId="77777777" w:rsidR="00DA702B" w:rsidRPr="00DA702B" w:rsidRDefault="00DA702B" w:rsidP="00DA702B">
            <w:pPr>
              <w:rPr>
                <w:sz w:val="20"/>
                <w:szCs w:val="20"/>
              </w:rPr>
            </w:pPr>
          </w:p>
        </w:tc>
        <w:tc>
          <w:tcPr>
            <w:tcW w:w="1440" w:type="dxa"/>
          </w:tcPr>
          <w:p w14:paraId="59C8A892" w14:textId="77777777" w:rsidR="00DA702B" w:rsidRPr="00DA702B" w:rsidRDefault="00DA702B" w:rsidP="00DA702B">
            <w:pPr>
              <w:rPr>
                <w:sz w:val="20"/>
                <w:szCs w:val="20"/>
              </w:rPr>
            </w:pPr>
          </w:p>
        </w:tc>
      </w:tr>
      <w:tr w:rsidR="00DA702B" w:rsidRPr="00DA702B" w14:paraId="4EC3D512" w14:textId="77777777" w:rsidTr="00247007">
        <w:trPr>
          <w:cantSplit/>
          <w:trHeight w:val="346"/>
          <w:tblHeader/>
        </w:trPr>
        <w:tc>
          <w:tcPr>
            <w:tcW w:w="1440" w:type="dxa"/>
          </w:tcPr>
          <w:p w14:paraId="1D03F4FC" w14:textId="77777777" w:rsidR="00DA702B" w:rsidRPr="00DA702B" w:rsidRDefault="00DA702B" w:rsidP="00DA702B">
            <w:pPr>
              <w:rPr>
                <w:sz w:val="20"/>
                <w:szCs w:val="20"/>
              </w:rPr>
            </w:pPr>
          </w:p>
        </w:tc>
        <w:tc>
          <w:tcPr>
            <w:tcW w:w="1440" w:type="dxa"/>
          </w:tcPr>
          <w:p w14:paraId="3BDA2B49" w14:textId="77777777" w:rsidR="00DA702B" w:rsidRPr="00DA702B" w:rsidRDefault="00DA702B" w:rsidP="00DA702B">
            <w:pPr>
              <w:rPr>
                <w:sz w:val="20"/>
                <w:szCs w:val="20"/>
              </w:rPr>
            </w:pPr>
          </w:p>
        </w:tc>
        <w:tc>
          <w:tcPr>
            <w:tcW w:w="1440" w:type="dxa"/>
          </w:tcPr>
          <w:p w14:paraId="3BBB61CB" w14:textId="77777777" w:rsidR="00DA702B" w:rsidRPr="00DA702B" w:rsidRDefault="00DA702B" w:rsidP="00DA702B">
            <w:pPr>
              <w:rPr>
                <w:sz w:val="20"/>
                <w:szCs w:val="20"/>
              </w:rPr>
            </w:pPr>
          </w:p>
        </w:tc>
        <w:tc>
          <w:tcPr>
            <w:tcW w:w="1440" w:type="dxa"/>
          </w:tcPr>
          <w:p w14:paraId="1EA36D28" w14:textId="77777777" w:rsidR="00DA702B" w:rsidRPr="00DA702B" w:rsidRDefault="00DA702B" w:rsidP="00DA702B">
            <w:pPr>
              <w:rPr>
                <w:sz w:val="20"/>
                <w:szCs w:val="20"/>
              </w:rPr>
            </w:pPr>
          </w:p>
        </w:tc>
        <w:tc>
          <w:tcPr>
            <w:tcW w:w="1440" w:type="dxa"/>
          </w:tcPr>
          <w:p w14:paraId="7E9F6B26" w14:textId="77777777" w:rsidR="00DA702B" w:rsidRPr="00DA702B" w:rsidRDefault="00DA702B" w:rsidP="00DA702B">
            <w:pPr>
              <w:rPr>
                <w:sz w:val="20"/>
                <w:szCs w:val="20"/>
              </w:rPr>
            </w:pPr>
          </w:p>
        </w:tc>
        <w:tc>
          <w:tcPr>
            <w:tcW w:w="1440" w:type="dxa"/>
          </w:tcPr>
          <w:p w14:paraId="44DE85EB" w14:textId="77777777" w:rsidR="00DA702B" w:rsidRPr="00DA702B" w:rsidRDefault="00DA702B" w:rsidP="00DA702B">
            <w:pPr>
              <w:rPr>
                <w:sz w:val="20"/>
                <w:szCs w:val="20"/>
              </w:rPr>
            </w:pPr>
          </w:p>
        </w:tc>
        <w:tc>
          <w:tcPr>
            <w:tcW w:w="1440" w:type="dxa"/>
          </w:tcPr>
          <w:p w14:paraId="27C45E9E" w14:textId="77777777" w:rsidR="00DA702B" w:rsidRPr="00DA702B" w:rsidRDefault="00DA702B" w:rsidP="00DA702B">
            <w:pPr>
              <w:rPr>
                <w:sz w:val="20"/>
                <w:szCs w:val="20"/>
              </w:rPr>
            </w:pPr>
          </w:p>
        </w:tc>
        <w:tc>
          <w:tcPr>
            <w:tcW w:w="1440" w:type="dxa"/>
          </w:tcPr>
          <w:p w14:paraId="336E897F" w14:textId="77777777" w:rsidR="00DA702B" w:rsidRPr="00DA702B" w:rsidRDefault="00DA702B" w:rsidP="00DA702B">
            <w:pPr>
              <w:rPr>
                <w:sz w:val="20"/>
                <w:szCs w:val="20"/>
              </w:rPr>
            </w:pPr>
          </w:p>
        </w:tc>
        <w:tc>
          <w:tcPr>
            <w:tcW w:w="1440" w:type="dxa"/>
          </w:tcPr>
          <w:p w14:paraId="329DAC86" w14:textId="77777777" w:rsidR="00DA702B" w:rsidRPr="00DA702B" w:rsidRDefault="00DA702B" w:rsidP="00DA702B">
            <w:pPr>
              <w:rPr>
                <w:sz w:val="20"/>
                <w:szCs w:val="20"/>
              </w:rPr>
            </w:pPr>
          </w:p>
        </w:tc>
        <w:tc>
          <w:tcPr>
            <w:tcW w:w="1440" w:type="dxa"/>
          </w:tcPr>
          <w:p w14:paraId="65F04CEC" w14:textId="77777777" w:rsidR="00DA702B" w:rsidRPr="00DA702B" w:rsidRDefault="00DA702B" w:rsidP="00DA702B">
            <w:pPr>
              <w:rPr>
                <w:sz w:val="20"/>
                <w:szCs w:val="20"/>
              </w:rPr>
            </w:pPr>
          </w:p>
        </w:tc>
      </w:tr>
      <w:tr w:rsidR="00DA702B" w:rsidRPr="00DA702B" w14:paraId="0B11C4B5" w14:textId="77777777" w:rsidTr="00247007">
        <w:trPr>
          <w:cantSplit/>
          <w:trHeight w:val="346"/>
          <w:tblHeader/>
        </w:trPr>
        <w:tc>
          <w:tcPr>
            <w:tcW w:w="1440" w:type="dxa"/>
          </w:tcPr>
          <w:p w14:paraId="49D1FD7D" w14:textId="77777777" w:rsidR="00DA702B" w:rsidRPr="00DA702B" w:rsidRDefault="00DA702B" w:rsidP="00DA702B">
            <w:pPr>
              <w:rPr>
                <w:sz w:val="20"/>
                <w:szCs w:val="20"/>
              </w:rPr>
            </w:pPr>
          </w:p>
        </w:tc>
        <w:tc>
          <w:tcPr>
            <w:tcW w:w="1440" w:type="dxa"/>
          </w:tcPr>
          <w:p w14:paraId="17F6781C" w14:textId="77777777" w:rsidR="00DA702B" w:rsidRPr="00DA702B" w:rsidRDefault="00DA702B" w:rsidP="00DA702B">
            <w:pPr>
              <w:rPr>
                <w:sz w:val="20"/>
                <w:szCs w:val="20"/>
              </w:rPr>
            </w:pPr>
          </w:p>
        </w:tc>
        <w:tc>
          <w:tcPr>
            <w:tcW w:w="1440" w:type="dxa"/>
          </w:tcPr>
          <w:p w14:paraId="656A7986" w14:textId="77777777" w:rsidR="00DA702B" w:rsidRPr="00DA702B" w:rsidRDefault="00DA702B" w:rsidP="00DA702B">
            <w:pPr>
              <w:rPr>
                <w:sz w:val="20"/>
                <w:szCs w:val="20"/>
              </w:rPr>
            </w:pPr>
          </w:p>
        </w:tc>
        <w:tc>
          <w:tcPr>
            <w:tcW w:w="1440" w:type="dxa"/>
          </w:tcPr>
          <w:p w14:paraId="40C50217" w14:textId="77777777" w:rsidR="00DA702B" w:rsidRPr="00DA702B" w:rsidRDefault="00DA702B" w:rsidP="00DA702B">
            <w:pPr>
              <w:rPr>
                <w:sz w:val="20"/>
                <w:szCs w:val="20"/>
              </w:rPr>
            </w:pPr>
          </w:p>
        </w:tc>
        <w:tc>
          <w:tcPr>
            <w:tcW w:w="1440" w:type="dxa"/>
          </w:tcPr>
          <w:p w14:paraId="60EE0239" w14:textId="77777777" w:rsidR="00DA702B" w:rsidRPr="00DA702B" w:rsidRDefault="00DA702B" w:rsidP="00DA702B">
            <w:pPr>
              <w:rPr>
                <w:sz w:val="20"/>
                <w:szCs w:val="20"/>
              </w:rPr>
            </w:pPr>
          </w:p>
        </w:tc>
        <w:tc>
          <w:tcPr>
            <w:tcW w:w="1440" w:type="dxa"/>
          </w:tcPr>
          <w:p w14:paraId="25D824B1" w14:textId="77777777" w:rsidR="00DA702B" w:rsidRPr="00DA702B" w:rsidRDefault="00DA702B" w:rsidP="00DA702B">
            <w:pPr>
              <w:rPr>
                <w:sz w:val="20"/>
                <w:szCs w:val="20"/>
              </w:rPr>
            </w:pPr>
          </w:p>
        </w:tc>
        <w:tc>
          <w:tcPr>
            <w:tcW w:w="1440" w:type="dxa"/>
          </w:tcPr>
          <w:p w14:paraId="700467ED" w14:textId="77777777" w:rsidR="00DA702B" w:rsidRPr="00DA702B" w:rsidRDefault="00DA702B" w:rsidP="00DA702B">
            <w:pPr>
              <w:rPr>
                <w:sz w:val="20"/>
                <w:szCs w:val="20"/>
              </w:rPr>
            </w:pPr>
          </w:p>
        </w:tc>
        <w:tc>
          <w:tcPr>
            <w:tcW w:w="1440" w:type="dxa"/>
          </w:tcPr>
          <w:p w14:paraId="7413CFD4" w14:textId="77777777" w:rsidR="00DA702B" w:rsidRPr="00DA702B" w:rsidRDefault="00DA702B" w:rsidP="00DA702B">
            <w:pPr>
              <w:rPr>
                <w:sz w:val="20"/>
                <w:szCs w:val="20"/>
              </w:rPr>
            </w:pPr>
          </w:p>
        </w:tc>
        <w:tc>
          <w:tcPr>
            <w:tcW w:w="1440" w:type="dxa"/>
          </w:tcPr>
          <w:p w14:paraId="3718E50A" w14:textId="77777777" w:rsidR="00DA702B" w:rsidRPr="00DA702B" w:rsidRDefault="00DA702B" w:rsidP="00DA702B">
            <w:pPr>
              <w:rPr>
                <w:sz w:val="20"/>
                <w:szCs w:val="20"/>
              </w:rPr>
            </w:pPr>
          </w:p>
        </w:tc>
        <w:tc>
          <w:tcPr>
            <w:tcW w:w="1440" w:type="dxa"/>
          </w:tcPr>
          <w:p w14:paraId="51176F32" w14:textId="77777777" w:rsidR="00DA702B" w:rsidRPr="00DA702B" w:rsidRDefault="00DA702B" w:rsidP="00DA702B">
            <w:pPr>
              <w:rPr>
                <w:sz w:val="20"/>
                <w:szCs w:val="20"/>
              </w:rPr>
            </w:pPr>
          </w:p>
        </w:tc>
      </w:tr>
      <w:tr w:rsidR="00DA702B" w:rsidRPr="00DA702B" w14:paraId="40EF5822" w14:textId="77777777" w:rsidTr="00247007">
        <w:trPr>
          <w:cantSplit/>
          <w:trHeight w:val="346"/>
          <w:tblHeader/>
        </w:trPr>
        <w:tc>
          <w:tcPr>
            <w:tcW w:w="1440" w:type="dxa"/>
          </w:tcPr>
          <w:p w14:paraId="43B40AAD" w14:textId="77777777" w:rsidR="00DA702B" w:rsidRPr="00DA702B" w:rsidRDefault="00DA702B" w:rsidP="00DA702B">
            <w:pPr>
              <w:rPr>
                <w:sz w:val="20"/>
                <w:szCs w:val="20"/>
              </w:rPr>
            </w:pPr>
          </w:p>
        </w:tc>
        <w:tc>
          <w:tcPr>
            <w:tcW w:w="1440" w:type="dxa"/>
          </w:tcPr>
          <w:p w14:paraId="6D0A6E27" w14:textId="77777777" w:rsidR="00DA702B" w:rsidRPr="00DA702B" w:rsidRDefault="00DA702B" w:rsidP="00DA702B">
            <w:pPr>
              <w:rPr>
                <w:sz w:val="20"/>
                <w:szCs w:val="20"/>
              </w:rPr>
            </w:pPr>
          </w:p>
        </w:tc>
        <w:tc>
          <w:tcPr>
            <w:tcW w:w="1440" w:type="dxa"/>
          </w:tcPr>
          <w:p w14:paraId="4430D02B" w14:textId="77777777" w:rsidR="00DA702B" w:rsidRPr="00DA702B" w:rsidRDefault="00DA702B" w:rsidP="00DA702B">
            <w:pPr>
              <w:rPr>
                <w:sz w:val="20"/>
                <w:szCs w:val="20"/>
              </w:rPr>
            </w:pPr>
          </w:p>
        </w:tc>
        <w:tc>
          <w:tcPr>
            <w:tcW w:w="1440" w:type="dxa"/>
          </w:tcPr>
          <w:p w14:paraId="1FAEE128" w14:textId="77777777" w:rsidR="00DA702B" w:rsidRPr="00DA702B" w:rsidRDefault="00DA702B" w:rsidP="00DA702B">
            <w:pPr>
              <w:rPr>
                <w:sz w:val="20"/>
                <w:szCs w:val="20"/>
              </w:rPr>
            </w:pPr>
          </w:p>
        </w:tc>
        <w:tc>
          <w:tcPr>
            <w:tcW w:w="1440" w:type="dxa"/>
          </w:tcPr>
          <w:p w14:paraId="130085B7" w14:textId="77777777" w:rsidR="00DA702B" w:rsidRPr="00DA702B" w:rsidRDefault="00DA702B" w:rsidP="00DA702B">
            <w:pPr>
              <w:rPr>
                <w:sz w:val="20"/>
                <w:szCs w:val="20"/>
              </w:rPr>
            </w:pPr>
          </w:p>
        </w:tc>
        <w:tc>
          <w:tcPr>
            <w:tcW w:w="1440" w:type="dxa"/>
          </w:tcPr>
          <w:p w14:paraId="16166A37" w14:textId="77777777" w:rsidR="00DA702B" w:rsidRPr="00DA702B" w:rsidRDefault="00DA702B" w:rsidP="00DA702B">
            <w:pPr>
              <w:rPr>
                <w:sz w:val="20"/>
                <w:szCs w:val="20"/>
              </w:rPr>
            </w:pPr>
          </w:p>
        </w:tc>
        <w:tc>
          <w:tcPr>
            <w:tcW w:w="1440" w:type="dxa"/>
          </w:tcPr>
          <w:p w14:paraId="74F58450" w14:textId="77777777" w:rsidR="00DA702B" w:rsidRPr="00DA702B" w:rsidRDefault="00DA702B" w:rsidP="00DA702B">
            <w:pPr>
              <w:rPr>
                <w:sz w:val="20"/>
                <w:szCs w:val="20"/>
              </w:rPr>
            </w:pPr>
          </w:p>
        </w:tc>
        <w:tc>
          <w:tcPr>
            <w:tcW w:w="1440" w:type="dxa"/>
          </w:tcPr>
          <w:p w14:paraId="09E1E415" w14:textId="77777777" w:rsidR="00DA702B" w:rsidRPr="00DA702B" w:rsidRDefault="00DA702B" w:rsidP="00DA702B">
            <w:pPr>
              <w:rPr>
                <w:sz w:val="20"/>
                <w:szCs w:val="20"/>
              </w:rPr>
            </w:pPr>
          </w:p>
        </w:tc>
        <w:tc>
          <w:tcPr>
            <w:tcW w:w="1440" w:type="dxa"/>
          </w:tcPr>
          <w:p w14:paraId="39F7A636" w14:textId="77777777" w:rsidR="00DA702B" w:rsidRPr="00DA702B" w:rsidRDefault="00DA702B" w:rsidP="00DA702B">
            <w:pPr>
              <w:rPr>
                <w:sz w:val="20"/>
                <w:szCs w:val="20"/>
              </w:rPr>
            </w:pPr>
          </w:p>
        </w:tc>
        <w:tc>
          <w:tcPr>
            <w:tcW w:w="1440" w:type="dxa"/>
          </w:tcPr>
          <w:p w14:paraId="6CB04260" w14:textId="77777777" w:rsidR="00DA702B" w:rsidRPr="00DA702B" w:rsidRDefault="00DA702B" w:rsidP="00DA702B">
            <w:pPr>
              <w:rPr>
                <w:sz w:val="20"/>
                <w:szCs w:val="20"/>
              </w:rPr>
            </w:pPr>
          </w:p>
        </w:tc>
      </w:tr>
    </w:tbl>
    <w:p w14:paraId="7143F8A9" w14:textId="77777777" w:rsidR="00DA702B" w:rsidRPr="00DA702B" w:rsidRDefault="00DA702B" w:rsidP="00DA702B">
      <w:pPr>
        <w:numPr>
          <w:ilvl w:val="0"/>
          <w:numId w:val="56"/>
        </w:numPr>
        <w:tabs>
          <w:tab w:val="num" w:pos="360"/>
        </w:tabs>
        <w:contextualSpacing/>
        <w:outlineLvl w:val="0"/>
        <w:rPr>
          <w:b/>
          <w:bCs/>
        </w:rPr>
      </w:pPr>
      <w:r w:rsidRPr="00DA702B">
        <w:rPr>
          <w:b/>
          <w:bCs/>
        </w:rPr>
        <w:br w:type="page"/>
      </w:r>
    </w:p>
    <w:p w14:paraId="57A7697F" w14:textId="77777777" w:rsidR="00DA702B" w:rsidRPr="00DA702B" w:rsidRDefault="00DA702B" w:rsidP="00FC00AF">
      <w:pPr>
        <w:widowControl w:val="0"/>
        <w:jc w:val="center"/>
        <w:rPr>
          <w:rFonts w:eastAsiaTheme="majorEastAsia"/>
          <w:b/>
          <w:bCs/>
        </w:rPr>
      </w:pPr>
      <w:r w:rsidRPr="00DA702B">
        <w:rPr>
          <w:rFonts w:eastAsiaTheme="majorEastAsia"/>
          <w:b/>
          <w:bCs/>
        </w:rPr>
        <w:lastRenderedPageBreak/>
        <w:t>Boiler/Steam Generator/Steam Generating Unit Attributes</w:t>
      </w:r>
    </w:p>
    <w:p w14:paraId="4C8721F3" w14:textId="77777777" w:rsidR="00DA702B" w:rsidRPr="00DA702B" w:rsidRDefault="00DA702B" w:rsidP="00FC00AF">
      <w:pPr>
        <w:widowControl w:val="0"/>
        <w:jc w:val="center"/>
        <w:rPr>
          <w:rFonts w:eastAsiaTheme="majorEastAsia"/>
          <w:b/>
          <w:bCs/>
        </w:rPr>
      </w:pPr>
      <w:r w:rsidRPr="00DA702B">
        <w:rPr>
          <w:rFonts w:eastAsiaTheme="majorEastAsia"/>
          <w:b/>
          <w:bCs/>
        </w:rPr>
        <w:t>Form OP-UA6 (Page 7)</w:t>
      </w:r>
    </w:p>
    <w:p w14:paraId="772E47EF" w14:textId="77777777" w:rsidR="00DA702B" w:rsidRPr="00DA702B" w:rsidRDefault="00DA702B" w:rsidP="00FC00AF">
      <w:pPr>
        <w:widowControl w:val="0"/>
        <w:jc w:val="center"/>
        <w:rPr>
          <w:rFonts w:eastAsiaTheme="majorEastAsia"/>
          <w:b/>
          <w:bCs/>
        </w:rPr>
      </w:pPr>
      <w:r w:rsidRPr="00DA702B">
        <w:rPr>
          <w:rFonts w:eastAsiaTheme="majorEastAsia"/>
          <w:b/>
          <w:bCs/>
        </w:rPr>
        <w:t>Federal Operating Permit Program</w:t>
      </w:r>
    </w:p>
    <w:p w14:paraId="458A81CD" w14:textId="77777777" w:rsidR="00DA702B" w:rsidRPr="00DA702B" w:rsidRDefault="00DA702B" w:rsidP="00FC00AF">
      <w:pPr>
        <w:contextualSpacing/>
        <w:jc w:val="center"/>
        <w:outlineLvl w:val="0"/>
        <w:rPr>
          <w:b/>
          <w:bCs/>
        </w:rPr>
      </w:pPr>
      <w:bookmarkStart w:id="169" w:name="TBL_3b"/>
      <w:r w:rsidRPr="00DA702B">
        <w:rPr>
          <w:b/>
          <w:bCs/>
        </w:rPr>
        <w:t>Table 3b</w:t>
      </w:r>
      <w:bookmarkEnd w:id="169"/>
      <w:r w:rsidRPr="00DA702B">
        <w:rPr>
          <w:b/>
          <w:bCs/>
        </w:rPr>
        <w:t>:  Title 40 Code of Federal Regulations Part 60 (40 CFR Part 60)</w:t>
      </w:r>
    </w:p>
    <w:p w14:paraId="6DA2778D" w14:textId="77777777" w:rsidR="00DA702B" w:rsidRPr="00DA702B" w:rsidRDefault="00DA702B" w:rsidP="00FC00AF">
      <w:pPr>
        <w:contextualSpacing/>
        <w:jc w:val="center"/>
        <w:outlineLvl w:val="0"/>
        <w:rPr>
          <w:b/>
          <w:bCs/>
        </w:rPr>
      </w:pPr>
      <w:r w:rsidRPr="00DA702B">
        <w:rPr>
          <w:b/>
          <w:bCs/>
        </w:rPr>
        <w:t>Subpart Db:  Standards of Performance for Industrial-Commercial-Institutional Steam Generating Units</w:t>
      </w:r>
    </w:p>
    <w:p w14:paraId="0CD15383" w14:textId="77777777" w:rsidR="00DA702B" w:rsidRPr="00DA702B" w:rsidRDefault="00DA702B" w:rsidP="007123B4">
      <w:pPr>
        <w:spacing w:after="360"/>
        <w:jc w:val="center"/>
        <w:outlineLvl w:val="0"/>
        <w:rPr>
          <w:b/>
          <w:bCs/>
        </w:rPr>
      </w:pPr>
      <w:r w:rsidRPr="00DA702B">
        <w:rPr>
          <w:b/>
          <w:bCs/>
        </w:rPr>
        <w:t>Texas Commission on Environmental Quality</w:t>
      </w:r>
    </w:p>
    <w:p w14:paraId="557D82A9"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b:  Title 40 Code of Federal Regulations Part 60 (40 CFR Part 60)&#10;Subpart Db:  Standards of Performance for Industrial-Commercial Steam Generating Units&#10;&#10;"/>
      </w:tblPr>
      <w:tblGrid>
        <w:gridCol w:w="4800"/>
        <w:gridCol w:w="4800"/>
        <w:gridCol w:w="4800"/>
      </w:tblGrid>
      <w:tr w:rsidR="00DA702B" w:rsidRPr="00DA702B" w14:paraId="529B780C" w14:textId="77777777" w:rsidTr="00247007">
        <w:trPr>
          <w:cantSplit/>
          <w:tblHeader/>
        </w:trPr>
        <w:tc>
          <w:tcPr>
            <w:tcW w:w="4800" w:type="dxa"/>
            <w:shd w:val="clear" w:color="auto" w:fill="D9D9D9" w:themeFill="background1" w:themeFillShade="D9"/>
          </w:tcPr>
          <w:p w14:paraId="4B0A5E77"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67D6E999"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3ACC81C7"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237C2154" w14:textId="77777777" w:rsidTr="00247007">
        <w:trPr>
          <w:cantSplit/>
          <w:tblHeader/>
        </w:trPr>
        <w:tc>
          <w:tcPr>
            <w:tcW w:w="4800" w:type="dxa"/>
          </w:tcPr>
          <w:p w14:paraId="31594C83" w14:textId="77777777" w:rsidR="00DA702B" w:rsidRPr="00DA702B" w:rsidRDefault="00DA702B" w:rsidP="00DA702B">
            <w:pPr>
              <w:rPr>
                <w:rFonts w:asciiTheme="majorHAnsi" w:hAnsiTheme="majorHAnsi" w:cstheme="majorHAnsi"/>
              </w:rPr>
            </w:pPr>
          </w:p>
        </w:tc>
        <w:tc>
          <w:tcPr>
            <w:tcW w:w="4800" w:type="dxa"/>
          </w:tcPr>
          <w:p w14:paraId="49D9037F" w14:textId="77777777" w:rsidR="00DA702B" w:rsidRPr="00DA702B" w:rsidRDefault="00DA702B" w:rsidP="00DA702B">
            <w:pPr>
              <w:rPr>
                <w:rFonts w:asciiTheme="majorHAnsi" w:hAnsiTheme="majorHAnsi" w:cstheme="majorHAnsi"/>
              </w:rPr>
            </w:pPr>
          </w:p>
        </w:tc>
        <w:tc>
          <w:tcPr>
            <w:tcW w:w="4800" w:type="dxa"/>
          </w:tcPr>
          <w:p w14:paraId="25680B09" w14:textId="77777777" w:rsidR="00DA702B" w:rsidRPr="00DA702B" w:rsidRDefault="00DA702B" w:rsidP="00DA702B">
            <w:pPr>
              <w:rPr>
                <w:rFonts w:asciiTheme="majorHAnsi" w:hAnsiTheme="majorHAnsi" w:cstheme="majorHAnsi"/>
              </w:rPr>
            </w:pPr>
          </w:p>
        </w:tc>
      </w:tr>
    </w:tbl>
    <w:p w14:paraId="6C174ACF"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3b:  Title 40 Code of Federal Regulations Part 60 (40 CFR Part 60)&#10;Subpart Db:  Standards of Performance for Industrial-Commercial Steam Generating Units&#10;"/>
      </w:tblPr>
      <w:tblGrid>
        <w:gridCol w:w="1438"/>
        <w:gridCol w:w="1440"/>
        <w:gridCol w:w="1440"/>
        <w:gridCol w:w="1440"/>
        <w:gridCol w:w="1440"/>
        <w:gridCol w:w="1440"/>
        <w:gridCol w:w="1440"/>
        <w:gridCol w:w="1440"/>
        <w:gridCol w:w="1441"/>
        <w:gridCol w:w="1441"/>
      </w:tblGrid>
      <w:tr w:rsidR="00204697" w:rsidRPr="00DA702B" w14:paraId="1955957F" w14:textId="77777777" w:rsidTr="00FC00AF">
        <w:trPr>
          <w:cantSplit/>
          <w:tblHeader/>
        </w:trPr>
        <w:tc>
          <w:tcPr>
            <w:tcW w:w="1308" w:type="dxa"/>
            <w:shd w:val="clear" w:color="auto" w:fill="D9D9D9" w:themeFill="background1" w:themeFillShade="D9"/>
            <w:vAlign w:val="bottom"/>
          </w:tcPr>
          <w:p w14:paraId="549DE959" w14:textId="77777777" w:rsidR="00204697" w:rsidRPr="00DA702B" w:rsidRDefault="00204697" w:rsidP="00DA702B">
            <w:pPr>
              <w:jc w:val="center"/>
              <w:rPr>
                <w:sz w:val="20"/>
                <w:szCs w:val="20"/>
              </w:rPr>
            </w:pPr>
            <w:r w:rsidRPr="00DA702B">
              <w:rPr>
                <w:b/>
                <w:sz w:val="20"/>
                <w:szCs w:val="20"/>
              </w:rPr>
              <w:t>Unit ID No.</w:t>
            </w:r>
          </w:p>
        </w:tc>
        <w:tc>
          <w:tcPr>
            <w:tcW w:w="1309" w:type="dxa"/>
            <w:shd w:val="clear" w:color="auto" w:fill="D9D9D9" w:themeFill="background1" w:themeFillShade="D9"/>
            <w:vAlign w:val="bottom"/>
          </w:tcPr>
          <w:p w14:paraId="490DE8CD" w14:textId="77777777" w:rsidR="00204697" w:rsidRPr="00DA702B" w:rsidRDefault="00204697" w:rsidP="00DA702B">
            <w:pPr>
              <w:jc w:val="center"/>
              <w:rPr>
                <w:sz w:val="20"/>
                <w:szCs w:val="20"/>
              </w:rPr>
            </w:pPr>
            <w:r w:rsidRPr="00DA702B">
              <w:rPr>
                <w:b/>
                <w:sz w:val="20"/>
                <w:szCs w:val="20"/>
              </w:rPr>
              <w:t>SOP Index No.</w:t>
            </w:r>
          </w:p>
        </w:tc>
        <w:tc>
          <w:tcPr>
            <w:tcW w:w="1309" w:type="dxa"/>
            <w:shd w:val="clear" w:color="auto" w:fill="D9D9D9" w:themeFill="background1" w:themeFillShade="D9"/>
            <w:vAlign w:val="bottom"/>
          </w:tcPr>
          <w:p w14:paraId="35A8E8C6" w14:textId="77777777" w:rsidR="00204697" w:rsidRPr="00DA702B" w:rsidRDefault="00204697" w:rsidP="00DA702B">
            <w:pPr>
              <w:jc w:val="center"/>
              <w:rPr>
                <w:sz w:val="20"/>
                <w:szCs w:val="20"/>
              </w:rPr>
            </w:pPr>
            <w:r w:rsidRPr="00DA702B">
              <w:rPr>
                <w:b/>
                <w:sz w:val="20"/>
                <w:szCs w:val="20"/>
              </w:rPr>
              <w:t>D-Series Fuel Type</w:t>
            </w:r>
          </w:p>
        </w:tc>
        <w:tc>
          <w:tcPr>
            <w:tcW w:w="1309" w:type="dxa"/>
            <w:shd w:val="clear" w:color="auto" w:fill="D9D9D9" w:themeFill="background1" w:themeFillShade="D9"/>
            <w:vAlign w:val="bottom"/>
          </w:tcPr>
          <w:p w14:paraId="2BF6C7C7" w14:textId="77777777" w:rsidR="00204697" w:rsidRPr="00DA702B" w:rsidRDefault="00204697" w:rsidP="00DA702B">
            <w:pPr>
              <w:jc w:val="center"/>
              <w:rPr>
                <w:sz w:val="20"/>
                <w:szCs w:val="20"/>
              </w:rPr>
            </w:pPr>
            <w:r w:rsidRPr="00DA702B">
              <w:rPr>
                <w:b/>
                <w:sz w:val="20"/>
                <w:szCs w:val="20"/>
              </w:rPr>
              <w:t>D-Series Fuel Type</w:t>
            </w:r>
          </w:p>
        </w:tc>
        <w:tc>
          <w:tcPr>
            <w:tcW w:w="1309" w:type="dxa"/>
            <w:shd w:val="clear" w:color="auto" w:fill="D9D9D9" w:themeFill="background1" w:themeFillShade="D9"/>
            <w:vAlign w:val="bottom"/>
          </w:tcPr>
          <w:p w14:paraId="355ADA96" w14:textId="77777777" w:rsidR="00204697" w:rsidRPr="00DA702B" w:rsidRDefault="00204697" w:rsidP="00DA702B">
            <w:pPr>
              <w:jc w:val="center"/>
              <w:rPr>
                <w:sz w:val="20"/>
                <w:szCs w:val="20"/>
              </w:rPr>
            </w:pPr>
            <w:r w:rsidRPr="00DA702B">
              <w:rPr>
                <w:b/>
                <w:sz w:val="20"/>
                <w:szCs w:val="20"/>
              </w:rPr>
              <w:t>D-Series Fuel Type</w:t>
            </w:r>
          </w:p>
        </w:tc>
        <w:tc>
          <w:tcPr>
            <w:tcW w:w="1309" w:type="dxa"/>
            <w:shd w:val="clear" w:color="auto" w:fill="D9D9D9" w:themeFill="background1" w:themeFillShade="D9"/>
            <w:vAlign w:val="bottom"/>
          </w:tcPr>
          <w:p w14:paraId="7980764B" w14:textId="77777777" w:rsidR="00204697" w:rsidRPr="00DA702B" w:rsidRDefault="00204697" w:rsidP="00DA702B">
            <w:pPr>
              <w:jc w:val="center"/>
              <w:rPr>
                <w:sz w:val="20"/>
                <w:szCs w:val="20"/>
              </w:rPr>
            </w:pPr>
            <w:r w:rsidRPr="00DA702B">
              <w:rPr>
                <w:b/>
                <w:sz w:val="20"/>
                <w:szCs w:val="20"/>
              </w:rPr>
              <w:t>Subpart D</w:t>
            </w:r>
          </w:p>
        </w:tc>
        <w:tc>
          <w:tcPr>
            <w:tcW w:w="1309" w:type="dxa"/>
            <w:shd w:val="clear" w:color="auto" w:fill="D9D9D9" w:themeFill="background1" w:themeFillShade="D9"/>
            <w:vAlign w:val="bottom"/>
          </w:tcPr>
          <w:p w14:paraId="5047183A" w14:textId="77777777" w:rsidR="00204697" w:rsidRPr="00DA702B" w:rsidRDefault="00204697" w:rsidP="00DA702B">
            <w:pPr>
              <w:jc w:val="center"/>
              <w:rPr>
                <w:sz w:val="20"/>
                <w:szCs w:val="20"/>
              </w:rPr>
            </w:pPr>
            <w:r w:rsidRPr="00DA702B">
              <w:rPr>
                <w:b/>
                <w:sz w:val="20"/>
                <w:szCs w:val="20"/>
              </w:rPr>
              <w:t>Additional Applicability Requirement</w:t>
            </w:r>
          </w:p>
        </w:tc>
        <w:tc>
          <w:tcPr>
            <w:tcW w:w="1309" w:type="dxa"/>
            <w:shd w:val="clear" w:color="auto" w:fill="D9D9D9" w:themeFill="background1" w:themeFillShade="D9"/>
            <w:vAlign w:val="bottom"/>
          </w:tcPr>
          <w:p w14:paraId="10E637DF" w14:textId="77777777" w:rsidR="00204697" w:rsidRPr="00DA702B" w:rsidRDefault="00204697" w:rsidP="00DA702B">
            <w:pPr>
              <w:jc w:val="center"/>
              <w:rPr>
                <w:sz w:val="20"/>
                <w:szCs w:val="20"/>
              </w:rPr>
            </w:pPr>
            <w:r w:rsidRPr="00DA702B">
              <w:rPr>
                <w:b/>
                <w:sz w:val="20"/>
                <w:szCs w:val="20"/>
              </w:rPr>
              <w:t>ACF Option SO</w:t>
            </w:r>
            <w:r w:rsidRPr="00DA702B">
              <w:rPr>
                <w:b/>
                <w:sz w:val="20"/>
                <w:szCs w:val="20"/>
                <w:vertAlign w:val="subscript"/>
              </w:rPr>
              <w:t>2</w:t>
            </w:r>
          </w:p>
        </w:tc>
        <w:tc>
          <w:tcPr>
            <w:tcW w:w="1310" w:type="dxa"/>
            <w:shd w:val="clear" w:color="auto" w:fill="D9D9D9" w:themeFill="background1" w:themeFillShade="D9"/>
            <w:vAlign w:val="bottom"/>
          </w:tcPr>
          <w:p w14:paraId="6AFA2420" w14:textId="77777777" w:rsidR="00204697" w:rsidRPr="00DA702B" w:rsidRDefault="00204697" w:rsidP="00DA702B">
            <w:pPr>
              <w:jc w:val="center"/>
              <w:rPr>
                <w:sz w:val="20"/>
                <w:szCs w:val="20"/>
              </w:rPr>
            </w:pPr>
            <w:r w:rsidRPr="00DA702B">
              <w:rPr>
                <w:b/>
                <w:sz w:val="20"/>
                <w:szCs w:val="20"/>
              </w:rPr>
              <w:t>ACF Option PM</w:t>
            </w:r>
          </w:p>
        </w:tc>
        <w:tc>
          <w:tcPr>
            <w:tcW w:w="1310" w:type="dxa"/>
            <w:shd w:val="clear" w:color="auto" w:fill="D9D9D9" w:themeFill="background1" w:themeFillShade="D9"/>
            <w:vAlign w:val="bottom"/>
          </w:tcPr>
          <w:p w14:paraId="1948CFB8" w14:textId="77777777" w:rsidR="00204697" w:rsidRPr="00DA702B" w:rsidRDefault="00204697" w:rsidP="00DA702B">
            <w:pPr>
              <w:jc w:val="center"/>
              <w:rPr>
                <w:sz w:val="20"/>
                <w:szCs w:val="20"/>
              </w:rPr>
            </w:pPr>
            <w:r w:rsidRPr="00DA702B">
              <w:rPr>
                <w:b/>
                <w:sz w:val="20"/>
                <w:szCs w:val="20"/>
              </w:rPr>
              <w:t>ACF Option NO</w:t>
            </w:r>
            <w:r w:rsidRPr="00DA702B">
              <w:rPr>
                <w:b/>
                <w:sz w:val="20"/>
                <w:szCs w:val="20"/>
                <w:vertAlign w:val="subscript"/>
              </w:rPr>
              <w:t>X</w:t>
            </w:r>
          </w:p>
        </w:tc>
      </w:tr>
      <w:tr w:rsidR="00204697" w:rsidRPr="00DA702B" w14:paraId="383249C6" w14:textId="77777777" w:rsidTr="00FC00AF">
        <w:trPr>
          <w:cantSplit/>
          <w:trHeight w:val="346"/>
          <w:tblHeader/>
        </w:trPr>
        <w:tc>
          <w:tcPr>
            <w:tcW w:w="1308" w:type="dxa"/>
          </w:tcPr>
          <w:p w14:paraId="0354DFD7" w14:textId="77777777" w:rsidR="00204697" w:rsidRPr="00DA702B" w:rsidRDefault="00204697" w:rsidP="00DA702B">
            <w:pPr>
              <w:rPr>
                <w:sz w:val="20"/>
                <w:szCs w:val="20"/>
              </w:rPr>
            </w:pPr>
          </w:p>
        </w:tc>
        <w:tc>
          <w:tcPr>
            <w:tcW w:w="1309" w:type="dxa"/>
          </w:tcPr>
          <w:p w14:paraId="6A1BDF25" w14:textId="77777777" w:rsidR="00204697" w:rsidRPr="00DA702B" w:rsidRDefault="00204697" w:rsidP="00DA702B">
            <w:pPr>
              <w:rPr>
                <w:sz w:val="20"/>
                <w:szCs w:val="20"/>
              </w:rPr>
            </w:pPr>
          </w:p>
        </w:tc>
        <w:tc>
          <w:tcPr>
            <w:tcW w:w="1309" w:type="dxa"/>
          </w:tcPr>
          <w:p w14:paraId="4A4C7672" w14:textId="77777777" w:rsidR="00204697" w:rsidRPr="00DA702B" w:rsidRDefault="00204697" w:rsidP="00DA702B">
            <w:pPr>
              <w:rPr>
                <w:sz w:val="20"/>
                <w:szCs w:val="20"/>
              </w:rPr>
            </w:pPr>
          </w:p>
        </w:tc>
        <w:tc>
          <w:tcPr>
            <w:tcW w:w="1309" w:type="dxa"/>
          </w:tcPr>
          <w:p w14:paraId="7268C263" w14:textId="77777777" w:rsidR="00204697" w:rsidRPr="00DA702B" w:rsidRDefault="00204697" w:rsidP="00DA702B">
            <w:pPr>
              <w:rPr>
                <w:sz w:val="20"/>
                <w:szCs w:val="20"/>
              </w:rPr>
            </w:pPr>
          </w:p>
        </w:tc>
        <w:tc>
          <w:tcPr>
            <w:tcW w:w="1309" w:type="dxa"/>
          </w:tcPr>
          <w:p w14:paraId="37F63B0A" w14:textId="77777777" w:rsidR="00204697" w:rsidRPr="00DA702B" w:rsidRDefault="00204697" w:rsidP="00DA702B">
            <w:pPr>
              <w:rPr>
                <w:sz w:val="20"/>
                <w:szCs w:val="20"/>
              </w:rPr>
            </w:pPr>
          </w:p>
        </w:tc>
        <w:tc>
          <w:tcPr>
            <w:tcW w:w="1309" w:type="dxa"/>
          </w:tcPr>
          <w:p w14:paraId="7C43B7D6" w14:textId="77777777" w:rsidR="00204697" w:rsidRPr="00DA702B" w:rsidRDefault="00204697" w:rsidP="00DA702B">
            <w:pPr>
              <w:rPr>
                <w:sz w:val="20"/>
                <w:szCs w:val="20"/>
              </w:rPr>
            </w:pPr>
          </w:p>
        </w:tc>
        <w:tc>
          <w:tcPr>
            <w:tcW w:w="1309" w:type="dxa"/>
          </w:tcPr>
          <w:p w14:paraId="4CF07857" w14:textId="77777777" w:rsidR="00204697" w:rsidRPr="00DA702B" w:rsidRDefault="00204697" w:rsidP="00DA702B">
            <w:pPr>
              <w:rPr>
                <w:sz w:val="20"/>
                <w:szCs w:val="20"/>
              </w:rPr>
            </w:pPr>
          </w:p>
        </w:tc>
        <w:tc>
          <w:tcPr>
            <w:tcW w:w="1309" w:type="dxa"/>
          </w:tcPr>
          <w:p w14:paraId="43AC20F3" w14:textId="77777777" w:rsidR="00204697" w:rsidRPr="00DA702B" w:rsidRDefault="00204697" w:rsidP="00DA702B">
            <w:pPr>
              <w:rPr>
                <w:sz w:val="20"/>
                <w:szCs w:val="20"/>
              </w:rPr>
            </w:pPr>
          </w:p>
        </w:tc>
        <w:tc>
          <w:tcPr>
            <w:tcW w:w="1310" w:type="dxa"/>
          </w:tcPr>
          <w:p w14:paraId="3D78E491" w14:textId="77777777" w:rsidR="00204697" w:rsidRPr="00DA702B" w:rsidRDefault="00204697" w:rsidP="00DA702B">
            <w:pPr>
              <w:rPr>
                <w:sz w:val="20"/>
                <w:szCs w:val="20"/>
              </w:rPr>
            </w:pPr>
          </w:p>
        </w:tc>
        <w:tc>
          <w:tcPr>
            <w:tcW w:w="1310" w:type="dxa"/>
          </w:tcPr>
          <w:p w14:paraId="61E563CB" w14:textId="77777777" w:rsidR="00204697" w:rsidRPr="00DA702B" w:rsidRDefault="00204697" w:rsidP="00DA702B">
            <w:pPr>
              <w:rPr>
                <w:sz w:val="20"/>
                <w:szCs w:val="20"/>
              </w:rPr>
            </w:pPr>
          </w:p>
        </w:tc>
      </w:tr>
      <w:tr w:rsidR="00204697" w:rsidRPr="00DA702B" w14:paraId="152B2889" w14:textId="77777777" w:rsidTr="00FC00AF">
        <w:trPr>
          <w:cantSplit/>
          <w:trHeight w:val="346"/>
          <w:tblHeader/>
        </w:trPr>
        <w:tc>
          <w:tcPr>
            <w:tcW w:w="1308" w:type="dxa"/>
          </w:tcPr>
          <w:p w14:paraId="7C450166" w14:textId="77777777" w:rsidR="00204697" w:rsidRPr="00DA702B" w:rsidRDefault="00204697" w:rsidP="00DA702B">
            <w:pPr>
              <w:rPr>
                <w:sz w:val="20"/>
                <w:szCs w:val="20"/>
              </w:rPr>
            </w:pPr>
          </w:p>
        </w:tc>
        <w:tc>
          <w:tcPr>
            <w:tcW w:w="1309" w:type="dxa"/>
          </w:tcPr>
          <w:p w14:paraId="7E53A967" w14:textId="77777777" w:rsidR="00204697" w:rsidRPr="00DA702B" w:rsidRDefault="00204697" w:rsidP="00DA702B">
            <w:pPr>
              <w:rPr>
                <w:sz w:val="20"/>
                <w:szCs w:val="20"/>
              </w:rPr>
            </w:pPr>
          </w:p>
        </w:tc>
        <w:tc>
          <w:tcPr>
            <w:tcW w:w="1309" w:type="dxa"/>
          </w:tcPr>
          <w:p w14:paraId="6A96BE4A" w14:textId="77777777" w:rsidR="00204697" w:rsidRPr="00DA702B" w:rsidRDefault="00204697" w:rsidP="00DA702B">
            <w:pPr>
              <w:rPr>
                <w:sz w:val="20"/>
                <w:szCs w:val="20"/>
              </w:rPr>
            </w:pPr>
          </w:p>
        </w:tc>
        <w:tc>
          <w:tcPr>
            <w:tcW w:w="1309" w:type="dxa"/>
          </w:tcPr>
          <w:p w14:paraId="340F100C" w14:textId="77777777" w:rsidR="00204697" w:rsidRPr="00DA702B" w:rsidRDefault="00204697" w:rsidP="00DA702B">
            <w:pPr>
              <w:rPr>
                <w:sz w:val="20"/>
                <w:szCs w:val="20"/>
              </w:rPr>
            </w:pPr>
          </w:p>
        </w:tc>
        <w:tc>
          <w:tcPr>
            <w:tcW w:w="1309" w:type="dxa"/>
          </w:tcPr>
          <w:p w14:paraId="40E77D2B" w14:textId="77777777" w:rsidR="00204697" w:rsidRPr="00DA702B" w:rsidRDefault="00204697" w:rsidP="00DA702B">
            <w:pPr>
              <w:rPr>
                <w:sz w:val="20"/>
                <w:szCs w:val="20"/>
              </w:rPr>
            </w:pPr>
          </w:p>
        </w:tc>
        <w:tc>
          <w:tcPr>
            <w:tcW w:w="1309" w:type="dxa"/>
          </w:tcPr>
          <w:p w14:paraId="0BB9A82D" w14:textId="77777777" w:rsidR="00204697" w:rsidRPr="00DA702B" w:rsidRDefault="00204697" w:rsidP="00DA702B">
            <w:pPr>
              <w:rPr>
                <w:sz w:val="20"/>
                <w:szCs w:val="20"/>
              </w:rPr>
            </w:pPr>
          </w:p>
        </w:tc>
        <w:tc>
          <w:tcPr>
            <w:tcW w:w="1309" w:type="dxa"/>
          </w:tcPr>
          <w:p w14:paraId="6C7579BF" w14:textId="77777777" w:rsidR="00204697" w:rsidRPr="00DA702B" w:rsidRDefault="00204697" w:rsidP="00DA702B">
            <w:pPr>
              <w:rPr>
                <w:sz w:val="20"/>
                <w:szCs w:val="20"/>
              </w:rPr>
            </w:pPr>
          </w:p>
        </w:tc>
        <w:tc>
          <w:tcPr>
            <w:tcW w:w="1309" w:type="dxa"/>
          </w:tcPr>
          <w:p w14:paraId="4E2890BA" w14:textId="77777777" w:rsidR="00204697" w:rsidRPr="00DA702B" w:rsidRDefault="00204697" w:rsidP="00DA702B">
            <w:pPr>
              <w:rPr>
                <w:sz w:val="20"/>
                <w:szCs w:val="20"/>
              </w:rPr>
            </w:pPr>
          </w:p>
        </w:tc>
        <w:tc>
          <w:tcPr>
            <w:tcW w:w="1310" w:type="dxa"/>
          </w:tcPr>
          <w:p w14:paraId="05450478" w14:textId="77777777" w:rsidR="00204697" w:rsidRPr="00DA702B" w:rsidRDefault="00204697" w:rsidP="00DA702B">
            <w:pPr>
              <w:rPr>
                <w:sz w:val="20"/>
                <w:szCs w:val="20"/>
              </w:rPr>
            </w:pPr>
          </w:p>
        </w:tc>
        <w:tc>
          <w:tcPr>
            <w:tcW w:w="1310" w:type="dxa"/>
          </w:tcPr>
          <w:p w14:paraId="43C91B5A" w14:textId="77777777" w:rsidR="00204697" w:rsidRPr="00DA702B" w:rsidRDefault="00204697" w:rsidP="00DA702B">
            <w:pPr>
              <w:rPr>
                <w:sz w:val="20"/>
                <w:szCs w:val="20"/>
              </w:rPr>
            </w:pPr>
          </w:p>
        </w:tc>
      </w:tr>
      <w:tr w:rsidR="00204697" w:rsidRPr="00DA702B" w14:paraId="5D83277C" w14:textId="77777777" w:rsidTr="00FC00AF">
        <w:trPr>
          <w:cantSplit/>
          <w:trHeight w:val="346"/>
          <w:tblHeader/>
        </w:trPr>
        <w:tc>
          <w:tcPr>
            <w:tcW w:w="1308" w:type="dxa"/>
          </w:tcPr>
          <w:p w14:paraId="33BEC545" w14:textId="77777777" w:rsidR="00204697" w:rsidRPr="00DA702B" w:rsidRDefault="00204697" w:rsidP="00DA702B">
            <w:pPr>
              <w:rPr>
                <w:sz w:val="20"/>
                <w:szCs w:val="20"/>
              </w:rPr>
            </w:pPr>
          </w:p>
        </w:tc>
        <w:tc>
          <w:tcPr>
            <w:tcW w:w="1309" w:type="dxa"/>
          </w:tcPr>
          <w:p w14:paraId="38A2B611" w14:textId="77777777" w:rsidR="00204697" w:rsidRPr="00DA702B" w:rsidRDefault="00204697" w:rsidP="00DA702B">
            <w:pPr>
              <w:rPr>
                <w:sz w:val="20"/>
                <w:szCs w:val="20"/>
              </w:rPr>
            </w:pPr>
          </w:p>
        </w:tc>
        <w:tc>
          <w:tcPr>
            <w:tcW w:w="1309" w:type="dxa"/>
          </w:tcPr>
          <w:p w14:paraId="552F8763" w14:textId="77777777" w:rsidR="00204697" w:rsidRPr="00DA702B" w:rsidRDefault="00204697" w:rsidP="00DA702B">
            <w:pPr>
              <w:rPr>
                <w:sz w:val="20"/>
                <w:szCs w:val="20"/>
              </w:rPr>
            </w:pPr>
          </w:p>
        </w:tc>
        <w:tc>
          <w:tcPr>
            <w:tcW w:w="1309" w:type="dxa"/>
          </w:tcPr>
          <w:p w14:paraId="1B69B94F" w14:textId="77777777" w:rsidR="00204697" w:rsidRPr="00DA702B" w:rsidRDefault="00204697" w:rsidP="00DA702B">
            <w:pPr>
              <w:rPr>
                <w:sz w:val="20"/>
                <w:szCs w:val="20"/>
              </w:rPr>
            </w:pPr>
          </w:p>
        </w:tc>
        <w:tc>
          <w:tcPr>
            <w:tcW w:w="1309" w:type="dxa"/>
          </w:tcPr>
          <w:p w14:paraId="41F6C518" w14:textId="77777777" w:rsidR="00204697" w:rsidRPr="00DA702B" w:rsidRDefault="00204697" w:rsidP="00DA702B">
            <w:pPr>
              <w:rPr>
                <w:sz w:val="20"/>
                <w:szCs w:val="20"/>
              </w:rPr>
            </w:pPr>
          </w:p>
        </w:tc>
        <w:tc>
          <w:tcPr>
            <w:tcW w:w="1309" w:type="dxa"/>
          </w:tcPr>
          <w:p w14:paraId="32F408CE" w14:textId="77777777" w:rsidR="00204697" w:rsidRPr="00DA702B" w:rsidRDefault="00204697" w:rsidP="00DA702B">
            <w:pPr>
              <w:rPr>
                <w:sz w:val="20"/>
                <w:szCs w:val="20"/>
              </w:rPr>
            </w:pPr>
          </w:p>
        </w:tc>
        <w:tc>
          <w:tcPr>
            <w:tcW w:w="1309" w:type="dxa"/>
          </w:tcPr>
          <w:p w14:paraId="57028D91" w14:textId="77777777" w:rsidR="00204697" w:rsidRPr="00DA702B" w:rsidRDefault="00204697" w:rsidP="00DA702B">
            <w:pPr>
              <w:rPr>
                <w:sz w:val="20"/>
                <w:szCs w:val="20"/>
              </w:rPr>
            </w:pPr>
          </w:p>
        </w:tc>
        <w:tc>
          <w:tcPr>
            <w:tcW w:w="1309" w:type="dxa"/>
          </w:tcPr>
          <w:p w14:paraId="0173F397" w14:textId="77777777" w:rsidR="00204697" w:rsidRPr="00DA702B" w:rsidRDefault="00204697" w:rsidP="00DA702B">
            <w:pPr>
              <w:rPr>
                <w:sz w:val="20"/>
                <w:szCs w:val="20"/>
              </w:rPr>
            </w:pPr>
          </w:p>
        </w:tc>
        <w:tc>
          <w:tcPr>
            <w:tcW w:w="1310" w:type="dxa"/>
          </w:tcPr>
          <w:p w14:paraId="5854A346" w14:textId="77777777" w:rsidR="00204697" w:rsidRPr="00DA702B" w:rsidRDefault="00204697" w:rsidP="00DA702B">
            <w:pPr>
              <w:rPr>
                <w:sz w:val="20"/>
                <w:szCs w:val="20"/>
              </w:rPr>
            </w:pPr>
          </w:p>
        </w:tc>
        <w:tc>
          <w:tcPr>
            <w:tcW w:w="1310" w:type="dxa"/>
          </w:tcPr>
          <w:p w14:paraId="42088FD8" w14:textId="77777777" w:rsidR="00204697" w:rsidRPr="00DA702B" w:rsidRDefault="00204697" w:rsidP="00DA702B">
            <w:pPr>
              <w:rPr>
                <w:sz w:val="20"/>
                <w:szCs w:val="20"/>
              </w:rPr>
            </w:pPr>
          </w:p>
        </w:tc>
      </w:tr>
      <w:tr w:rsidR="00204697" w:rsidRPr="00DA702B" w14:paraId="190BC0FD" w14:textId="77777777" w:rsidTr="00FC00AF">
        <w:trPr>
          <w:cantSplit/>
          <w:trHeight w:val="346"/>
          <w:tblHeader/>
        </w:trPr>
        <w:tc>
          <w:tcPr>
            <w:tcW w:w="1308" w:type="dxa"/>
          </w:tcPr>
          <w:p w14:paraId="0B8EADF8" w14:textId="77777777" w:rsidR="00204697" w:rsidRPr="00DA702B" w:rsidRDefault="00204697" w:rsidP="00DA702B">
            <w:pPr>
              <w:rPr>
                <w:sz w:val="20"/>
                <w:szCs w:val="20"/>
              </w:rPr>
            </w:pPr>
          </w:p>
        </w:tc>
        <w:tc>
          <w:tcPr>
            <w:tcW w:w="1309" w:type="dxa"/>
          </w:tcPr>
          <w:p w14:paraId="7BB4C879" w14:textId="77777777" w:rsidR="00204697" w:rsidRPr="00DA702B" w:rsidRDefault="00204697" w:rsidP="00DA702B">
            <w:pPr>
              <w:rPr>
                <w:sz w:val="20"/>
                <w:szCs w:val="20"/>
              </w:rPr>
            </w:pPr>
          </w:p>
        </w:tc>
        <w:tc>
          <w:tcPr>
            <w:tcW w:w="1309" w:type="dxa"/>
          </w:tcPr>
          <w:p w14:paraId="617BD1CD" w14:textId="77777777" w:rsidR="00204697" w:rsidRPr="00DA702B" w:rsidRDefault="00204697" w:rsidP="00DA702B">
            <w:pPr>
              <w:rPr>
                <w:sz w:val="20"/>
                <w:szCs w:val="20"/>
              </w:rPr>
            </w:pPr>
          </w:p>
        </w:tc>
        <w:tc>
          <w:tcPr>
            <w:tcW w:w="1309" w:type="dxa"/>
          </w:tcPr>
          <w:p w14:paraId="662C8B73" w14:textId="77777777" w:rsidR="00204697" w:rsidRPr="00DA702B" w:rsidRDefault="00204697" w:rsidP="00DA702B">
            <w:pPr>
              <w:rPr>
                <w:sz w:val="20"/>
                <w:szCs w:val="20"/>
              </w:rPr>
            </w:pPr>
          </w:p>
        </w:tc>
        <w:tc>
          <w:tcPr>
            <w:tcW w:w="1309" w:type="dxa"/>
          </w:tcPr>
          <w:p w14:paraId="55EE9CC8" w14:textId="77777777" w:rsidR="00204697" w:rsidRPr="00DA702B" w:rsidRDefault="00204697" w:rsidP="00DA702B">
            <w:pPr>
              <w:rPr>
                <w:sz w:val="20"/>
                <w:szCs w:val="20"/>
              </w:rPr>
            </w:pPr>
          </w:p>
        </w:tc>
        <w:tc>
          <w:tcPr>
            <w:tcW w:w="1309" w:type="dxa"/>
          </w:tcPr>
          <w:p w14:paraId="3E0194F9" w14:textId="77777777" w:rsidR="00204697" w:rsidRPr="00DA702B" w:rsidRDefault="00204697" w:rsidP="00DA702B">
            <w:pPr>
              <w:rPr>
                <w:sz w:val="20"/>
                <w:szCs w:val="20"/>
              </w:rPr>
            </w:pPr>
          </w:p>
        </w:tc>
        <w:tc>
          <w:tcPr>
            <w:tcW w:w="1309" w:type="dxa"/>
          </w:tcPr>
          <w:p w14:paraId="5DBCF902" w14:textId="77777777" w:rsidR="00204697" w:rsidRPr="00DA702B" w:rsidRDefault="00204697" w:rsidP="00DA702B">
            <w:pPr>
              <w:rPr>
                <w:sz w:val="20"/>
                <w:szCs w:val="20"/>
              </w:rPr>
            </w:pPr>
          </w:p>
        </w:tc>
        <w:tc>
          <w:tcPr>
            <w:tcW w:w="1309" w:type="dxa"/>
          </w:tcPr>
          <w:p w14:paraId="4B22E8E9" w14:textId="77777777" w:rsidR="00204697" w:rsidRPr="00DA702B" w:rsidRDefault="00204697" w:rsidP="00DA702B">
            <w:pPr>
              <w:rPr>
                <w:sz w:val="20"/>
                <w:szCs w:val="20"/>
              </w:rPr>
            </w:pPr>
          </w:p>
        </w:tc>
        <w:tc>
          <w:tcPr>
            <w:tcW w:w="1310" w:type="dxa"/>
          </w:tcPr>
          <w:p w14:paraId="154E1015" w14:textId="77777777" w:rsidR="00204697" w:rsidRPr="00DA702B" w:rsidRDefault="00204697" w:rsidP="00DA702B">
            <w:pPr>
              <w:rPr>
                <w:sz w:val="20"/>
                <w:szCs w:val="20"/>
              </w:rPr>
            </w:pPr>
          </w:p>
        </w:tc>
        <w:tc>
          <w:tcPr>
            <w:tcW w:w="1310" w:type="dxa"/>
          </w:tcPr>
          <w:p w14:paraId="6ECBBC82" w14:textId="77777777" w:rsidR="00204697" w:rsidRPr="00DA702B" w:rsidRDefault="00204697" w:rsidP="00DA702B">
            <w:pPr>
              <w:rPr>
                <w:sz w:val="20"/>
                <w:szCs w:val="20"/>
              </w:rPr>
            </w:pPr>
          </w:p>
        </w:tc>
      </w:tr>
      <w:tr w:rsidR="00204697" w:rsidRPr="00DA702B" w14:paraId="16984CF2" w14:textId="77777777" w:rsidTr="00FC00AF">
        <w:trPr>
          <w:cantSplit/>
          <w:trHeight w:val="346"/>
          <w:tblHeader/>
        </w:trPr>
        <w:tc>
          <w:tcPr>
            <w:tcW w:w="1308" w:type="dxa"/>
          </w:tcPr>
          <w:p w14:paraId="72F763D4" w14:textId="77777777" w:rsidR="00204697" w:rsidRPr="00DA702B" w:rsidRDefault="00204697" w:rsidP="00DA702B">
            <w:pPr>
              <w:rPr>
                <w:sz w:val="20"/>
                <w:szCs w:val="20"/>
              </w:rPr>
            </w:pPr>
          </w:p>
        </w:tc>
        <w:tc>
          <w:tcPr>
            <w:tcW w:w="1309" w:type="dxa"/>
          </w:tcPr>
          <w:p w14:paraId="17BDA584" w14:textId="77777777" w:rsidR="00204697" w:rsidRPr="00DA702B" w:rsidRDefault="00204697" w:rsidP="00DA702B">
            <w:pPr>
              <w:rPr>
                <w:sz w:val="20"/>
                <w:szCs w:val="20"/>
              </w:rPr>
            </w:pPr>
          </w:p>
        </w:tc>
        <w:tc>
          <w:tcPr>
            <w:tcW w:w="1309" w:type="dxa"/>
          </w:tcPr>
          <w:p w14:paraId="61838933" w14:textId="77777777" w:rsidR="00204697" w:rsidRPr="00DA702B" w:rsidRDefault="00204697" w:rsidP="00DA702B">
            <w:pPr>
              <w:rPr>
                <w:sz w:val="20"/>
                <w:szCs w:val="20"/>
              </w:rPr>
            </w:pPr>
          </w:p>
        </w:tc>
        <w:tc>
          <w:tcPr>
            <w:tcW w:w="1309" w:type="dxa"/>
          </w:tcPr>
          <w:p w14:paraId="0E3357FA" w14:textId="77777777" w:rsidR="00204697" w:rsidRPr="00DA702B" w:rsidRDefault="00204697" w:rsidP="00DA702B">
            <w:pPr>
              <w:rPr>
                <w:sz w:val="20"/>
                <w:szCs w:val="20"/>
              </w:rPr>
            </w:pPr>
          </w:p>
        </w:tc>
        <w:tc>
          <w:tcPr>
            <w:tcW w:w="1309" w:type="dxa"/>
          </w:tcPr>
          <w:p w14:paraId="62C2BB41" w14:textId="77777777" w:rsidR="00204697" w:rsidRPr="00DA702B" w:rsidRDefault="00204697" w:rsidP="00DA702B">
            <w:pPr>
              <w:rPr>
                <w:sz w:val="20"/>
                <w:szCs w:val="20"/>
              </w:rPr>
            </w:pPr>
          </w:p>
        </w:tc>
        <w:tc>
          <w:tcPr>
            <w:tcW w:w="1309" w:type="dxa"/>
          </w:tcPr>
          <w:p w14:paraId="6396979C" w14:textId="77777777" w:rsidR="00204697" w:rsidRPr="00DA702B" w:rsidRDefault="00204697" w:rsidP="00DA702B">
            <w:pPr>
              <w:rPr>
                <w:sz w:val="20"/>
                <w:szCs w:val="20"/>
              </w:rPr>
            </w:pPr>
          </w:p>
        </w:tc>
        <w:tc>
          <w:tcPr>
            <w:tcW w:w="1309" w:type="dxa"/>
          </w:tcPr>
          <w:p w14:paraId="23432433" w14:textId="77777777" w:rsidR="00204697" w:rsidRPr="00DA702B" w:rsidRDefault="00204697" w:rsidP="00DA702B">
            <w:pPr>
              <w:rPr>
                <w:sz w:val="20"/>
                <w:szCs w:val="20"/>
              </w:rPr>
            </w:pPr>
          </w:p>
        </w:tc>
        <w:tc>
          <w:tcPr>
            <w:tcW w:w="1309" w:type="dxa"/>
          </w:tcPr>
          <w:p w14:paraId="16083A4D" w14:textId="77777777" w:rsidR="00204697" w:rsidRPr="00DA702B" w:rsidRDefault="00204697" w:rsidP="00DA702B">
            <w:pPr>
              <w:rPr>
                <w:sz w:val="20"/>
                <w:szCs w:val="20"/>
              </w:rPr>
            </w:pPr>
          </w:p>
        </w:tc>
        <w:tc>
          <w:tcPr>
            <w:tcW w:w="1310" w:type="dxa"/>
          </w:tcPr>
          <w:p w14:paraId="54B166E6" w14:textId="77777777" w:rsidR="00204697" w:rsidRPr="00DA702B" w:rsidRDefault="00204697" w:rsidP="00DA702B">
            <w:pPr>
              <w:rPr>
                <w:sz w:val="20"/>
                <w:szCs w:val="20"/>
              </w:rPr>
            </w:pPr>
          </w:p>
        </w:tc>
        <w:tc>
          <w:tcPr>
            <w:tcW w:w="1310" w:type="dxa"/>
          </w:tcPr>
          <w:p w14:paraId="34C577F9" w14:textId="77777777" w:rsidR="00204697" w:rsidRPr="00DA702B" w:rsidRDefault="00204697" w:rsidP="00DA702B">
            <w:pPr>
              <w:rPr>
                <w:sz w:val="20"/>
                <w:szCs w:val="20"/>
              </w:rPr>
            </w:pPr>
          </w:p>
        </w:tc>
      </w:tr>
      <w:tr w:rsidR="00204697" w:rsidRPr="00DA702B" w14:paraId="53636958" w14:textId="77777777" w:rsidTr="00FC00AF">
        <w:trPr>
          <w:cantSplit/>
          <w:trHeight w:val="346"/>
          <w:tblHeader/>
        </w:trPr>
        <w:tc>
          <w:tcPr>
            <w:tcW w:w="1308" w:type="dxa"/>
          </w:tcPr>
          <w:p w14:paraId="6BCCB04F" w14:textId="77777777" w:rsidR="00204697" w:rsidRPr="00DA702B" w:rsidRDefault="00204697" w:rsidP="00DA702B">
            <w:pPr>
              <w:rPr>
                <w:sz w:val="20"/>
                <w:szCs w:val="20"/>
              </w:rPr>
            </w:pPr>
          </w:p>
        </w:tc>
        <w:tc>
          <w:tcPr>
            <w:tcW w:w="1309" w:type="dxa"/>
          </w:tcPr>
          <w:p w14:paraId="2694C315" w14:textId="77777777" w:rsidR="00204697" w:rsidRPr="00DA702B" w:rsidRDefault="00204697" w:rsidP="00DA702B">
            <w:pPr>
              <w:rPr>
                <w:sz w:val="20"/>
                <w:szCs w:val="20"/>
              </w:rPr>
            </w:pPr>
          </w:p>
        </w:tc>
        <w:tc>
          <w:tcPr>
            <w:tcW w:w="1309" w:type="dxa"/>
          </w:tcPr>
          <w:p w14:paraId="340CC430" w14:textId="77777777" w:rsidR="00204697" w:rsidRPr="00DA702B" w:rsidRDefault="00204697" w:rsidP="00DA702B">
            <w:pPr>
              <w:rPr>
                <w:sz w:val="20"/>
                <w:szCs w:val="20"/>
              </w:rPr>
            </w:pPr>
          </w:p>
        </w:tc>
        <w:tc>
          <w:tcPr>
            <w:tcW w:w="1309" w:type="dxa"/>
          </w:tcPr>
          <w:p w14:paraId="68CF2AD2" w14:textId="77777777" w:rsidR="00204697" w:rsidRPr="00DA702B" w:rsidRDefault="00204697" w:rsidP="00DA702B">
            <w:pPr>
              <w:rPr>
                <w:sz w:val="20"/>
                <w:szCs w:val="20"/>
              </w:rPr>
            </w:pPr>
          </w:p>
        </w:tc>
        <w:tc>
          <w:tcPr>
            <w:tcW w:w="1309" w:type="dxa"/>
          </w:tcPr>
          <w:p w14:paraId="6EAA9BC5" w14:textId="77777777" w:rsidR="00204697" w:rsidRPr="00DA702B" w:rsidRDefault="00204697" w:rsidP="00DA702B">
            <w:pPr>
              <w:rPr>
                <w:sz w:val="20"/>
                <w:szCs w:val="20"/>
              </w:rPr>
            </w:pPr>
          </w:p>
        </w:tc>
        <w:tc>
          <w:tcPr>
            <w:tcW w:w="1309" w:type="dxa"/>
          </w:tcPr>
          <w:p w14:paraId="2226BA79" w14:textId="77777777" w:rsidR="00204697" w:rsidRPr="00DA702B" w:rsidRDefault="00204697" w:rsidP="00DA702B">
            <w:pPr>
              <w:rPr>
                <w:sz w:val="20"/>
                <w:szCs w:val="20"/>
              </w:rPr>
            </w:pPr>
          </w:p>
        </w:tc>
        <w:tc>
          <w:tcPr>
            <w:tcW w:w="1309" w:type="dxa"/>
          </w:tcPr>
          <w:p w14:paraId="42CC68A2" w14:textId="77777777" w:rsidR="00204697" w:rsidRPr="00DA702B" w:rsidRDefault="00204697" w:rsidP="00DA702B">
            <w:pPr>
              <w:rPr>
                <w:sz w:val="20"/>
                <w:szCs w:val="20"/>
              </w:rPr>
            </w:pPr>
          </w:p>
        </w:tc>
        <w:tc>
          <w:tcPr>
            <w:tcW w:w="1309" w:type="dxa"/>
          </w:tcPr>
          <w:p w14:paraId="6BE65446" w14:textId="77777777" w:rsidR="00204697" w:rsidRPr="00DA702B" w:rsidRDefault="00204697" w:rsidP="00DA702B">
            <w:pPr>
              <w:rPr>
                <w:sz w:val="20"/>
                <w:szCs w:val="20"/>
              </w:rPr>
            </w:pPr>
          </w:p>
        </w:tc>
        <w:tc>
          <w:tcPr>
            <w:tcW w:w="1310" w:type="dxa"/>
          </w:tcPr>
          <w:p w14:paraId="7E3BFC02" w14:textId="77777777" w:rsidR="00204697" w:rsidRPr="00DA702B" w:rsidRDefault="00204697" w:rsidP="00DA702B">
            <w:pPr>
              <w:rPr>
                <w:sz w:val="20"/>
                <w:szCs w:val="20"/>
              </w:rPr>
            </w:pPr>
          </w:p>
        </w:tc>
        <w:tc>
          <w:tcPr>
            <w:tcW w:w="1310" w:type="dxa"/>
          </w:tcPr>
          <w:p w14:paraId="5E3FDF39" w14:textId="77777777" w:rsidR="00204697" w:rsidRPr="00DA702B" w:rsidRDefault="00204697" w:rsidP="00DA702B">
            <w:pPr>
              <w:rPr>
                <w:sz w:val="20"/>
                <w:szCs w:val="20"/>
              </w:rPr>
            </w:pPr>
          </w:p>
        </w:tc>
      </w:tr>
      <w:tr w:rsidR="00204697" w:rsidRPr="00DA702B" w14:paraId="3F136AD8" w14:textId="77777777" w:rsidTr="00FC00AF">
        <w:trPr>
          <w:cantSplit/>
          <w:trHeight w:val="346"/>
          <w:tblHeader/>
        </w:trPr>
        <w:tc>
          <w:tcPr>
            <w:tcW w:w="1308" w:type="dxa"/>
          </w:tcPr>
          <w:p w14:paraId="27CD346E" w14:textId="77777777" w:rsidR="00204697" w:rsidRPr="00DA702B" w:rsidRDefault="00204697" w:rsidP="00DA702B">
            <w:pPr>
              <w:rPr>
                <w:sz w:val="20"/>
                <w:szCs w:val="20"/>
              </w:rPr>
            </w:pPr>
          </w:p>
        </w:tc>
        <w:tc>
          <w:tcPr>
            <w:tcW w:w="1309" w:type="dxa"/>
          </w:tcPr>
          <w:p w14:paraId="0661232D" w14:textId="77777777" w:rsidR="00204697" w:rsidRPr="00DA702B" w:rsidRDefault="00204697" w:rsidP="00DA702B">
            <w:pPr>
              <w:rPr>
                <w:sz w:val="20"/>
                <w:szCs w:val="20"/>
              </w:rPr>
            </w:pPr>
          </w:p>
        </w:tc>
        <w:tc>
          <w:tcPr>
            <w:tcW w:w="1309" w:type="dxa"/>
          </w:tcPr>
          <w:p w14:paraId="578F2633" w14:textId="77777777" w:rsidR="00204697" w:rsidRPr="00DA702B" w:rsidRDefault="00204697" w:rsidP="00DA702B">
            <w:pPr>
              <w:rPr>
                <w:sz w:val="20"/>
                <w:szCs w:val="20"/>
              </w:rPr>
            </w:pPr>
          </w:p>
        </w:tc>
        <w:tc>
          <w:tcPr>
            <w:tcW w:w="1309" w:type="dxa"/>
          </w:tcPr>
          <w:p w14:paraId="29B95CDA" w14:textId="77777777" w:rsidR="00204697" w:rsidRPr="00DA702B" w:rsidRDefault="00204697" w:rsidP="00DA702B">
            <w:pPr>
              <w:rPr>
                <w:sz w:val="20"/>
                <w:szCs w:val="20"/>
              </w:rPr>
            </w:pPr>
          </w:p>
        </w:tc>
        <w:tc>
          <w:tcPr>
            <w:tcW w:w="1309" w:type="dxa"/>
          </w:tcPr>
          <w:p w14:paraId="472BE75E" w14:textId="77777777" w:rsidR="00204697" w:rsidRPr="00DA702B" w:rsidRDefault="00204697" w:rsidP="00DA702B">
            <w:pPr>
              <w:rPr>
                <w:sz w:val="20"/>
                <w:szCs w:val="20"/>
              </w:rPr>
            </w:pPr>
          </w:p>
        </w:tc>
        <w:tc>
          <w:tcPr>
            <w:tcW w:w="1309" w:type="dxa"/>
          </w:tcPr>
          <w:p w14:paraId="7A57E89F" w14:textId="77777777" w:rsidR="00204697" w:rsidRPr="00DA702B" w:rsidRDefault="00204697" w:rsidP="00DA702B">
            <w:pPr>
              <w:rPr>
                <w:sz w:val="20"/>
                <w:szCs w:val="20"/>
              </w:rPr>
            </w:pPr>
          </w:p>
        </w:tc>
        <w:tc>
          <w:tcPr>
            <w:tcW w:w="1309" w:type="dxa"/>
          </w:tcPr>
          <w:p w14:paraId="1984160C" w14:textId="77777777" w:rsidR="00204697" w:rsidRPr="00DA702B" w:rsidRDefault="00204697" w:rsidP="00DA702B">
            <w:pPr>
              <w:rPr>
                <w:sz w:val="20"/>
                <w:szCs w:val="20"/>
              </w:rPr>
            </w:pPr>
          </w:p>
        </w:tc>
        <w:tc>
          <w:tcPr>
            <w:tcW w:w="1309" w:type="dxa"/>
          </w:tcPr>
          <w:p w14:paraId="0FC22F73" w14:textId="77777777" w:rsidR="00204697" w:rsidRPr="00DA702B" w:rsidRDefault="00204697" w:rsidP="00DA702B">
            <w:pPr>
              <w:rPr>
                <w:sz w:val="20"/>
                <w:szCs w:val="20"/>
              </w:rPr>
            </w:pPr>
          </w:p>
        </w:tc>
        <w:tc>
          <w:tcPr>
            <w:tcW w:w="1310" w:type="dxa"/>
          </w:tcPr>
          <w:p w14:paraId="27A2FF8F" w14:textId="77777777" w:rsidR="00204697" w:rsidRPr="00DA702B" w:rsidRDefault="00204697" w:rsidP="00DA702B">
            <w:pPr>
              <w:rPr>
                <w:sz w:val="20"/>
                <w:szCs w:val="20"/>
              </w:rPr>
            </w:pPr>
          </w:p>
        </w:tc>
        <w:tc>
          <w:tcPr>
            <w:tcW w:w="1310" w:type="dxa"/>
          </w:tcPr>
          <w:p w14:paraId="3332CDF1" w14:textId="77777777" w:rsidR="00204697" w:rsidRPr="00DA702B" w:rsidRDefault="00204697" w:rsidP="00DA702B">
            <w:pPr>
              <w:rPr>
                <w:sz w:val="20"/>
                <w:szCs w:val="20"/>
              </w:rPr>
            </w:pPr>
          </w:p>
        </w:tc>
      </w:tr>
      <w:tr w:rsidR="00204697" w:rsidRPr="00DA702B" w14:paraId="7F7226EC" w14:textId="77777777" w:rsidTr="00FC00AF">
        <w:trPr>
          <w:cantSplit/>
          <w:trHeight w:val="346"/>
          <w:tblHeader/>
        </w:trPr>
        <w:tc>
          <w:tcPr>
            <w:tcW w:w="1308" w:type="dxa"/>
          </w:tcPr>
          <w:p w14:paraId="66F6C791" w14:textId="77777777" w:rsidR="00204697" w:rsidRPr="00DA702B" w:rsidRDefault="00204697" w:rsidP="00DA702B">
            <w:pPr>
              <w:rPr>
                <w:sz w:val="20"/>
                <w:szCs w:val="20"/>
              </w:rPr>
            </w:pPr>
          </w:p>
        </w:tc>
        <w:tc>
          <w:tcPr>
            <w:tcW w:w="1309" w:type="dxa"/>
          </w:tcPr>
          <w:p w14:paraId="2453037B" w14:textId="77777777" w:rsidR="00204697" w:rsidRPr="00DA702B" w:rsidRDefault="00204697" w:rsidP="00DA702B">
            <w:pPr>
              <w:rPr>
                <w:sz w:val="20"/>
                <w:szCs w:val="20"/>
              </w:rPr>
            </w:pPr>
          </w:p>
        </w:tc>
        <w:tc>
          <w:tcPr>
            <w:tcW w:w="1309" w:type="dxa"/>
          </w:tcPr>
          <w:p w14:paraId="1FB95E8D" w14:textId="77777777" w:rsidR="00204697" w:rsidRPr="00DA702B" w:rsidRDefault="00204697" w:rsidP="00DA702B">
            <w:pPr>
              <w:rPr>
                <w:sz w:val="20"/>
                <w:szCs w:val="20"/>
              </w:rPr>
            </w:pPr>
          </w:p>
        </w:tc>
        <w:tc>
          <w:tcPr>
            <w:tcW w:w="1309" w:type="dxa"/>
          </w:tcPr>
          <w:p w14:paraId="256D0B09" w14:textId="77777777" w:rsidR="00204697" w:rsidRPr="00DA702B" w:rsidRDefault="00204697" w:rsidP="00DA702B">
            <w:pPr>
              <w:rPr>
                <w:sz w:val="20"/>
                <w:szCs w:val="20"/>
              </w:rPr>
            </w:pPr>
          </w:p>
        </w:tc>
        <w:tc>
          <w:tcPr>
            <w:tcW w:w="1309" w:type="dxa"/>
          </w:tcPr>
          <w:p w14:paraId="634D1A81" w14:textId="77777777" w:rsidR="00204697" w:rsidRPr="00DA702B" w:rsidRDefault="00204697" w:rsidP="00DA702B">
            <w:pPr>
              <w:rPr>
                <w:sz w:val="20"/>
                <w:szCs w:val="20"/>
              </w:rPr>
            </w:pPr>
          </w:p>
        </w:tc>
        <w:tc>
          <w:tcPr>
            <w:tcW w:w="1309" w:type="dxa"/>
          </w:tcPr>
          <w:p w14:paraId="1FFEB695" w14:textId="77777777" w:rsidR="00204697" w:rsidRPr="00DA702B" w:rsidRDefault="00204697" w:rsidP="00DA702B">
            <w:pPr>
              <w:rPr>
                <w:sz w:val="20"/>
                <w:szCs w:val="20"/>
              </w:rPr>
            </w:pPr>
          </w:p>
        </w:tc>
        <w:tc>
          <w:tcPr>
            <w:tcW w:w="1309" w:type="dxa"/>
          </w:tcPr>
          <w:p w14:paraId="09AF454E" w14:textId="77777777" w:rsidR="00204697" w:rsidRPr="00DA702B" w:rsidRDefault="00204697" w:rsidP="00DA702B">
            <w:pPr>
              <w:rPr>
                <w:sz w:val="20"/>
                <w:szCs w:val="20"/>
              </w:rPr>
            </w:pPr>
          </w:p>
        </w:tc>
        <w:tc>
          <w:tcPr>
            <w:tcW w:w="1309" w:type="dxa"/>
          </w:tcPr>
          <w:p w14:paraId="0B1A7A54" w14:textId="77777777" w:rsidR="00204697" w:rsidRPr="00DA702B" w:rsidRDefault="00204697" w:rsidP="00DA702B">
            <w:pPr>
              <w:rPr>
                <w:sz w:val="20"/>
                <w:szCs w:val="20"/>
              </w:rPr>
            </w:pPr>
          </w:p>
        </w:tc>
        <w:tc>
          <w:tcPr>
            <w:tcW w:w="1310" w:type="dxa"/>
          </w:tcPr>
          <w:p w14:paraId="11D39567" w14:textId="77777777" w:rsidR="00204697" w:rsidRPr="00DA702B" w:rsidRDefault="00204697" w:rsidP="00DA702B">
            <w:pPr>
              <w:rPr>
                <w:sz w:val="20"/>
                <w:szCs w:val="20"/>
              </w:rPr>
            </w:pPr>
          </w:p>
        </w:tc>
        <w:tc>
          <w:tcPr>
            <w:tcW w:w="1310" w:type="dxa"/>
          </w:tcPr>
          <w:p w14:paraId="7D173C53" w14:textId="77777777" w:rsidR="00204697" w:rsidRPr="00DA702B" w:rsidRDefault="00204697" w:rsidP="00DA702B">
            <w:pPr>
              <w:rPr>
                <w:sz w:val="20"/>
                <w:szCs w:val="20"/>
              </w:rPr>
            </w:pPr>
          </w:p>
        </w:tc>
      </w:tr>
      <w:tr w:rsidR="00204697" w:rsidRPr="00DA702B" w14:paraId="57454A7C" w14:textId="77777777" w:rsidTr="00FC00AF">
        <w:trPr>
          <w:cantSplit/>
          <w:trHeight w:val="346"/>
          <w:tblHeader/>
        </w:trPr>
        <w:tc>
          <w:tcPr>
            <w:tcW w:w="1308" w:type="dxa"/>
          </w:tcPr>
          <w:p w14:paraId="594C25CB" w14:textId="77777777" w:rsidR="00204697" w:rsidRPr="00DA702B" w:rsidRDefault="00204697" w:rsidP="00DA702B">
            <w:pPr>
              <w:rPr>
                <w:sz w:val="20"/>
                <w:szCs w:val="20"/>
              </w:rPr>
            </w:pPr>
          </w:p>
        </w:tc>
        <w:tc>
          <w:tcPr>
            <w:tcW w:w="1309" w:type="dxa"/>
          </w:tcPr>
          <w:p w14:paraId="5952B28A" w14:textId="77777777" w:rsidR="00204697" w:rsidRPr="00DA702B" w:rsidRDefault="00204697" w:rsidP="00DA702B">
            <w:pPr>
              <w:rPr>
                <w:sz w:val="20"/>
                <w:szCs w:val="20"/>
              </w:rPr>
            </w:pPr>
          </w:p>
        </w:tc>
        <w:tc>
          <w:tcPr>
            <w:tcW w:w="1309" w:type="dxa"/>
          </w:tcPr>
          <w:p w14:paraId="54983126" w14:textId="77777777" w:rsidR="00204697" w:rsidRPr="00DA702B" w:rsidRDefault="00204697" w:rsidP="00DA702B">
            <w:pPr>
              <w:rPr>
                <w:sz w:val="20"/>
                <w:szCs w:val="20"/>
              </w:rPr>
            </w:pPr>
          </w:p>
        </w:tc>
        <w:tc>
          <w:tcPr>
            <w:tcW w:w="1309" w:type="dxa"/>
          </w:tcPr>
          <w:p w14:paraId="6DA2508D" w14:textId="77777777" w:rsidR="00204697" w:rsidRPr="00DA702B" w:rsidRDefault="00204697" w:rsidP="00DA702B">
            <w:pPr>
              <w:rPr>
                <w:sz w:val="20"/>
                <w:szCs w:val="20"/>
              </w:rPr>
            </w:pPr>
          </w:p>
        </w:tc>
        <w:tc>
          <w:tcPr>
            <w:tcW w:w="1309" w:type="dxa"/>
          </w:tcPr>
          <w:p w14:paraId="06F91196" w14:textId="77777777" w:rsidR="00204697" w:rsidRPr="00DA702B" w:rsidRDefault="00204697" w:rsidP="00DA702B">
            <w:pPr>
              <w:rPr>
                <w:sz w:val="20"/>
                <w:szCs w:val="20"/>
              </w:rPr>
            </w:pPr>
          </w:p>
        </w:tc>
        <w:tc>
          <w:tcPr>
            <w:tcW w:w="1309" w:type="dxa"/>
          </w:tcPr>
          <w:p w14:paraId="1C244B63" w14:textId="77777777" w:rsidR="00204697" w:rsidRPr="00DA702B" w:rsidRDefault="00204697" w:rsidP="00DA702B">
            <w:pPr>
              <w:rPr>
                <w:sz w:val="20"/>
                <w:szCs w:val="20"/>
              </w:rPr>
            </w:pPr>
          </w:p>
        </w:tc>
        <w:tc>
          <w:tcPr>
            <w:tcW w:w="1309" w:type="dxa"/>
          </w:tcPr>
          <w:p w14:paraId="376CC8AB" w14:textId="77777777" w:rsidR="00204697" w:rsidRPr="00DA702B" w:rsidRDefault="00204697" w:rsidP="00DA702B">
            <w:pPr>
              <w:rPr>
                <w:sz w:val="20"/>
                <w:szCs w:val="20"/>
              </w:rPr>
            </w:pPr>
          </w:p>
        </w:tc>
        <w:tc>
          <w:tcPr>
            <w:tcW w:w="1309" w:type="dxa"/>
          </w:tcPr>
          <w:p w14:paraId="365B9845" w14:textId="77777777" w:rsidR="00204697" w:rsidRPr="00DA702B" w:rsidRDefault="00204697" w:rsidP="00DA702B">
            <w:pPr>
              <w:rPr>
                <w:sz w:val="20"/>
                <w:szCs w:val="20"/>
              </w:rPr>
            </w:pPr>
          </w:p>
        </w:tc>
        <w:tc>
          <w:tcPr>
            <w:tcW w:w="1310" w:type="dxa"/>
          </w:tcPr>
          <w:p w14:paraId="72ED5E6A" w14:textId="77777777" w:rsidR="00204697" w:rsidRPr="00DA702B" w:rsidRDefault="00204697" w:rsidP="00DA702B">
            <w:pPr>
              <w:rPr>
                <w:sz w:val="20"/>
                <w:szCs w:val="20"/>
              </w:rPr>
            </w:pPr>
          </w:p>
        </w:tc>
        <w:tc>
          <w:tcPr>
            <w:tcW w:w="1310" w:type="dxa"/>
          </w:tcPr>
          <w:p w14:paraId="174BF010" w14:textId="77777777" w:rsidR="00204697" w:rsidRPr="00DA702B" w:rsidRDefault="00204697" w:rsidP="00DA702B">
            <w:pPr>
              <w:rPr>
                <w:sz w:val="20"/>
                <w:szCs w:val="20"/>
              </w:rPr>
            </w:pPr>
          </w:p>
        </w:tc>
      </w:tr>
      <w:tr w:rsidR="00204697" w:rsidRPr="00DA702B" w14:paraId="4ED2B0CA" w14:textId="77777777" w:rsidTr="00FC00AF">
        <w:trPr>
          <w:cantSplit/>
          <w:trHeight w:val="346"/>
          <w:tblHeader/>
        </w:trPr>
        <w:tc>
          <w:tcPr>
            <w:tcW w:w="1308" w:type="dxa"/>
          </w:tcPr>
          <w:p w14:paraId="18476B7D" w14:textId="77777777" w:rsidR="00204697" w:rsidRPr="00DA702B" w:rsidRDefault="00204697" w:rsidP="00DA702B">
            <w:pPr>
              <w:rPr>
                <w:sz w:val="20"/>
                <w:szCs w:val="20"/>
              </w:rPr>
            </w:pPr>
          </w:p>
        </w:tc>
        <w:tc>
          <w:tcPr>
            <w:tcW w:w="1309" w:type="dxa"/>
          </w:tcPr>
          <w:p w14:paraId="06F3583B" w14:textId="77777777" w:rsidR="00204697" w:rsidRPr="00DA702B" w:rsidRDefault="00204697" w:rsidP="00DA702B">
            <w:pPr>
              <w:rPr>
                <w:sz w:val="20"/>
                <w:szCs w:val="20"/>
              </w:rPr>
            </w:pPr>
          </w:p>
        </w:tc>
        <w:tc>
          <w:tcPr>
            <w:tcW w:w="1309" w:type="dxa"/>
          </w:tcPr>
          <w:p w14:paraId="408C7D4A" w14:textId="77777777" w:rsidR="00204697" w:rsidRPr="00DA702B" w:rsidRDefault="00204697" w:rsidP="00DA702B">
            <w:pPr>
              <w:rPr>
                <w:sz w:val="20"/>
                <w:szCs w:val="20"/>
              </w:rPr>
            </w:pPr>
          </w:p>
        </w:tc>
        <w:tc>
          <w:tcPr>
            <w:tcW w:w="1309" w:type="dxa"/>
          </w:tcPr>
          <w:p w14:paraId="68AF6003" w14:textId="77777777" w:rsidR="00204697" w:rsidRPr="00DA702B" w:rsidRDefault="00204697" w:rsidP="00DA702B">
            <w:pPr>
              <w:rPr>
                <w:sz w:val="20"/>
                <w:szCs w:val="20"/>
              </w:rPr>
            </w:pPr>
          </w:p>
        </w:tc>
        <w:tc>
          <w:tcPr>
            <w:tcW w:w="1309" w:type="dxa"/>
          </w:tcPr>
          <w:p w14:paraId="2B035504" w14:textId="77777777" w:rsidR="00204697" w:rsidRPr="00DA702B" w:rsidRDefault="00204697" w:rsidP="00DA702B">
            <w:pPr>
              <w:rPr>
                <w:sz w:val="20"/>
                <w:szCs w:val="20"/>
              </w:rPr>
            </w:pPr>
          </w:p>
        </w:tc>
        <w:tc>
          <w:tcPr>
            <w:tcW w:w="1309" w:type="dxa"/>
          </w:tcPr>
          <w:p w14:paraId="39E152F2" w14:textId="77777777" w:rsidR="00204697" w:rsidRPr="00DA702B" w:rsidRDefault="00204697" w:rsidP="00DA702B">
            <w:pPr>
              <w:rPr>
                <w:sz w:val="20"/>
                <w:szCs w:val="20"/>
              </w:rPr>
            </w:pPr>
          </w:p>
        </w:tc>
        <w:tc>
          <w:tcPr>
            <w:tcW w:w="1309" w:type="dxa"/>
          </w:tcPr>
          <w:p w14:paraId="1437D540" w14:textId="77777777" w:rsidR="00204697" w:rsidRPr="00DA702B" w:rsidRDefault="00204697" w:rsidP="00DA702B">
            <w:pPr>
              <w:rPr>
                <w:sz w:val="20"/>
                <w:szCs w:val="20"/>
              </w:rPr>
            </w:pPr>
          </w:p>
        </w:tc>
        <w:tc>
          <w:tcPr>
            <w:tcW w:w="1309" w:type="dxa"/>
          </w:tcPr>
          <w:p w14:paraId="43E1D56A" w14:textId="77777777" w:rsidR="00204697" w:rsidRPr="00DA702B" w:rsidRDefault="00204697" w:rsidP="00DA702B">
            <w:pPr>
              <w:rPr>
                <w:sz w:val="20"/>
                <w:szCs w:val="20"/>
              </w:rPr>
            </w:pPr>
          </w:p>
        </w:tc>
        <w:tc>
          <w:tcPr>
            <w:tcW w:w="1310" w:type="dxa"/>
          </w:tcPr>
          <w:p w14:paraId="49C52849" w14:textId="77777777" w:rsidR="00204697" w:rsidRPr="00DA702B" w:rsidRDefault="00204697" w:rsidP="00DA702B">
            <w:pPr>
              <w:rPr>
                <w:sz w:val="20"/>
                <w:szCs w:val="20"/>
              </w:rPr>
            </w:pPr>
          </w:p>
        </w:tc>
        <w:tc>
          <w:tcPr>
            <w:tcW w:w="1310" w:type="dxa"/>
          </w:tcPr>
          <w:p w14:paraId="2BA75E20" w14:textId="77777777" w:rsidR="00204697" w:rsidRPr="00DA702B" w:rsidRDefault="00204697" w:rsidP="00DA702B">
            <w:pPr>
              <w:rPr>
                <w:sz w:val="20"/>
                <w:szCs w:val="20"/>
              </w:rPr>
            </w:pPr>
          </w:p>
        </w:tc>
      </w:tr>
    </w:tbl>
    <w:p w14:paraId="206AE73C" w14:textId="77777777" w:rsidR="00DA702B" w:rsidRPr="00DA702B" w:rsidRDefault="00DA702B" w:rsidP="00DA702B">
      <w:r w:rsidRPr="00DA702B">
        <w:br w:type="page"/>
      </w:r>
    </w:p>
    <w:p w14:paraId="4035A4BD" w14:textId="77777777" w:rsidR="00DA702B" w:rsidRPr="00DA702B" w:rsidRDefault="00DA702B" w:rsidP="00A32CC0">
      <w:pPr>
        <w:widowControl w:val="0"/>
        <w:jc w:val="center"/>
        <w:rPr>
          <w:rFonts w:eastAsiaTheme="majorEastAsia"/>
          <w:b/>
          <w:bCs/>
        </w:rPr>
      </w:pPr>
      <w:r w:rsidRPr="00DA702B">
        <w:rPr>
          <w:rFonts w:eastAsiaTheme="majorEastAsia"/>
          <w:b/>
          <w:bCs/>
        </w:rPr>
        <w:lastRenderedPageBreak/>
        <w:t>Boiler/Steam Generator/Steam Generating Unit Attributes</w:t>
      </w:r>
    </w:p>
    <w:p w14:paraId="64FDCC7C" w14:textId="77777777" w:rsidR="00DA702B" w:rsidRPr="00DA702B" w:rsidRDefault="00DA702B" w:rsidP="00A32CC0">
      <w:pPr>
        <w:widowControl w:val="0"/>
        <w:jc w:val="center"/>
        <w:rPr>
          <w:rFonts w:eastAsiaTheme="majorEastAsia"/>
          <w:b/>
          <w:bCs/>
        </w:rPr>
      </w:pPr>
      <w:r w:rsidRPr="00DA702B">
        <w:rPr>
          <w:rFonts w:eastAsiaTheme="majorEastAsia"/>
          <w:b/>
          <w:bCs/>
        </w:rPr>
        <w:t>Form OP-UA6 (Page 8)</w:t>
      </w:r>
    </w:p>
    <w:p w14:paraId="779AAB7A" w14:textId="77777777" w:rsidR="00DA702B" w:rsidRPr="00DA702B" w:rsidRDefault="00DA702B" w:rsidP="00A32CC0">
      <w:pPr>
        <w:widowControl w:val="0"/>
        <w:jc w:val="center"/>
        <w:rPr>
          <w:rFonts w:eastAsiaTheme="majorEastAsia"/>
          <w:b/>
          <w:bCs/>
        </w:rPr>
      </w:pPr>
      <w:r w:rsidRPr="00DA702B">
        <w:rPr>
          <w:rFonts w:eastAsiaTheme="majorEastAsia"/>
          <w:b/>
          <w:bCs/>
        </w:rPr>
        <w:t>Federal Operating Permit Program</w:t>
      </w:r>
    </w:p>
    <w:p w14:paraId="03B15FE2" w14:textId="77777777" w:rsidR="00DA702B" w:rsidRPr="00DA702B" w:rsidRDefault="00DA702B" w:rsidP="00A32CC0">
      <w:pPr>
        <w:widowControl w:val="0"/>
        <w:jc w:val="center"/>
        <w:rPr>
          <w:b/>
          <w:bCs/>
        </w:rPr>
      </w:pPr>
      <w:bookmarkStart w:id="170" w:name="TBL_3c"/>
      <w:r w:rsidRPr="00DA702B">
        <w:rPr>
          <w:b/>
          <w:bCs/>
        </w:rPr>
        <w:t>Table 3c</w:t>
      </w:r>
      <w:bookmarkEnd w:id="170"/>
      <w:r w:rsidRPr="00DA702B">
        <w:rPr>
          <w:b/>
          <w:bCs/>
        </w:rPr>
        <w:t>:  Title 40 Code of Federal Regulations Part 60 (40 CFR Part 60)</w:t>
      </w:r>
    </w:p>
    <w:p w14:paraId="46B81E9E" w14:textId="77777777" w:rsidR="00DA702B" w:rsidRPr="00DA702B" w:rsidRDefault="00DA702B" w:rsidP="00A32CC0">
      <w:pPr>
        <w:widowControl w:val="0"/>
        <w:jc w:val="center"/>
        <w:rPr>
          <w:b/>
          <w:bCs/>
        </w:rPr>
      </w:pPr>
      <w:r w:rsidRPr="00DA702B">
        <w:rPr>
          <w:b/>
          <w:bCs/>
        </w:rPr>
        <w:t>Subpart Db:  Standards of Performance for Industrial-Commercial-Institutional Steam Generating Units</w:t>
      </w:r>
    </w:p>
    <w:p w14:paraId="207B721C" w14:textId="77777777" w:rsidR="00DA702B" w:rsidRPr="00DA702B" w:rsidRDefault="00DA702B" w:rsidP="00A32CC0">
      <w:pPr>
        <w:widowControl w:val="0"/>
        <w:jc w:val="center"/>
        <w:rPr>
          <w:b/>
          <w:bCs/>
        </w:rPr>
      </w:pPr>
      <w:r w:rsidRPr="00DA702B">
        <w:rPr>
          <w:b/>
          <w:bCs/>
        </w:rPr>
        <w:t>Texas Commission on Environmental Quality</w:t>
      </w:r>
    </w:p>
    <w:p w14:paraId="3AD5666D"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c:  Title 40 Code of Federal Regulations Part 60 (40 CFR Part 60)&#10;Subpart Db:  Standards of Performance for Industrial-Commercial Steam Generating Units&#10;&#10;"/>
      </w:tblPr>
      <w:tblGrid>
        <w:gridCol w:w="4800"/>
        <w:gridCol w:w="4800"/>
        <w:gridCol w:w="4800"/>
      </w:tblGrid>
      <w:tr w:rsidR="00DA702B" w:rsidRPr="00DA702B" w14:paraId="3245DF66" w14:textId="77777777" w:rsidTr="00247007">
        <w:trPr>
          <w:cantSplit/>
          <w:tblHeader/>
        </w:trPr>
        <w:tc>
          <w:tcPr>
            <w:tcW w:w="4800" w:type="dxa"/>
            <w:shd w:val="clear" w:color="auto" w:fill="D9D9D9" w:themeFill="background1" w:themeFillShade="D9"/>
          </w:tcPr>
          <w:p w14:paraId="27C73DAA"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19562F9"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7B02B77B"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25B91E91" w14:textId="77777777" w:rsidTr="00247007">
        <w:trPr>
          <w:cantSplit/>
          <w:tblHeader/>
        </w:trPr>
        <w:tc>
          <w:tcPr>
            <w:tcW w:w="4800" w:type="dxa"/>
          </w:tcPr>
          <w:p w14:paraId="3D980D51" w14:textId="77777777" w:rsidR="00DA702B" w:rsidRPr="00DA702B" w:rsidRDefault="00DA702B" w:rsidP="00DA702B">
            <w:pPr>
              <w:rPr>
                <w:rFonts w:asciiTheme="majorHAnsi" w:hAnsiTheme="majorHAnsi" w:cstheme="majorHAnsi"/>
              </w:rPr>
            </w:pPr>
          </w:p>
        </w:tc>
        <w:tc>
          <w:tcPr>
            <w:tcW w:w="4800" w:type="dxa"/>
          </w:tcPr>
          <w:p w14:paraId="0D43BE49" w14:textId="77777777" w:rsidR="00DA702B" w:rsidRPr="00DA702B" w:rsidRDefault="00DA702B" w:rsidP="00DA702B">
            <w:pPr>
              <w:rPr>
                <w:rFonts w:asciiTheme="majorHAnsi" w:hAnsiTheme="majorHAnsi" w:cstheme="majorHAnsi"/>
              </w:rPr>
            </w:pPr>
          </w:p>
        </w:tc>
        <w:tc>
          <w:tcPr>
            <w:tcW w:w="4800" w:type="dxa"/>
          </w:tcPr>
          <w:p w14:paraId="7AE7B289" w14:textId="77777777" w:rsidR="00DA702B" w:rsidRPr="00DA702B" w:rsidRDefault="00DA702B" w:rsidP="00DA702B">
            <w:pPr>
              <w:rPr>
                <w:rFonts w:asciiTheme="majorHAnsi" w:hAnsiTheme="majorHAnsi" w:cstheme="majorHAnsi"/>
              </w:rPr>
            </w:pPr>
          </w:p>
        </w:tc>
      </w:tr>
    </w:tbl>
    <w:p w14:paraId="49D670A0" w14:textId="77777777" w:rsidR="00DA702B" w:rsidRPr="00DA702B" w:rsidRDefault="00DA702B" w:rsidP="00DA702B">
      <w:pPr>
        <w:spacing w:before="24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c:  Title 40 Code of Federal Regulations Part 60 (40 CFR Part 60)&#10;Subpart Db:  Standards of Performance for Industrial-Commercial Steam Generating Units&#10;"/>
      </w:tblPr>
      <w:tblGrid>
        <w:gridCol w:w="1439"/>
        <w:gridCol w:w="1439"/>
        <w:gridCol w:w="1440"/>
        <w:gridCol w:w="1440"/>
        <w:gridCol w:w="1440"/>
        <w:gridCol w:w="1440"/>
        <w:gridCol w:w="1440"/>
        <w:gridCol w:w="1440"/>
        <w:gridCol w:w="1441"/>
        <w:gridCol w:w="1441"/>
      </w:tblGrid>
      <w:tr w:rsidR="00A37354" w:rsidRPr="00DA702B" w14:paraId="46211E8E" w14:textId="77777777" w:rsidTr="00FC00AF">
        <w:trPr>
          <w:cantSplit/>
          <w:tblHeader/>
        </w:trPr>
        <w:tc>
          <w:tcPr>
            <w:tcW w:w="1199" w:type="dxa"/>
            <w:shd w:val="clear" w:color="auto" w:fill="D9D9D9" w:themeFill="background1" w:themeFillShade="D9"/>
            <w:vAlign w:val="bottom"/>
          </w:tcPr>
          <w:p w14:paraId="42AB7CB2" w14:textId="77777777" w:rsidR="00A37354" w:rsidRPr="00DA702B" w:rsidRDefault="00A37354" w:rsidP="00DA702B">
            <w:pPr>
              <w:jc w:val="center"/>
              <w:rPr>
                <w:sz w:val="20"/>
                <w:szCs w:val="20"/>
              </w:rPr>
            </w:pPr>
            <w:r w:rsidRPr="00DA702B">
              <w:rPr>
                <w:b/>
                <w:sz w:val="20"/>
                <w:szCs w:val="20"/>
              </w:rPr>
              <w:t>Unit ID No.</w:t>
            </w:r>
          </w:p>
        </w:tc>
        <w:tc>
          <w:tcPr>
            <w:tcW w:w="1199" w:type="dxa"/>
            <w:shd w:val="clear" w:color="auto" w:fill="D9D9D9" w:themeFill="background1" w:themeFillShade="D9"/>
            <w:vAlign w:val="bottom"/>
          </w:tcPr>
          <w:p w14:paraId="47DB98F2" w14:textId="77777777" w:rsidR="00A37354" w:rsidRPr="00DA702B" w:rsidRDefault="00A37354" w:rsidP="00DA702B">
            <w:pPr>
              <w:jc w:val="center"/>
              <w:rPr>
                <w:b/>
                <w:sz w:val="20"/>
                <w:szCs w:val="20"/>
              </w:rPr>
            </w:pPr>
            <w:r w:rsidRPr="00DA702B">
              <w:rPr>
                <w:b/>
                <w:sz w:val="20"/>
                <w:szCs w:val="20"/>
              </w:rPr>
              <w:t>SOP</w:t>
            </w:r>
          </w:p>
          <w:p w14:paraId="4E87656A" w14:textId="77777777" w:rsidR="00A37354" w:rsidRPr="00DA702B" w:rsidRDefault="00A37354" w:rsidP="00DA702B">
            <w:pPr>
              <w:jc w:val="center"/>
              <w:rPr>
                <w:sz w:val="20"/>
                <w:szCs w:val="20"/>
              </w:rPr>
            </w:pPr>
            <w:r w:rsidRPr="00DA702B">
              <w:rPr>
                <w:b/>
                <w:sz w:val="20"/>
                <w:szCs w:val="20"/>
              </w:rPr>
              <w:t>Index No.</w:t>
            </w:r>
          </w:p>
        </w:tc>
        <w:tc>
          <w:tcPr>
            <w:tcW w:w="1200" w:type="dxa"/>
            <w:shd w:val="clear" w:color="auto" w:fill="D9D9D9" w:themeFill="background1" w:themeFillShade="D9"/>
            <w:vAlign w:val="bottom"/>
          </w:tcPr>
          <w:p w14:paraId="3B4A63C2" w14:textId="77777777" w:rsidR="00A37354" w:rsidRPr="00DA702B" w:rsidRDefault="00A37354" w:rsidP="00DA702B">
            <w:pPr>
              <w:jc w:val="center"/>
              <w:rPr>
                <w:sz w:val="20"/>
                <w:szCs w:val="20"/>
              </w:rPr>
            </w:pPr>
            <w:r w:rsidRPr="00DA702B">
              <w:rPr>
                <w:b/>
                <w:sz w:val="20"/>
                <w:szCs w:val="20"/>
              </w:rPr>
              <w:t>60.42b (k)(2) Low Sulfur Exemption</w:t>
            </w:r>
          </w:p>
        </w:tc>
        <w:tc>
          <w:tcPr>
            <w:tcW w:w="1200" w:type="dxa"/>
            <w:shd w:val="clear" w:color="auto" w:fill="D9D9D9" w:themeFill="background1" w:themeFillShade="D9"/>
            <w:vAlign w:val="bottom"/>
          </w:tcPr>
          <w:p w14:paraId="2FE1D18F" w14:textId="77777777" w:rsidR="00A37354" w:rsidRPr="00DA702B" w:rsidRDefault="00A37354" w:rsidP="00DA702B">
            <w:pPr>
              <w:jc w:val="center"/>
              <w:rPr>
                <w:sz w:val="20"/>
                <w:szCs w:val="20"/>
              </w:rPr>
            </w:pPr>
            <w:r w:rsidRPr="00DA702B">
              <w:rPr>
                <w:b/>
                <w:sz w:val="20"/>
                <w:szCs w:val="20"/>
              </w:rPr>
              <w:t>60.42b (k)(4) Alternative</w:t>
            </w:r>
          </w:p>
        </w:tc>
        <w:tc>
          <w:tcPr>
            <w:tcW w:w="1200" w:type="dxa"/>
            <w:shd w:val="clear" w:color="auto" w:fill="D9D9D9" w:themeFill="background1" w:themeFillShade="D9"/>
            <w:vAlign w:val="bottom"/>
          </w:tcPr>
          <w:p w14:paraId="05312AC0" w14:textId="77777777" w:rsidR="00A37354" w:rsidRPr="00DA702B" w:rsidRDefault="00A37354" w:rsidP="00DA702B">
            <w:pPr>
              <w:jc w:val="center"/>
              <w:rPr>
                <w:sz w:val="20"/>
                <w:szCs w:val="20"/>
              </w:rPr>
            </w:pPr>
            <w:r w:rsidRPr="00DA702B">
              <w:rPr>
                <w:b/>
                <w:sz w:val="20"/>
                <w:szCs w:val="20"/>
              </w:rPr>
              <w:t>Post-Combustion Control</w:t>
            </w:r>
          </w:p>
        </w:tc>
        <w:tc>
          <w:tcPr>
            <w:tcW w:w="1200" w:type="dxa"/>
            <w:shd w:val="clear" w:color="auto" w:fill="D9D9D9" w:themeFill="background1" w:themeFillShade="D9"/>
            <w:vAlign w:val="bottom"/>
          </w:tcPr>
          <w:p w14:paraId="4A41CC62" w14:textId="77777777" w:rsidR="00A37354" w:rsidRPr="00DA702B" w:rsidRDefault="00A37354" w:rsidP="00DA702B">
            <w:pPr>
              <w:jc w:val="center"/>
              <w:rPr>
                <w:sz w:val="20"/>
                <w:szCs w:val="20"/>
              </w:rPr>
            </w:pPr>
            <w:r w:rsidRPr="00DA702B">
              <w:rPr>
                <w:b/>
                <w:sz w:val="20"/>
                <w:szCs w:val="20"/>
              </w:rPr>
              <w:t>60.43b(h)(2) Alternative</w:t>
            </w:r>
          </w:p>
        </w:tc>
        <w:tc>
          <w:tcPr>
            <w:tcW w:w="1200" w:type="dxa"/>
            <w:shd w:val="clear" w:color="auto" w:fill="D9D9D9" w:themeFill="background1" w:themeFillShade="D9"/>
            <w:vAlign w:val="bottom"/>
          </w:tcPr>
          <w:p w14:paraId="594AB420" w14:textId="77777777" w:rsidR="00A37354" w:rsidRPr="00DA702B" w:rsidRDefault="00A37354" w:rsidP="00DA702B">
            <w:pPr>
              <w:jc w:val="center"/>
              <w:rPr>
                <w:sz w:val="20"/>
                <w:szCs w:val="20"/>
              </w:rPr>
            </w:pPr>
            <w:r w:rsidRPr="00DA702B">
              <w:rPr>
                <w:b/>
                <w:sz w:val="20"/>
                <w:szCs w:val="20"/>
              </w:rPr>
              <w:t>Electrical or Mechanical Output</w:t>
            </w:r>
          </w:p>
        </w:tc>
        <w:tc>
          <w:tcPr>
            <w:tcW w:w="1200" w:type="dxa"/>
            <w:shd w:val="clear" w:color="auto" w:fill="D9D9D9" w:themeFill="background1" w:themeFillShade="D9"/>
            <w:vAlign w:val="bottom"/>
          </w:tcPr>
          <w:p w14:paraId="21ED1860" w14:textId="77777777" w:rsidR="00A37354" w:rsidRPr="00DA702B" w:rsidRDefault="00A37354" w:rsidP="00DA702B">
            <w:pPr>
              <w:jc w:val="center"/>
              <w:rPr>
                <w:sz w:val="20"/>
                <w:szCs w:val="20"/>
              </w:rPr>
            </w:pPr>
            <w:r w:rsidRPr="00DA702B">
              <w:rPr>
                <w:b/>
                <w:sz w:val="20"/>
                <w:szCs w:val="20"/>
              </w:rPr>
              <w:t>Output Based Limit</w:t>
            </w:r>
          </w:p>
        </w:tc>
        <w:tc>
          <w:tcPr>
            <w:tcW w:w="1201" w:type="dxa"/>
            <w:shd w:val="clear" w:color="auto" w:fill="D9D9D9" w:themeFill="background1" w:themeFillShade="D9"/>
            <w:vAlign w:val="bottom"/>
          </w:tcPr>
          <w:p w14:paraId="209ABB47" w14:textId="77777777" w:rsidR="00A37354" w:rsidRPr="00DA702B" w:rsidRDefault="00A37354" w:rsidP="00DA702B">
            <w:pPr>
              <w:jc w:val="center"/>
              <w:rPr>
                <w:sz w:val="20"/>
                <w:szCs w:val="20"/>
              </w:rPr>
            </w:pPr>
            <w:r w:rsidRPr="00DA702B">
              <w:rPr>
                <w:b/>
                <w:sz w:val="20"/>
                <w:szCs w:val="20"/>
              </w:rPr>
              <w:t>60.49 Da(n) Alternative</w:t>
            </w:r>
          </w:p>
        </w:tc>
        <w:tc>
          <w:tcPr>
            <w:tcW w:w="1201" w:type="dxa"/>
            <w:shd w:val="clear" w:color="auto" w:fill="D9D9D9" w:themeFill="background1" w:themeFillShade="D9"/>
            <w:vAlign w:val="bottom"/>
          </w:tcPr>
          <w:p w14:paraId="6B0F5447" w14:textId="77777777" w:rsidR="00A37354" w:rsidRPr="00DA702B" w:rsidRDefault="00A37354" w:rsidP="00DA702B">
            <w:pPr>
              <w:jc w:val="center"/>
              <w:rPr>
                <w:sz w:val="20"/>
                <w:szCs w:val="20"/>
              </w:rPr>
            </w:pPr>
            <w:r w:rsidRPr="00DA702B">
              <w:rPr>
                <w:b/>
                <w:sz w:val="20"/>
                <w:szCs w:val="20"/>
              </w:rPr>
              <w:t>60.49 Da(m) Alternative</w:t>
            </w:r>
          </w:p>
        </w:tc>
      </w:tr>
      <w:tr w:rsidR="00A37354" w:rsidRPr="00DA702B" w14:paraId="72D445D2" w14:textId="77777777" w:rsidTr="00FC00AF">
        <w:trPr>
          <w:cantSplit/>
          <w:trHeight w:val="346"/>
          <w:tblHeader/>
        </w:trPr>
        <w:tc>
          <w:tcPr>
            <w:tcW w:w="1199" w:type="dxa"/>
          </w:tcPr>
          <w:p w14:paraId="7F9E03AD" w14:textId="77777777" w:rsidR="00A37354" w:rsidRPr="00DA702B" w:rsidRDefault="00A37354" w:rsidP="00DA702B">
            <w:pPr>
              <w:rPr>
                <w:sz w:val="20"/>
                <w:szCs w:val="20"/>
              </w:rPr>
            </w:pPr>
          </w:p>
        </w:tc>
        <w:tc>
          <w:tcPr>
            <w:tcW w:w="1199" w:type="dxa"/>
          </w:tcPr>
          <w:p w14:paraId="6BFFF8BC" w14:textId="77777777" w:rsidR="00A37354" w:rsidRPr="00DA702B" w:rsidRDefault="00A37354" w:rsidP="00DA702B">
            <w:pPr>
              <w:rPr>
                <w:sz w:val="20"/>
                <w:szCs w:val="20"/>
              </w:rPr>
            </w:pPr>
          </w:p>
        </w:tc>
        <w:tc>
          <w:tcPr>
            <w:tcW w:w="1200" w:type="dxa"/>
          </w:tcPr>
          <w:p w14:paraId="55F62BEC" w14:textId="77777777" w:rsidR="00A37354" w:rsidRPr="00DA702B" w:rsidRDefault="00A37354" w:rsidP="00DA702B">
            <w:pPr>
              <w:rPr>
                <w:sz w:val="20"/>
                <w:szCs w:val="20"/>
              </w:rPr>
            </w:pPr>
          </w:p>
        </w:tc>
        <w:tc>
          <w:tcPr>
            <w:tcW w:w="1200" w:type="dxa"/>
          </w:tcPr>
          <w:p w14:paraId="5FFFDEAA" w14:textId="77777777" w:rsidR="00A37354" w:rsidRPr="00DA702B" w:rsidRDefault="00A37354" w:rsidP="00DA702B">
            <w:pPr>
              <w:rPr>
                <w:sz w:val="20"/>
                <w:szCs w:val="20"/>
              </w:rPr>
            </w:pPr>
          </w:p>
        </w:tc>
        <w:tc>
          <w:tcPr>
            <w:tcW w:w="1200" w:type="dxa"/>
          </w:tcPr>
          <w:p w14:paraId="760E091B" w14:textId="77777777" w:rsidR="00A37354" w:rsidRPr="00DA702B" w:rsidRDefault="00A37354" w:rsidP="00DA702B">
            <w:pPr>
              <w:rPr>
                <w:sz w:val="20"/>
                <w:szCs w:val="20"/>
              </w:rPr>
            </w:pPr>
          </w:p>
        </w:tc>
        <w:tc>
          <w:tcPr>
            <w:tcW w:w="1200" w:type="dxa"/>
          </w:tcPr>
          <w:p w14:paraId="1380397D" w14:textId="77777777" w:rsidR="00A37354" w:rsidRPr="00DA702B" w:rsidRDefault="00A37354" w:rsidP="00DA702B">
            <w:pPr>
              <w:rPr>
                <w:sz w:val="20"/>
                <w:szCs w:val="20"/>
              </w:rPr>
            </w:pPr>
          </w:p>
        </w:tc>
        <w:tc>
          <w:tcPr>
            <w:tcW w:w="1200" w:type="dxa"/>
          </w:tcPr>
          <w:p w14:paraId="392A1A72" w14:textId="77777777" w:rsidR="00A37354" w:rsidRPr="00DA702B" w:rsidRDefault="00A37354" w:rsidP="00DA702B">
            <w:pPr>
              <w:rPr>
                <w:sz w:val="20"/>
                <w:szCs w:val="20"/>
              </w:rPr>
            </w:pPr>
          </w:p>
        </w:tc>
        <w:tc>
          <w:tcPr>
            <w:tcW w:w="1200" w:type="dxa"/>
          </w:tcPr>
          <w:p w14:paraId="1F455D6F" w14:textId="77777777" w:rsidR="00A37354" w:rsidRPr="00DA702B" w:rsidRDefault="00A37354" w:rsidP="00DA702B">
            <w:pPr>
              <w:rPr>
                <w:sz w:val="20"/>
                <w:szCs w:val="20"/>
              </w:rPr>
            </w:pPr>
          </w:p>
        </w:tc>
        <w:tc>
          <w:tcPr>
            <w:tcW w:w="1201" w:type="dxa"/>
          </w:tcPr>
          <w:p w14:paraId="32E1EF88" w14:textId="77777777" w:rsidR="00A37354" w:rsidRPr="00DA702B" w:rsidRDefault="00A37354" w:rsidP="00DA702B">
            <w:pPr>
              <w:rPr>
                <w:sz w:val="20"/>
                <w:szCs w:val="20"/>
              </w:rPr>
            </w:pPr>
          </w:p>
        </w:tc>
        <w:tc>
          <w:tcPr>
            <w:tcW w:w="1201" w:type="dxa"/>
          </w:tcPr>
          <w:p w14:paraId="20AEF406" w14:textId="77777777" w:rsidR="00A37354" w:rsidRPr="00DA702B" w:rsidRDefault="00A37354" w:rsidP="00DA702B">
            <w:pPr>
              <w:rPr>
                <w:sz w:val="20"/>
                <w:szCs w:val="20"/>
              </w:rPr>
            </w:pPr>
          </w:p>
        </w:tc>
      </w:tr>
      <w:tr w:rsidR="00A37354" w:rsidRPr="00DA702B" w14:paraId="30E4A4CB" w14:textId="77777777" w:rsidTr="00FC00AF">
        <w:trPr>
          <w:cantSplit/>
          <w:trHeight w:val="346"/>
          <w:tblHeader/>
        </w:trPr>
        <w:tc>
          <w:tcPr>
            <w:tcW w:w="1199" w:type="dxa"/>
          </w:tcPr>
          <w:p w14:paraId="5487799B" w14:textId="77777777" w:rsidR="00A37354" w:rsidRPr="00DA702B" w:rsidRDefault="00A37354" w:rsidP="00DA702B">
            <w:pPr>
              <w:rPr>
                <w:sz w:val="20"/>
                <w:szCs w:val="20"/>
              </w:rPr>
            </w:pPr>
          </w:p>
        </w:tc>
        <w:tc>
          <w:tcPr>
            <w:tcW w:w="1199" w:type="dxa"/>
          </w:tcPr>
          <w:p w14:paraId="6C5113EF" w14:textId="77777777" w:rsidR="00A37354" w:rsidRPr="00DA702B" w:rsidRDefault="00A37354" w:rsidP="00DA702B">
            <w:pPr>
              <w:rPr>
                <w:sz w:val="20"/>
                <w:szCs w:val="20"/>
              </w:rPr>
            </w:pPr>
          </w:p>
        </w:tc>
        <w:tc>
          <w:tcPr>
            <w:tcW w:w="1200" w:type="dxa"/>
          </w:tcPr>
          <w:p w14:paraId="7D76B5DA" w14:textId="77777777" w:rsidR="00A37354" w:rsidRPr="00DA702B" w:rsidRDefault="00A37354" w:rsidP="00DA702B">
            <w:pPr>
              <w:rPr>
                <w:sz w:val="20"/>
                <w:szCs w:val="20"/>
              </w:rPr>
            </w:pPr>
          </w:p>
        </w:tc>
        <w:tc>
          <w:tcPr>
            <w:tcW w:w="1200" w:type="dxa"/>
          </w:tcPr>
          <w:p w14:paraId="4E2B5A1D" w14:textId="77777777" w:rsidR="00A37354" w:rsidRPr="00DA702B" w:rsidRDefault="00A37354" w:rsidP="00DA702B">
            <w:pPr>
              <w:rPr>
                <w:sz w:val="20"/>
                <w:szCs w:val="20"/>
              </w:rPr>
            </w:pPr>
          </w:p>
        </w:tc>
        <w:tc>
          <w:tcPr>
            <w:tcW w:w="1200" w:type="dxa"/>
          </w:tcPr>
          <w:p w14:paraId="702CF65B" w14:textId="77777777" w:rsidR="00A37354" w:rsidRPr="00DA702B" w:rsidRDefault="00A37354" w:rsidP="00DA702B">
            <w:pPr>
              <w:rPr>
                <w:sz w:val="20"/>
                <w:szCs w:val="20"/>
              </w:rPr>
            </w:pPr>
          </w:p>
        </w:tc>
        <w:tc>
          <w:tcPr>
            <w:tcW w:w="1200" w:type="dxa"/>
          </w:tcPr>
          <w:p w14:paraId="07F3E983" w14:textId="77777777" w:rsidR="00A37354" w:rsidRPr="00DA702B" w:rsidRDefault="00A37354" w:rsidP="00DA702B">
            <w:pPr>
              <w:rPr>
                <w:sz w:val="20"/>
                <w:szCs w:val="20"/>
              </w:rPr>
            </w:pPr>
          </w:p>
        </w:tc>
        <w:tc>
          <w:tcPr>
            <w:tcW w:w="1200" w:type="dxa"/>
          </w:tcPr>
          <w:p w14:paraId="33520229" w14:textId="77777777" w:rsidR="00A37354" w:rsidRPr="00DA702B" w:rsidRDefault="00A37354" w:rsidP="00DA702B">
            <w:pPr>
              <w:rPr>
                <w:sz w:val="20"/>
                <w:szCs w:val="20"/>
              </w:rPr>
            </w:pPr>
          </w:p>
        </w:tc>
        <w:tc>
          <w:tcPr>
            <w:tcW w:w="1200" w:type="dxa"/>
          </w:tcPr>
          <w:p w14:paraId="6C29A1E1" w14:textId="77777777" w:rsidR="00A37354" w:rsidRPr="00DA702B" w:rsidRDefault="00A37354" w:rsidP="00DA702B">
            <w:pPr>
              <w:rPr>
                <w:sz w:val="20"/>
                <w:szCs w:val="20"/>
              </w:rPr>
            </w:pPr>
          </w:p>
        </w:tc>
        <w:tc>
          <w:tcPr>
            <w:tcW w:w="1201" w:type="dxa"/>
          </w:tcPr>
          <w:p w14:paraId="305C094D" w14:textId="77777777" w:rsidR="00A37354" w:rsidRPr="00DA702B" w:rsidRDefault="00A37354" w:rsidP="00DA702B">
            <w:pPr>
              <w:rPr>
                <w:sz w:val="20"/>
                <w:szCs w:val="20"/>
              </w:rPr>
            </w:pPr>
          </w:p>
        </w:tc>
        <w:tc>
          <w:tcPr>
            <w:tcW w:w="1201" w:type="dxa"/>
          </w:tcPr>
          <w:p w14:paraId="55DD9687" w14:textId="77777777" w:rsidR="00A37354" w:rsidRPr="00DA702B" w:rsidRDefault="00A37354" w:rsidP="00DA702B">
            <w:pPr>
              <w:rPr>
                <w:sz w:val="20"/>
                <w:szCs w:val="20"/>
              </w:rPr>
            </w:pPr>
          </w:p>
        </w:tc>
      </w:tr>
      <w:tr w:rsidR="00A37354" w:rsidRPr="00DA702B" w14:paraId="04F45A89" w14:textId="77777777" w:rsidTr="00FC00AF">
        <w:trPr>
          <w:cantSplit/>
          <w:trHeight w:val="346"/>
          <w:tblHeader/>
        </w:trPr>
        <w:tc>
          <w:tcPr>
            <w:tcW w:w="1199" w:type="dxa"/>
          </w:tcPr>
          <w:p w14:paraId="4E92BADD" w14:textId="77777777" w:rsidR="00A37354" w:rsidRPr="00DA702B" w:rsidRDefault="00A37354" w:rsidP="00DA702B">
            <w:pPr>
              <w:rPr>
                <w:sz w:val="20"/>
                <w:szCs w:val="20"/>
              </w:rPr>
            </w:pPr>
          </w:p>
        </w:tc>
        <w:tc>
          <w:tcPr>
            <w:tcW w:w="1199" w:type="dxa"/>
          </w:tcPr>
          <w:p w14:paraId="6E17962F" w14:textId="77777777" w:rsidR="00A37354" w:rsidRPr="00DA702B" w:rsidRDefault="00A37354" w:rsidP="00DA702B">
            <w:pPr>
              <w:rPr>
                <w:sz w:val="20"/>
                <w:szCs w:val="20"/>
              </w:rPr>
            </w:pPr>
          </w:p>
        </w:tc>
        <w:tc>
          <w:tcPr>
            <w:tcW w:w="1200" w:type="dxa"/>
          </w:tcPr>
          <w:p w14:paraId="19E98A7A" w14:textId="77777777" w:rsidR="00A37354" w:rsidRPr="00DA702B" w:rsidRDefault="00A37354" w:rsidP="00DA702B">
            <w:pPr>
              <w:rPr>
                <w:sz w:val="20"/>
                <w:szCs w:val="20"/>
              </w:rPr>
            </w:pPr>
          </w:p>
        </w:tc>
        <w:tc>
          <w:tcPr>
            <w:tcW w:w="1200" w:type="dxa"/>
          </w:tcPr>
          <w:p w14:paraId="2F723879" w14:textId="77777777" w:rsidR="00A37354" w:rsidRPr="00DA702B" w:rsidRDefault="00A37354" w:rsidP="00DA702B">
            <w:pPr>
              <w:rPr>
                <w:sz w:val="20"/>
                <w:szCs w:val="20"/>
              </w:rPr>
            </w:pPr>
          </w:p>
        </w:tc>
        <w:tc>
          <w:tcPr>
            <w:tcW w:w="1200" w:type="dxa"/>
          </w:tcPr>
          <w:p w14:paraId="4BED3EBE" w14:textId="77777777" w:rsidR="00A37354" w:rsidRPr="00DA702B" w:rsidRDefault="00A37354" w:rsidP="00DA702B">
            <w:pPr>
              <w:rPr>
                <w:sz w:val="20"/>
                <w:szCs w:val="20"/>
              </w:rPr>
            </w:pPr>
          </w:p>
        </w:tc>
        <w:tc>
          <w:tcPr>
            <w:tcW w:w="1200" w:type="dxa"/>
          </w:tcPr>
          <w:p w14:paraId="678CCF1F" w14:textId="77777777" w:rsidR="00A37354" w:rsidRPr="00DA702B" w:rsidRDefault="00A37354" w:rsidP="00DA702B">
            <w:pPr>
              <w:rPr>
                <w:sz w:val="20"/>
                <w:szCs w:val="20"/>
              </w:rPr>
            </w:pPr>
          </w:p>
        </w:tc>
        <w:tc>
          <w:tcPr>
            <w:tcW w:w="1200" w:type="dxa"/>
          </w:tcPr>
          <w:p w14:paraId="1FF2B8C6" w14:textId="77777777" w:rsidR="00A37354" w:rsidRPr="00DA702B" w:rsidRDefault="00A37354" w:rsidP="00DA702B">
            <w:pPr>
              <w:rPr>
                <w:sz w:val="20"/>
                <w:szCs w:val="20"/>
              </w:rPr>
            </w:pPr>
          </w:p>
        </w:tc>
        <w:tc>
          <w:tcPr>
            <w:tcW w:w="1200" w:type="dxa"/>
          </w:tcPr>
          <w:p w14:paraId="3DA7359C" w14:textId="77777777" w:rsidR="00A37354" w:rsidRPr="00DA702B" w:rsidRDefault="00A37354" w:rsidP="00DA702B">
            <w:pPr>
              <w:rPr>
                <w:sz w:val="20"/>
                <w:szCs w:val="20"/>
              </w:rPr>
            </w:pPr>
          </w:p>
        </w:tc>
        <w:tc>
          <w:tcPr>
            <w:tcW w:w="1201" w:type="dxa"/>
          </w:tcPr>
          <w:p w14:paraId="694B0BC3" w14:textId="77777777" w:rsidR="00A37354" w:rsidRPr="00DA702B" w:rsidRDefault="00A37354" w:rsidP="00DA702B">
            <w:pPr>
              <w:rPr>
                <w:sz w:val="20"/>
                <w:szCs w:val="20"/>
              </w:rPr>
            </w:pPr>
          </w:p>
        </w:tc>
        <w:tc>
          <w:tcPr>
            <w:tcW w:w="1201" w:type="dxa"/>
          </w:tcPr>
          <w:p w14:paraId="7F0F31BF" w14:textId="77777777" w:rsidR="00A37354" w:rsidRPr="00DA702B" w:rsidRDefault="00A37354" w:rsidP="00DA702B">
            <w:pPr>
              <w:rPr>
                <w:sz w:val="20"/>
                <w:szCs w:val="20"/>
              </w:rPr>
            </w:pPr>
          </w:p>
        </w:tc>
      </w:tr>
      <w:tr w:rsidR="00A37354" w:rsidRPr="00DA702B" w14:paraId="66DAD20A" w14:textId="77777777" w:rsidTr="00FC00AF">
        <w:trPr>
          <w:cantSplit/>
          <w:trHeight w:val="346"/>
          <w:tblHeader/>
        </w:trPr>
        <w:tc>
          <w:tcPr>
            <w:tcW w:w="1199" w:type="dxa"/>
          </w:tcPr>
          <w:p w14:paraId="2D41EDD9" w14:textId="77777777" w:rsidR="00A37354" w:rsidRPr="00DA702B" w:rsidRDefault="00A37354" w:rsidP="00DA702B">
            <w:pPr>
              <w:rPr>
                <w:sz w:val="20"/>
                <w:szCs w:val="20"/>
              </w:rPr>
            </w:pPr>
          </w:p>
        </w:tc>
        <w:tc>
          <w:tcPr>
            <w:tcW w:w="1199" w:type="dxa"/>
          </w:tcPr>
          <w:p w14:paraId="554E5A86" w14:textId="77777777" w:rsidR="00A37354" w:rsidRPr="00DA702B" w:rsidRDefault="00A37354" w:rsidP="00DA702B">
            <w:pPr>
              <w:rPr>
                <w:sz w:val="20"/>
                <w:szCs w:val="20"/>
              </w:rPr>
            </w:pPr>
          </w:p>
        </w:tc>
        <w:tc>
          <w:tcPr>
            <w:tcW w:w="1200" w:type="dxa"/>
          </w:tcPr>
          <w:p w14:paraId="39F3A577" w14:textId="77777777" w:rsidR="00A37354" w:rsidRPr="00DA702B" w:rsidRDefault="00A37354" w:rsidP="00DA702B">
            <w:pPr>
              <w:rPr>
                <w:sz w:val="20"/>
                <w:szCs w:val="20"/>
              </w:rPr>
            </w:pPr>
          </w:p>
        </w:tc>
        <w:tc>
          <w:tcPr>
            <w:tcW w:w="1200" w:type="dxa"/>
          </w:tcPr>
          <w:p w14:paraId="531F9774" w14:textId="77777777" w:rsidR="00A37354" w:rsidRPr="00DA702B" w:rsidRDefault="00A37354" w:rsidP="00DA702B">
            <w:pPr>
              <w:rPr>
                <w:sz w:val="20"/>
                <w:szCs w:val="20"/>
              </w:rPr>
            </w:pPr>
          </w:p>
        </w:tc>
        <w:tc>
          <w:tcPr>
            <w:tcW w:w="1200" w:type="dxa"/>
          </w:tcPr>
          <w:p w14:paraId="7E021314" w14:textId="77777777" w:rsidR="00A37354" w:rsidRPr="00DA702B" w:rsidRDefault="00A37354" w:rsidP="00DA702B">
            <w:pPr>
              <w:rPr>
                <w:sz w:val="20"/>
                <w:szCs w:val="20"/>
              </w:rPr>
            </w:pPr>
          </w:p>
        </w:tc>
        <w:tc>
          <w:tcPr>
            <w:tcW w:w="1200" w:type="dxa"/>
          </w:tcPr>
          <w:p w14:paraId="30A2F395" w14:textId="77777777" w:rsidR="00A37354" w:rsidRPr="00DA702B" w:rsidRDefault="00A37354" w:rsidP="00DA702B">
            <w:pPr>
              <w:rPr>
                <w:sz w:val="20"/>
                <w:szCs w:val="20"/>
              </w:rPr>
            </w:pPr>
          </w:p>
        </w:tc>
        <w:tc>
          <w:tcPr>
            <w:tcW w:w="1200" w:type="dxa"/>
          </w:tcPr>
          <w:p w14:paraId="766764C8" w14:textId="77777777" w:rsidR="00A37354" w:rsidRPr="00DA702B" w:rsidRDefault="00A37354" w:rsidP="00DA702B">
            <w:pPr>
              <w:rPr>
                <w:sz w:val="20"/>
                <w:szCs w:val="20"/>
              </w:rPr>
            </w:pPr>
          </w:p>
        </w:tc>
        <w:tc>
          <w:tcPr>
            <w:tcW w:w="1200" w:type="dxa"/>
          </w:tcPr>
          <w:p w14:paraId="77923BB2" w14:textId="77777777" w:rsidR="00A37354" w:rsidRPr="00DA702B" w:rsidRDefault="00A37354" w:rsidP="00DA702B">
            <w:pPr>
              <w:rPr>
                <w:sz w:val="20"/>
                <w:szCs w:val="20"/>
              </w:rPr>
            </w:pPr>
          </w:p>
        </w:tc>
        <w:tc>
          <w:tcPr>
            <w:tcW w:w="1201" w:type="dxa"/>
          </w:tcPr>
          <w:p w14:paraId="0AB4911E" w14:textId="77777777" w:rsidR="00A37354" w:rsidRPr="00DA702B" w:rsidRDefault="00A37354" w:rsidP="00DA702B">
            <w:pPr>
              <w:rPr>
                <w:sz w:val="20"/>
                <w:szCs w:val="20"/>
              </w:rPr>
            </w:pPr>
          </w:p>
        </w:tc>
        <w:tc>
          <w:tcPr>
            <w:tcW w:w="1201" w:type="dxa"/>
          </w:tcPr>
          <w:p w14:paraId="4C2FF51A" w14:textId="77777777" w:rsidR="00A37354" w:rsidRPr="00DA702B" w:rsidRDefault="00A37354" w:rsidP="00DA702B">
            <w:pPr>
              <w:rPr>
                <w:sz w:val="20"/>
                <w:szCs w:val="20"/>
              </w:rPr>
            </w:pPr>
          </w:p>
        </w:tc>
      </w:tr>
      <w:tr w:rsidR="00A37354" w:rsidRPr="00DA702B" w14:paraId="62F3E2A4" w14:textId="77777777" w:rsidTr="00FC00AF">
        <w:trPr>
          <w:cantSplit/>
          <w:trHeight w:val="346"/>
          <w:tblHeader/>
        </w:trPr>
        <w:tc>
          <w:tcPr>
            <w:tcW w:w="1199" w:type="dxa"/>
          </w:tcPr>
          <w:p w14:paraId="73B8C38A" w14:textId="77777777" w:rsidR="00A37354" w:rsidRPr="00DA702B" w:rsidRDefault="00A37354" w:rsidP="00DA702B">
            <w:pPr>
              <w:rPr>
                <w:sz w:val="20"/>
                <w:szCs w:val="20"/>
              </w:rPr>
            </w:pPr>
          </w:p>
        </w:tc>
        <w:tc>
          <w:tcPr>
            <w:tcW w:w="1199" w:type="dxa"/>
          </w:tcPr>
          <w:p w14:paraId="12327348" w14:textId="77777777" w:rsidR="00A37354" w:rsidRPr="00DA702B" w:rsidRDefault="00A37354" w:rsidP="00DA702B">
            <w:pPr>
              <w:rPr>
                <w:sz w:val="20"/>
                <w:szCs w:val="20"/>
              </w:rPr>
            </w:pPr>
          </w:p>
        </w:tc>
        <w:tc>
          <w:tcPr>
            <w:tcW w:w="1200" w:type="dxa"/>
          </w:tcPr>
          <w:p w14:paraId="347D453C" w14:textId="77777777" w:rsidR="00A37354" w:rsidRPr="00DA702B" w:rsidRDefault="00A37354" w:rsidP="00DA702B">
            <w:pPr>
              <w:rPr>
                <w:sz w:val="20"/>
                <w:szCs w:val="20"/>
              </w:rPr>
            </w:pPr>
          </w:p>
        </w:tc>
        <w:tc>
          <w:tcPr>
            <w:tcW w:w="1200" w:type="dxa"/>
          </w:tcPr>
          <w:p w14:paraId="44D5CB7D" w14:textId="77777777" w:rsidR="00A37354" w:rsidRPr="00DA702B" w:rsidRDefault="00A37354" w:rsidP="00DA702B">
            <w:pPr>
              <w:rPr>
                <w:sz w:val="20"/>
                <w:szCs w:val="20"/>
              </w:rPr>
            </w:pPr>
          </w:p>
        </w:tc>
        <w:tc>
          <w:tcPr>
            <w:tcW w:w="1200" w:type="dxa"/>
          </w:tcPr>
          <w:p w14:paraId="58EC5931" w14:textId="77777777" w:rsidR="00A37354" w:rsidRPr="00DA702B" w:rsidRDefault="00A37354" w:rsidP="00DA702B">
            <w:pPr>
              <w:rPr>
                <w:sz w:val="20"/>
                <w:szCs w:val="20"/>
              </w:rPr>
            </w:pPr>
          </w:p>
        </w:tc>
        <w:tc>
          <w:tcPr>
            <w:tcW w:w="1200" w:type="dxa"/>
          </w:tcPr>
          <w:p w14:paraId="7E26A462" w14:textId="77777777" w:rsidR="00A37354" w:rsidRPr="00DA702B" w:rsidRDefault="00A37354" w:rsidP="00DA702B">
            <w:pPr>
              <w:rPr>
                <w:sz w:val="20"/>
                <w:szCs w:val="20"/>
              </w:rPr>
            </w:pPr>
          </w:p>
        </w:tc>
        <w:tc>
          <w:tcPr>
            <w:tcW w:w="1200" w:type="dxa"/>
          </w:tcPr>
          <w:p w14:paraId="2B7D3FE9" w14:textId="77777777" w:rsidR="00A37354" w:rsidRPr="00DA702B" w:rsidRDefault="00A37354" w:rsidP="00DA702B">
            <w:pPr>
              <w:rPr>
                <w:sz w:val="20"/>
                <w:szCs w:val="20"/>
              </w:rPr>
            </w:pPr>
          </w:p>
        </w:tc>
        <w:tc>
          <w:tcPr>
            <w:tcW w:w="1200" w:type="dxa"/>
          </w:tcPr>
          <w:p w14:paraId="7F098E4E" w14:textId="77777777" w:rsidR="00A37354" w:rsidRPr="00DA702B" w:rsidRDefault="00A37354" w:rsidP="00DA702B">
            <w:pPr>
              <w:rPr>
                <w:sz w:val="20"/>
                <w:szCs w:val="20"/>
              </w:rPr>
            </w:pPr>
          </w:p>
        </w:tc>
        <w:tc>
          <w:tcPr>
            <w:tcW w:w="1201" w:type="dxa"/>
          </w:tcPr>
          <w:p w14:paraId="6346DCA2" w14:textId="77777777" w:rsidR="00A37354" w:rsidRPr="00DA702B" w:rsidRDefault="00A37354" w:rsidP="00DA702B">
            <w:pPr>
              <w:rPr>
                <w:sz w:val="20"/>
                <w:szCs w:val="20"/>
              </w:rPr>
            </w:pPr>
          </w:p>
        </w:tc>
        <w:tc>
          <w:tcPr>
            <w:tcW w:w="1201" w:type="dxa"/>
          </w:tcPr>
          <w:p w14:paraId="308B16BB" w14:textId="77777777" w:rsidR="00A37354" w:rsidRPr="00DA702B" w:rsidRDefault="00A37354" w:rsidP="00DA702B">
            <w:pPr>
              <w:rPr>
                <w:sz w:val="20"/>
                <w:szCs w:val="20"/>
              </w:rPr>
            </w:pPr>
          </w:p>
        </w:tc>
      </w:tr>
      <w:tr w:rsidR="00A37354" w:rsidRPr="00DA702B" w14:paraId="4FD380C1" w14:textId="77777777" w:rsidTr="00FC00AF">
        <w:trPr>
          <w:cantSplit/>
          <w:trHeight w:val="346"/>
          <w:tblHeader/>
        </w:trPr>
        <w:tc>
          <w:tcPr>
            <w:tcW w:w="1199" w:type="dxa"/>
          </w:tcPr>
          <w:p w14:paraId="414A9E32" w14:textId="77777777" w:rsidR="00A37354" w:rsidRPr="00DA702B" w:rsidRDefault="00A37354" w:rsidP="00DA702B">
            <w:pPr>
              <w:rPr>
                <w:sz w:val="20"/>
                <w:szCs w:val="20"/>
              </w:rPr>
            </w:pPr>
          </w:p>
        </w:tc>
        <w:tc>
          <w:tcPr>
            <w:tcW w:w="1199" w:type="dxa"/>
          </w:tcPr>
          <w:p w14:paraId="66A3BE3A" w14:textId="77777777" w:rsidR="00A37354" w:rsidRPr="00DA702B" w:rsidRDefault="00A37354" w:rsidP="00DA702B">
            <w:pPr>
              <w:rPr>
                <w:sz w:val="20"/>
                <w:szCs w:val="20"/>
              </w:rPr>
            </w:pPr>
          </w:p>
        </w:tc>
        <w:tc>
          <w:tcPr>
            <w:tcW w:w="1200" w:type="dxa"/>
          </w:tcPr>
          <w:p w14:paraId="32C59DA6" w14:textId="77777777" w:rsidR="00A37354" w:rsidRPr="00DA702B" w:rsidRDefault="00A37354" w:rsidP="00DA702B">
            <w:pPr>
              <w:rPr>
                <w:sz w:val="20"/>
                <w:szCs w:val="20"/>
              </w:rPr>
            </w:pPr>
          </w:p>
        </w:tc>
        <w:tc>
          <w:tcPr>
            <w:tcW w:w="1200" w:type="dxa"/>
          </w:tcPr>
          <w:p w14:paraId="623DB654" w14:textId="77777777" w:rsidR="00A37354" w:rsidRPr="00DA702B" w:rsidRDefault="00A37354" w:rsidP="00DA702B">
            <w:pPr>
              <w:rPr>
                <w:sz w:val="20"/>
                <w:szCs w:val="20"/>
              </w:rPr>
            </w:pPr>
          </w:p>
        </w:tc>
        <w:tc>
          <w:tcPr>
            <w:tcW w:w="1200" w:type="dxa"/>
          </w:tcPr>
          <w:p w14:paraId="7488AA3A" w14:textId="77777777" w:rsidR="00A37354" w:rsidRPr="00DA702B" w:rsidRDefault="00A37354" w:rsidP="00DA702B">
            <w:pPr>
              <w:rPr>
                <w:sz w:val="20"/>
                <w:szCs w:val="20"/>
              </w:rPr>
            </w:pPr>
          </w:p>
        </w:tc>
        <w:tc>
          <w:tcPr>
            <w:tcW w:w="1200" w:type="dxa"/>
          </w:tcPr>
          <w:p w14:paraId="39F75A9F" w14:textId="77777777" w:rsidR="00A37354" w:rsidRPr="00DA702B" w:rsidRDefault="00A37354" w:rsidP="00DA702B">
            <w:pPr>
              <w:rPr>
                <w:sz w:val="20"/>
                <w:szCs w:val="20"/>
              </w:rPr>
            </w:pPr>
          </w:p>
        </w:tc>
        <w:tc>
          <w:tcPr>
            <w:tcW w:w="1200" w:type="dxa"/>
          </w:tcPr>
          <w:p w14:paraId="615C60CC" w14:textId="77777777" w:rsidR="00A37354" w:rsidRPr="00DA702B" w:rsidRDefault="00A37354" w:rsidP="00DA702B">
            <w:pPr>
              <w:rPr>
                <w:sz w:val="20"/>
                <w:szCs w:val="20"/>
              </w:rPr>
            </w:pPr>
          </w:p>
        </w:tc>
        <w:tc>
          <w:tcPr>
            <w:tcW w:w="1200" w:type="dxa"/>
          </w:tcPr>
          <w:p w14:paraId="2FFA668D" w14:textId="77777777" w:rsidR="00A37354" w:rsidRPr="00DA702B" w:rsidRDefault="00A37354" w:rsidP="00DA702B">
            <w:pPr>
              <w:rPr>
                <w:sz w:val="20"/>
                <w:szCs w:val="20"/>
              </w:rPr>
            </w:pPr>
          </w:p>
        </w:tc>
        <w:tc>
          <w:tcPr>
            <w:tcW w:w="1201" w:type="dxa"/>
          </w:tcPr>
          <w:p w14:paraId="6182C754" w14:textId="77777777" w:rsidR="00A37354" w:rsidRPr="00DA702B" w:rsidRDefault="00A37354" w:rsidP="00DA702B">
            <w:pPr>
              <w:rPr>
                <w:sz w:val="20"/>
                <w:szCs w:val="20"/>
              </w:rPr>
            </w:pPr>
          </w:p>
        </w:tc>
        <w:tc>
          <w:tcPr>
            <w:tcW w:w="1201" w:type="dxa"/>
          </w:tcPr>
          <w:p w14:paraId="7125BD13" w14:textId="77777777" w:rsidR="00A37354" w:rsidRPr="00DA702B" w:rsidRDefault="00A37354" w:rsidP="00DA702B">
            <w:pPr>
              <w:rPr>
                <w:sz w:val="20"/>
                <w:szCs w:val="20"/>
              </w:rPr>
            </w:pPr>
          </w:p>
        </w:tc>
      </w:tr>
      <w:tr w:rsidR="00A37354" w:rsidRPr="00DA702B" w14:paraId="44E5064D" w14:textId="77777777" w:rsidTr="00FC00AF">
        <w:trPr>
          <w:cantSplit/>
          <w:trHeight w:val="346"/>
          <w:tblHeader/>
        </w:trPr>
        <w:tc>
          <w:tcPr>
            <w:tcW w:w="1199" w:type="dxa"/>
          </w:tcPr>
          <w:p w14:paraId="7FFF59E1" w14:textId="77777777" w:rsidR="00A37354" w:rsidRPr="00DA702B" w:rsidRDefault="00A37354" w:rsidP="00DA702B">
            <w:pPr>
              <w:rPr>
                <w:sz w:val="20"/>
                <w:szCs w:val="20"/>
              </w:rPr>
            </w:pPr>
          </w:p>
        </w:tc>
        <w:tc>
          <w:tcPr>
            <w:tcW w:w="1199" w:type="dxa"/>
          </w:tcPr>
          <w:p w14:paraId="022810EA" w14:textId="77777777" w:rsidR="00A37354" w:rsidRPr="00DA702B" w:rsidRDefault="00A37354" w:rsidP="00DA702B">
            <w:pPr>
              <w:rPr>
                <w:sz w:val="20"/>
                <w:szCs w:val="20"/>
              </w:rPr>
            </w:pPr>
          </w:p>
        </w:tc>
        <w:tc>
          <w:tcPr>
            <w:tcW w:w="1200" w:type="dxa"/>
          </w:tcPr>
          <w:p w14:paraId="561DA45E" w14:textId="77777777" w:rsidR="00A37354" w:rsidRPr="00DA702B" w:rsidRDefault="00A37354" w:rsidP="00DA702B">
            <w:pPr>
              <w:rPr>
                <w:sz w:val="20"/>
                <w:szCs w:val="20"/>
              </w:rPr>
            </w:pPr>
          </w:p>
        </w:tc>
        <w:tc>
          <w:tcPr>
            <w:tcW w:w="1200" w:type="dxa"/>
          </w:tcPr>
          <w:p w14:paraId="4A378F4E" w14:textId="77777777" w:rsidR="00A37354" w:rsidRPr="00DA702B" w:rsidRDefault="00A37354" w:rsidP="00DA702B">
            <w:pPr>
              <w:rPr>
                <w:sz w:val="20"/>
                <w:szCs w:val="20"/>
              </w:rPr>
            </w:pPr>
          </w:p>
        </w:tc>
        <w:tc>
          <w:tcPr>
            <w:tcW w:w="1200" w:type="dxa"/>
          </w:tcPr>
          <w:p w14:paraId="5081760E" w14:textId="77777777" w:rsidR="00A37354" w:rsidRPr="00DA702B" w:rsidRDefault="00A37354" w:rsidP="00DA702B">
            <w:pPr>
              <w:rPr>
                <w:sz w:val="20"/>
                <w:szCs w:val="20"/>
              </w:rPr>
            </w:pPr>
          </w:p>
        </w:tc>
        <w:tc>
          <w:tcPr>
            <w:tcW w:w="1200" w:type="dxa"/>
          </w:tcPr>
          <w:p w14:paraId="119AE54F" w14:textId="77777777" w:rsidR="00A37354" w:rsidRPr="00DA702B" w:rsidRDefault="00A37354" w:rsidP="00DA702B">
            <w:pPr>
              <w:rPr>
                <w:sz w:val="20"/>
                <w:szCs w:val="20"/>
              </w:rPr>
            </w:pPr>
          </w:p>
        </w:tc>
        <w:tc>
          <w:tcPr>
            <w:tcW w:w="1200" w:type="dxa"/>
          </w:tcPr>
          <w:p w14:paraId="7E5BC297" w14:textId="77777777" w:rsidR="00A37354" w:rsidRPr="00DA702B" w:rsidRDefault="00A37354" w:rsidP="00DA702B">
            <w:pPr>
              <w:rPr>
                <w:sz w:val="20"/>
                <w:szCs w:val="20"/>
              </w:rPr>
            </w:pPr>
          </w:p>
        </w:tc>
        <w:tc>
          <w:tcPr>
            <w:tcW w:w="1200" w:type="dxa"/>
          </w:tcPr>
          <w:p w14:paraId="21451238" w14:textId="77777777" w:rsidR="00A37354" w:rsidRPr="00DA702B" w:rsidRDefault="00A37354" w:rsidP="00DA702B">
            <w:pPr>
              <w:rPr>
                <w:sz w:val="20"/>
                <w:szCs w:val="20"/>
              </w:rPr>
            </w:pPr>
          </w:p>
        </w:tc>
        <w:tc>
          <w:tcPr>
            <w:tcW w:w="1201" w:type="dxa"/>
          </w:tcPr>
          <w:p w14:paraId="6420ECDB" w14:textId="77777777" w:rsidR="00A37354" w:rsidRPr="00DA702B" w:rsidRDefault="00A37354" w:rsidP="00DA702B">
            <w:pPr>
              <w:rPr>
                <w:sz w:val="20"/>
                <w:szCs w:val="20"/>
              </w:rPr>
            </w:pPr>
          </w:p>
        </w:tc>
        <w:tc>
          <w:tcPr>
            <w:tcW w:w="1201" w:type="dxa"/>
          </w:tcPr>
          <w:p w14:paraId="5E2B799B" w14:textId="77777777" w:rsidR="00A37354" w:rsidRPr="00DA702B" w:rsidRDefault="00A37354" w:rsidP="00DA702B">
            <w:pPr>
              <w:rPr>
                <w:sz w:val="20"/>
                <w:szCs w:val="20"/>
              </w:rPr>
            </w:pPr>
          </w:p>
        </w:tc>
      </w:tr>
      <w:tr w:rsidR="00A37354" w:rsidRPr="00DA702B" w14:paraId="68A5DAC8" w14:textId="77777777" w:rsidTr="00FC00AF">
        <w:trPr>
          <w:cantSplit/>
          <w:trHeight w:val="346"/>
          <w:tblHeader/>
        </w:trPr>
        <w:tc>
          <w:tcPr>
            <w:tcW w:w="1199" w:type="dxa"/>
          </w:tcPr>
          <w:p w14:paraId="212F8D65" w14:textId="77777777" w:rsidR="00A37354" w:rsidRPr="00DA702B" w:rsidRDefault="00A37354" w:rsidP="00DA702B">
            <w:pPr>
              <w:rPr>
                <w:sz w:val="20"/>
                <w:szCs w:val="20"/>
              </w:rPr>
            </w:pPr>
          </w:p>
        </w:tc>
        <w:tc>
          <w:tcPr>
            <w:tcW w:w="1199" w:type="dxa"/>
          </w:tcPr>
          <w:p w14:paraId="385011DE" w14:textId="77777777" w:rsidR="00A37354" w:rsidRPr="00DA702B" w:rsidRDefault="00A37354" w:rsidP="00DA702B">
            <w:pPr>
              <w:rPr>
                <w:sz w:val="20"/>
                <w:szCs w:val="20"/>
              </w:rPr>
            </w:pPr>
          </w:p>
        </w:tc>
        <w:tc>
          <w:tcPr>
            <w:tcW w:w="1200" w:type="dxa"/>
          </w:tcPr>
          <w:p w14:paraId="72CA31A2" w14:textId="77777777" w:rsidR="00A37354" w:rsidRPr="00DA702B" w:rsidRDefault="00A37354" w:rsidP="00DA702B">
            <w:pPr>
              <w:rPr>
                <w:sz w:val="20"/>
                <w:szCs w:val="20"/>
              </w:rPr>
            </w:pPr>
          </w:p>
        </w:tc>
        <w:tc>
          <w:tcPr>
            <w:tcW w:w="1200" w:type="dxa"/>
          </w:tcPr>
          <w:p w14:paraId="51DF18B3" w14:textId="77777777" w:rsidR="00A37354" w:rsidRPr="00DA702B" w:rsidRDefault="00A37354" w:rsidP="00DA702B">
            <w:pPr>
              <w:rPr>
                <w:sz w:val="20"/>
                <w:szCs w:val="20"/>
              </w:rPr>
            </w:pPr>
          </w:p>
        </w:tc>
        <w:tc>
          <w:tcPr>
            <w:tcW w:w="1200" w:type="dxa"/>
          </w:tcPr>
          <w:p w14:paraId="76C366D0" w14:textId="77777777" w:rsidR="00A37354" w:rsidRPr="00DA702B" w:rsidRDefault="00A37354" w:rsidP="00DA702B">
            <w:pPr>
              <w:rPr>
                <w:sz w:val="20"/>
                <w:szCs w:val="20"/>
              </w:rPr>
            </w:pPr>
          </w:p>
        </w:tc>
        <w:tc>
          <w:tcPr>
            <w:tcW w:w="1200" w:type="dxa"/>
          </w:tcPr>
          <w:p w14:paraId="414C26F5" w14:textId="77777777" w:rsidR="00A37354" w:rsidRPr="00DA702B" w:rsidRDefault="00A37354" w:rsidP="00DA702B">
            <w:pPr>
              <w:rPr>
                <w:sz w:val="20"/>
                <w:szCs w:val="20"/>
              </w:rPr>
            </w:pPr>
          </w:p>
        </w:tc>
        <w:tc>
          <w:tcPr>
            <w:tcW w:w="1200" w:type="dxa"/>
          </w:tcPr>
          <w:p w14:paraId="217F6657" w14:textId="77777777" w:rsidR="00A37354" w:rsidRPr="00DA702B" w:rsidRDefault="00A37354" w:rsidP="00DA702B">
            <w:pPr>
              <w:rPr>
                <w:sz w:val="20"/>
                <w:szCs w:val="20"/>
              </w:rPr>
            </w:pPr>
          </w:p>
        </w:tc>
        <w:tc>
          <w:tcPr>
            <w:tcW w:w="1200" w:type="dxa"/>
          </w:tcPr>
          <w:p w14:paraId="2F85C936" w14:textId="77777777" w:rsidR="00A37354" w:rsidRPr="00DA702B" w:rsidRDefault="00A37354" w:rsidP="00DA702B">
            <w:pPr>
              <w:rPr>
                <w:sz w:val="20"/>
                <w:szCs w:val="20"/>
              </w:rPr>
            </w:pPr>
          </w:p>
        </w:tc>
        <w:tc>
          <w:tcPr>
            <w:tcW w:w="1201" w:type="dxa"/>
          </w:tcPr>
          <w:p w14:paraId="564DC5F1" w14:textId="77777777" w:rsidR="00A37354" w:rsidRPr="00DA702B" w:rsidRDefault="00A37354" w:rsidP="00DA702B">
            <w:pPr>
              <w:rPr>
                <w:sz w:val="20"/>
                <w:szCs w:val="20"/>
              </w:rPr>
            </w:pPr>
          </w:p>
        </w:tc>
        <w:tc>
          <w:tcPr>
            <w:tcW w:w="1201" w:type="dxa"/>
          </w:tcPr>
          <w:p w14:paraId="00AF859F" w14:textId="77777777" w:rsidR="00A37354" w:rsidRPr="00DA702B" w:rsidRDefault="00A37354" w:rsidP="00DA702B">
            <w:pPr>
              <w:rPr>
                <w:sz w:val="20"/>
                <w:szCs w:val="20"/>
              </w:rPr>
            </w:pPr>
          </w:p>
        </w:tc>
      </w:tr>
      <w:tr w:rsidR="00A37354" w:rsidRPr="00DA702B" w14:paraId="629ABAF1" w14:textId="77777777" w:rsidTr="00FC00AF">
        <w:trPr>
          <w:cantSplit/>
          <w:trHeight w:val="346"/>
          <w:tblHeader/>
        </w:trPr>
        <w:tc>
          <w:tcPr>
            <w:tcW w:w="1199" w:type="dxa"/>
          </w:tcPr>
          <w:p w14:paraId="3DC72970" w14:textId="77777777" w:rsidR="00A37354" w:rsidRPr="00DA702B" w:rsidRDefault="00A37354" w:rsidP="00DA702B">
            <w:pPr>
              <w:rPr>
                <w:sz w:val="20"/>
                <w:szCs w:val="20"/>
              </w:rPr>
            </w:pPr>
          </w:p>
        </w:tc>
        <w:tc>
          <w:tcPr>
            <w:tcW w:w="1199" w:type="dxa"/>
          </w:tcPr>
          <w:p w14:paraId="1C8D7984" w14:textId="77777777" w:rsidR="00A37354" w:rsidRPr="00DA702B" w:rsidRDefault="00A37354" w:rsidP="00DA702B">
            <w:pPr>
              <w:rPr>
                <w:sz w:val="20"/>
                <w:szCs w:val="20"/>
              </w:rPr>
            </w:pPr>
          </w:p>
        </w:tc>
        <w:tc>
          <w:tcPr>
            <w:tcW w:w="1200" w:type="dxa"/>
          </w:tcPr>
          <w:p w14:paraId="7A7B8FE5" w14:textId="77777777" w:rsidR="00A37354" w:rsidRPr="00DA702B" w:rsidRDefault="00A37354" w:rsidP="00DA702B">
            <w:pPr>
              <w:rPr>
                <w:sz w:val="20"/>
                <w:szCs w:val="20"/>
              </w:rPr>
            </w:pPr>
          </w:p>
        </w:tc>
        <w:tc>
          <w:tcPr>
            <w:tcW w:w="1200" w:type="dxa"/>
          </w:tcPr>
          <w:p w14:paraId="714C4750" w14:textId="77777777" w:rsidR="00A37354" w:rsidRPr="00DA702B" w:rsidRDefault="00A37354" w:rsidP="00DA702B">
            <w:pPr>
              <w:rPr>
                <w:sz w:val="20"/>
                <w:szCs w:val="20"/>
              </w:rPr>
            </w:pPr>
          </w:p>
        </w:tc>
        <w:tc>
          <w:tcPr>
            <w:tcW w:w="1200" w:type="dxa"/>
          </w:tcPr>
          <w:p w14:paraId="1658C379" w14:textId="77777777" w:rsidR="00A37354" w:rsidRPr="00DA702B" w:rsidRDefault="00A37354" w:rsidP="00DA702B">
            <w:pPr>
              <w:rPr>
                <w:sz w:val="20"/>
                <w:szCs w:val="20"/>
              </w:rPr>
            </w:pPr>
          </w:p>
        </w:tc>
        <w:tc>
          <w:tcPr>
            <w:tcW w:w="1200" w:type="dxa"/>
          </w:tcPr>
          <w:p w14:paraId="664FB2BA" w14:textId="77777777" w:rsidR="00A37354" w:rsidRPr="00DA702B" w:rsidRDefault="00A37354" w:rsidP="00DA702B">
            <w:pPr>
              <w:rPr>
                <w:sz w:val="20"/>
                <w:szCs w:val="20"/>
              </w:rPr>
            </w:pPr>
          </w:p>
        </w:tc>
        <w:tc>
          <w:tcPr>
            <w:tcW w:w="1200" w:type="dxa"/>
          </w:tcPr>
          <w:p w14:paraId="1A886523" w14:textId="77777777" w:rsidR="00A37354" w:rsidRPr="00DA702B" w:rsidRDefault="00A37354" w:rsidP="00DA702B">
            <w:pPr>
              <w:rPr>
                <w:sz w:val="20"/>
                <w:szCs w:val="20"/>
              </w:rPr>
            </w:pPr>
          </w:p>
        </w:tc>
        <w:tc>
          <w:tcPr>
            <w:tcW w:w="1200" w:type="dxa"/>
          </w:tcPr>
          <w:p w14:paraId="7D9CA1D7" w14:textId="77777777" w:rsidR="00A37354" w:rsidRPr="00DA702B" w:rsidRDefault="00A37354" w:rsidP="00DA702B">
            <w:pPr>
              <w:rPr>
                <w:sz w:val="20"/>
                <w:szCs w:val="20"/>
              </w:rPr>
            </w:pPr>
          </w:p>
        </w:tc>
        <w:tc>
          <w:tcPr>
            <w:tcW w:w="1201" w:type="dxa"/>
          </w:tcPr>
          <w:p w14:paraId="3BC00FFC" w14:textId="77777777" w:rsidR="00A37354" w:rsidRPr="00DA702B" w:rsidRDefault="00A37354" w:rsidP="00DA702B">
            <w:pPr>
              <w:rPr>
                <w:sz w:val="20"/>
                <w:szCs w:val="20"/>
              </w:rPr>
            </w:pPr>
          </w:p>
        </w:tc>
        <w:tc>
          <w:tcPr>
            <w:tcW w:w="1201" w:type="dxa"/>
          </w:tcPr>
          <w:p w14:paraId="5231FBEE" w14:textId="77777777" w:rsidR="00A37354" w:rsidRPr="00DA702B" w:rsidRDefault="00A37354" w:rsidP="00DA702B">
            <w:pPr>
              <w:rPr>
                <w:sz w:val="20"/>
                <w:szCs w:val="20"/>
              </w:rPr>
            </w:pPr>
          </w:p>
        </w:tc>
      </w:tr>
      <w:tr w:rsidR="00A37354" w:rsidRPr="00DA702B" w14:paraId="4C5A49B4" w14:textId="77777777" w:rsidTr="00FC00AF">
        <w:trPr>
          <w:cantSplit/>
          <w:trHeight w:val="346"/>
          <w:tblHeader/>
        </w:trPr>
        <w:tc>
          <w:tcPr>
            <w:tcW w:w="1199" w:type="dxa"/>
          </w:tcPr>
          <w:p w14:paraId="65029574" w14:textId="77777777" w:rsidR="00A37354" w:rsidRPr="00DA702B" w:rsidRDefault="00A37354" w:rsidP="00DA702B">
            <w:pPr>
              <w:rPr>
                <w:sz w:val="20"/>
                <w:szCs w:val="20"/>
              </w:rPr>
            </w:pPr>
          </w:p>
        </w:tc>
        <w:tc>
          <w:tcPr>
            <w:tcW w:w="1199" w:type="dxa"/>
          </w:tcPr>
          <w:p w14:paraId="2F2C5E2E" w14:textId="77777777" w:rsidR="00A37354" w:rsidRPr="00DA702B" w:rsidRDefault="00A37354" w:rsidP="00DA702B">
            <w:pPr>
              <w:rPr>
                <w:sz w:val="20"/>
                <w:szCs w:val="20"/>
              </w:rPr>
            </w:pPr>
          </w:p>
        </w:tc>
        <w:tc>
          <w:tcPr>
            <w:tcW w:w="1200" w:type="dxa"/>
          </w:tcPr>
          <w:p w14:paraId="5425D8C9" w14:textId="77777777" w:rsidR="00A37354" w:rsidRPr="00DA702B" w:rsidRDefault="00A37354" w:rsidP="00DA702B">
            <w:pPr>
              <w:rPr>
                <w:sz w:val="20"/>
                <w:szCs w:val="20"/>
              </w:rPr>
            </w:pPr>
          </w:p>
        </w:tc>
        <w:tc>
          <w:tcPr>
            <w:tcW w:w="1200" w:type="dxa"/>
          </w:tcPr>
          <w:p w14:paraId="4AFA7B33" w14:textId="77777777" w:rsidR="00A37354" w:rsidRPr="00DA702B" w:rsidRDefault="00A37354" w:rsidP="00DA702B">
            <w:pPr>
              <w:rPr>
                <w:sz w:val="20"/>
                <w:szCs w:val="20"/>
              </w:rPr>
            </w:pPr>
          </w:p>
        </w:tc>
        <w:tc>
          <w:tcPr>
            <w:tcW w:w="1200" w:type="dxa"/>
          </w:tcPr>
          <w:p w14:paraId="065527C0" w14:textId="77777777" w:rsidR="00A37354" w:rsidRPr="00DA702B" w:rsidRDefault="00A37354" w:rsidP="00DA702B">
            <w:pPr>
              <w:rPr>
                <w:sz w:val="20"/>
                <w:szCs w:val="20"/>
              </w:rPr>
            </w:pPr>
          </w:p>
        </w:tc>
        <w:tc>
          <w:tcPr>
            <w:tcW w:w="1200" w:type="dxa"/>
          </w:tcPr>
          <w:p w14:paraId="0BE2AA86" w14:textId="77777777" w:rsidR="00A37354" w:rsidRPr="00DA702B" w:rsidRDefault="00A37354" w:rsidP="00DA702B">
            <w:pPr>
              <w:rPr>
                <w:sz w:val="20"/>
                <w:szCs w:val="20"/>
              </w:rPr>
            </w:pPr>
          </w:p>
        </w:tc>
        <w:tc>
          <w:tcPr>
            <w:tcW w:w="1200" w:type="dxa"/>
          </w:tcPr>
          <w:p w14:paraId="11B48BE2" w14:textId="77777777" w:rsidR="00A37354" w:rsidRPr="00DA702B" w:rsidRDefault="00A37354" w:rsidP="00DA702B">
            <w:pPr>
              <w:rPr>
                <w:sz w:val="20"/>
                <w:szCs w:val="20"/>
              </w:rPr>
            </w:pPr>
          </w:p>
        </w:tc>
        <w:tc>
          <w:tcPr>
            <w:tcW w:w="1200" w:type="dxa"/>
          </w:tcPr>
          <w:p w14:paraId="56670F3A" w14:textId="77777777" w:rsidR="00A37354" w:rsidRPr="00DA702B" w:rsidRDefault="00A37354" w:rsidP="00DA702B">
            <w:pPr>
              <w:rPr>
                <w:sz w:val="20"/>
                <w:szCs w:val="20"/>
              </w:rPr>
            </w:pPr>
          </w:p>
        </w:tc>
        <w:tc>
          <w:tcPr>
            <w:tcW w:w="1201" w:type="dxa"/>
          </w:tcPr>
          <w:p w14:paraId="69C28AD7" w14:textId="77777777" w:rsidR="00A37354" w:rsidRPr="00DA702B" w:rsidRDefault="00A37354" w:rsidP="00DA702B">
            <w:pPr>
              <w:rPr>
                <w:sz w:val="20"/>
                <w:szCs w:val="20"/>
              </w:rPr>
            </w:pPr>
          </w:p>
        </w:tc>
        <w:tc>
          <w:tcPr>
            <w:tcW w:w="1201" w:type="dxa"/>
          </w:tcPr>
          <w:p w14:paraId="67553EE2" w14:textId="77777777" w:rsidR="00A37354" w:rsidRPr="00DA702B" w:rsidRDefault="00A37354" w:rsidP="00DA702B">
            <w:pPr>
              <w:rPr>
                <w:sz w:val="20"/>
                <w:szCs w:val="20"/>
              </w:rPr>
            </w:pPr>
          </w:p>
        </w:tc>
      </w:tr>
    </w:tbl>
    <w:p w14:paraId="75680CED" w14:textId="77777777" w:rsidR="00DA702B" w:rsidRPr="00DA702B" w:rsidRDefault="00DA702B" w:rsidP="00DA702B">
      <w:r w:rsidRPr="00DA702B">
        <w:br w:type="page"/>
      </w:r>
    </w:p>
    <w:p w14:paraId="33C4E924" w14:textId="77777777" w:rsidR="00DA702B" w:rsidRPr="00DA702B" w:rsidRDefault="00DA702B" w:rsidP="0050566D">
      <w:pPr>
        <w:contextualSpacing/>
        <w:jc w:val="center"/>
        <w:outlineLvl w:val="0"/>
        <w:rPr>
          <w:b/>
          <w:bCs/>
        </w:rPr>
      </w:pPr>
      <w:r w:rsidRPr="00DA702B">
        <w:rPr>
          <w:b/>
          <w:bCs/>
        </w:rPr>
        <w:lastRenderedPageBreak/>
        <w:t>Boiler/Steam Generator/Steam Generating Unit Attributes</w:t>
      </w:r>
    </w:p>
    <w:p w14:paraId="2430EC76" w14:textId="77777777" w:rsidR="00DA702B" w:rsidRPr="00DA702B" w:rsidRDefault="00DA702B" w:rsidP="0050566D">
      <w:pPr>
        <w:contextualSpacing/>
        <w:jc w:val="center"/>
        <w:outlineLvl w:val="0"/>
        <w:rPr>
          <w:b/>
          <w:bCs/>
        </w:rPr>
      </w:pPr>
      <w:r w:rsidRPr="00DA702B">
        <w:rPr>
          <w:b/>
          <w:bCs/>
        </w:rPr>
        <w:t>Form OP-UA6 (Page 9)</w:t>
      </w:r>
    </w:p>
    <w:p w14:paraId="03EC314E" w14:textId="77777777" w:rsidR="00DA702B" w:rsidRPr="00DA702B" w:rsidRDefault="00DA702B" w:rsidP="0050566D">
      <w:pPr>
        <w:contextualSpacing/>
        <w:jc w:val="center"/>
        <w:outlineLvl w:val="0"/>
        <w:rPr>
          <w:b/>
          <w:bCs/>
        </w:rPr>
      </w:pPr>
      <w:r w:rsidRPr="00DA702B">
        <w:rPr>
          <w:b/>
          <w:bCs/>
        </w:rPr>
        <w:t>Federal Operating Permit Program</w:t>
      </w:r>
    </w:p>
    <w:p w14:paraId="172C26ED" w14:textId="77777777" w:rsidR="00DA702B" w:rsidRPr="00DA702B" w:rsidRDefault="00DA702B" w:rsidP="0050566D">
      <w:pPr>
        <w:contextualSpacing/>
        <w:jc w:val="center"/>
        <w:outlineLvl w:val="0"/>
        <w:rPr>
          <w:b/>
          <w:bCs/>
        </w:rPr>
      </w:pPr>
      <w:bookmarkStart w:id="171" w:name="TBL_3d"/>
      <w:r w:rsidRPr="00DA702B">
        <w:rPr>
          <w:b/>
          <w:bCs/>
        </w:rPr>
        <w:t>Table 3d</w:t>
      </w:r>
      <w:bookmarkEnd w:id="171"/>
      <w:r w:rsidRPr="00DA702B">
        <w:rPr>
          <w:b/>
          <w:bCs/>
        </w:rPr>
        <w:t>:  Title 40 Code of Federal Regulations Part 60 (40 CFR Part 60)</w:t>
      </w:r>
    </w:p>
    <w:p w14:paraId="13DDFE4F" w14:textId="77777777" w:rsidR="00DA702B" w:rsidRPr="00DA702B" w:rsidRDefault="00DA702B" w:rsidP="0050566D">
      <w:pPr>
        <w:contextualSpacing/>
        <w:jc w:val="center"/>
        <w:outlineLvl w:val="0"/>
        <w:rPr>
          <w:b/>
          <w:bCs/>
        </w:rPr>
      </w:pPr>
      <w:r w:rsidRPr="00DA702B">
        <w:rPr>
          <w:b/>
          <w:bCs/>
        </w:rPr>
        <w:t>Subpart Db:  Standards of Performance for Industrial-Commercial-Institutional Steam Generating Units</w:t>
      </w:r>
    </w:p>
    <w:p w14:paraId="4671D69E" w14:textId="77777777" w:rsidR="00DA702B" w:rsidRPr="00DA702B" w:rsidRDefault="00DA702B" w:rsidP="0050566D">
      <w:pPr>
        <w:contextualSpacing/>
        <w:jc w:val="center"/>
        <w:outlineLvl w:val="0"/>
        <w:rPr>
          <w:b/>
          <w:bCs/>
        </w:rPr>
      </w:pPr>
      <w:r w:rsidRPr="00DA702B">
        <w:rPr>
          <w:b/>
          <w:bCs/>
        </w:rPr>
        <w:t>Texas Commission on Environmental Quality</w:t>
      </w:r>
    </w:p>
    <w:p w14:paraId="184354E6"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d:  Title 40 Code of Federal Regulations Part 60 (40 CFR Part 60)&#10;Subpart Db:  Standards of Performance for Industrial-Commercial Steam Generating Units&#10;&#10;"/>
      </w:tblPr>
      <w:tblGrid>
        <w:gridCol w:w="4800"/>
        <w:gridCol w:w="4800"/>
        <w:gridCol w:w="4800"/>
      </w:tblGrid>
      <w:tr w:rsidR="00DA702B" w:rsidRPr="00DA702B" w14:paraId="678B34B1" w14:textId="77777777" w:rsidTr="00247007">
        <w:trPr>
          <w:cantSplit/>
          <w:tblHeader/>
        </w:trPr>
        <w:tc>
          <w:tcPr>
            <w:tcW w:w="4800" w:type="dxa"/>
            <w:shd w:val="clear" w:color="auto" w:fill="D9D9D9" w:themeFill="background1" w:themeFillShade="D9"/>
          </w:tcPr>
          <w:p w14:paraId="6A1CCBCD"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6DC365EA"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7C29B82B"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55BE8B1B" w14:textId="77777777" w:rsidTr="00247007">
        <w:trPr>
          <w:cantSplit/>
          <w:tblHeader/>
        </w:trPr>
        <w:tc>
          <w:tcPr>
            <w:tcW w:w="4800" w:type="dxa"/>
          </w:tcPr>
          <w:p w14:paraId="627159DE" w14:textId="77777777" w:rsidR="00DA702B" w:rsidRPr="00DA702B" w:rsidRDefault="00DA702B" w:rsidP="00DA702B">
            <w:pPr>
              <w:rPr>
                <w:rFonts w:asciiTheme="majorHAnsi" w:hAnsiTheme="majorHAnsi" w:cstheme="majorHAnsi"/>
              </w:rPr>
            </w:pPr>
          </w:p>
        </w:tc>
        <w:tc>
          <w:tcPr>
            <w:tcW w:w="4800" w:type="dxa"/>
          </w:tcPr>
          <w:p w14:paraId="3191853F" w14:textId="77777777" w:rsidR="00DA702B" w:rsidRPr="00DA702B" w:rsidRDefault="00DA702B" w:rsidP="00DA702B">
            <w:pPr>
              <w:rPr>
                <w:rFonts w:asciiTheme="majorHAnsi" w:hAnsiTheme="majorHAnsi" w:cstheme="majorHAnsi"/>
              </w:rPr>
            </w:pPr>
          </w:p>
        </w:tc>
        <w:tc>
          <w:tcPr>
            <w:tcW w:w="4800" w:type="dxa"/>
          </w:tcPr>
          <w:p w14:paraId="36B1956F" w14:textId="77777777" w:rsidR="00DA702B" w:rsidRPr="00DA702B" w:rsidRDefault="00DA702B" w:rsidP="00DA702B">
            <w:pPr>
              <w:rPr>
                <w:rFonts w:asciiTheme="majorHAnsi" w:hAnsiTheme="majorHAnsi" w:cstheme="majorHAnsi"/>
              </w:rPr>
            </w:pPr>
          </w:p>
        </w:tc>
      </w:tr>
    </w:tbl>
    <w:p w14:paraId="09EB651A"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3d:  Title 40 Code of Federal Regulations Part 60 (40 CFR Part 60)&#10;Subpart Db:  Standards of Performance for Industrial-Commercial Steam Generating Units&#10;"/>
      </w:tblPr>
      <w:tblGrid>
        <w:gridCol w:w="1106"/>
        <w:gridCol w:w="1107"/>
        <w:gridCol w:w="1107"/>
        <w:gridCol w:w="1108"/>
        <w:gridCol w:w="1108"/>
        <w:gridCol w:w="1108"/>
        <w:gridCol w:w="1108"/>
        <w:gridCol w:w="1108"/>
        <w:gridCol w:w="1108"/>
        <w:gridCol w:w="1108"/>
        <w:gridCol w:w="1108"/>
        <w:gridCol w:w="1108"/>
        <w:gridCol w:w="1108"/>
      </w:tblGrid>
      <w:tr w:rsidR="00DA702B" w:rsidRPr="00DA702B" w14:paraId="6113D097" w14:textId="77777777" w:rsidTr="00247007">
        <w:tc>
          <w:tcPr>
            <w:tcW w:w="1106" w:type="dxa"/>
            <w:shd w:val="clear" w:color="auto" w:fill="D9D9D9" w:themeFill="background1" w:themeFillShade="D9"/>
            <w:vAlign w:val="bottom"/>
          </w:tcPr>
          <w:p w14:paraId="26924534" w14:textId="77777777" w:rsidR="00DA702B" w:rsidRPr="00DA702B" w:rsidRDefault="00DA702B" w:rsidP="00DA702B">
            <w:pPr>
              <w:jc w:val="center"/>
              <w:rPr>
                <w:sz w:val="20"/>
                <w:szCs w:val="20"/>
              </w:rPr>
            </w:pPr>
            <w:r w:rsidRPr="00DA702B">
              <w:rPr>
                <w:b/>
                <w:sz w:val="20"/>
                <w:szCs w:val="20"/>
              </w:rPr>
              <w:t>Unit ID No.</w:t>
            </w:r>
          </w:p>
        </w:tc>
        <w:tc>
          <w:tcPr>
            <w:tcW w:w="1107" w:type="dxa"/>
            <w:shd w:val="clear" w:color="auto" w:fill="D9D9D9" w:themeFill="background1" w:themeFillShade="D9"/>
            <w:vAlign w:val="bottom"/>
          </w:tcPr>
          <w:p w14:paraId="54759C8E" w14:textId="77777777" w:rsidR="00DA702B" w:rsidRPr="00DA702B" w:rsidRDefault="00DA702B" w:rsidP="00DA702B">
            <w:pPr>
              <w:jc w:val="center"/>
              <w:rPr>
                <w:sz w:val="20"/>
                <w:szCs w:val="20"/>
              </w:rPr>
            </w:pPr>
            <w:r w:rsidRPr="00DA702B">
              <w:rPr>
                <w:b/>
                <w:sz w:val="20"/>
                <w:szCs w:val="20"/>
              </w:rPr>
              <w:t>SOP Index No.</w:t>
            </w:r>
          </w:p>
        </w:tc>
        <w:tc>
          <w:tcPr>
            <w:tcW w:w="1107" w:type="dxa"/>
            <w:shd w:val="clear" w:color="auto" w:fill="D9D9D9" w:themeFill="background1" w:themeFillShade="D9"/>
            <w:vAlign w:val="bottom"/>
          </w:tcPr>
          <w:p w14:paraId="3F03C40F" w14:textId="77777777" w:rsidR="00DA702B" w:rsidRPr="00DA702B" w:rsidRDefault="00DA702B" w:rsidP="00DA702B">
            <w:pPr>
              <w:jc w:val="center"/>
              <w:rPr>
                <w:sz w:val="20"/>
                <w:szCs w:val="20"/>
              </w:rPr>
            </w:pPr>
            <w:r w:rsidRPr="00DA702B">
              <w:rPr>
                <w:b/>
                <w:sz w:val="20"/>
                <w:szCs w:val="20"/>
              </w:rPr>
              <w:t>Residual Oil Sampling</w:t>
            </w:r>
          </w:p>
        </w:tc>
        <w:tc>
          <w:tcPr>
            <w:tcW w:w="1108" w:type="dxa"/>
            <w:shd w:val="clear" w:color="auto" w:fill="D9D9D9" w:themeFill="background1" w:themeFillShade="D9"/>
            <w:vAlign w:val="bottom"/>
          </w:tcPr>
          <w:p w14:paraId="0E855070" w14:textId="77777777" w:rsidR="00DA702B" w:rsidRPr="00DA702B" w:rsidRDefault="00DA702B" w:rsidP="00DA702B">
            <w:pPr>
              <w:jc w:val="center"/>
              <w:rPr>
                <w:sz w:val="20"/>
                <w:szCs w:val="20"/>
              </w:rPr>
            </w:pPr>
            <w:r w:rsidRPr="00DA702B">
              <w:rPr>
                <w:b/>
                <w:sz w:val="20"/>
                <w:szCs w:val="20"/>
              </w:rPr>
              <w:t>Monitoring Type PM</w:t>
            </w:r>
          </w:p>
        </w:tc>
        <w:tc>
          <w:tcPr>
            <w:tcW w:w="1108" w:type="dxa"/>
            <w:shd w:val="clear" w:color="auto" w:fill="D9D9D9" w:themeFill="background1" w:themeFillShade="D9"/>
            <w:vAlign w:val="bottom"/>
          </w:tcPr>
          <w:p w14:paraId="2B6B9C20" w14:textId="77777777" w:rsidR="00DA702B" w:rsidRPr="00DA702B" w:rsidRDefault="00DA702B" w:rsidP="00DA702B">
            <w:pPr>
              <w:jc w:val="center"/>
              <w:rPr>
                <w:sz w:val="20"/>
                <w:szCs w:val="20"/>
              </w:rPr>
            </w:pPr>
            <w:r w:rsidRPr="00DA702B">
              <w:rPr>
                <w:b/>
                <w:sz w:val="20"/>
                <w:szCs w:val="20"/>
              </w:rPr>
              <w:t>Monitoring Type PM (Opacity)</w:t>
            </w:r>
          </w:p>
        </w:tc>
        <w:tc>
          <w:tcPr>
            <w:tcW w:w="1108" w:type="dxa"/>
            <w:shd w:val="clear" w:color="auto" w:fill="D9D9D9" w:themeFill="background1" w:themeFillShade="D9"/>
            <w:vAlign w:val="bottom"/>
          </w:tcPr>
          <w:p w14:paraId="5A513D62" w14:textId="77777777" w:rsidR="00DA702B" w:rsidRPr="00DA702B" w:rsidRDefault="00DA702B" w:rsidP="00DA702B">
            <w:pPr>
              <w:jc w:val="center"/>
              <w:rPr>
                <w:sz w:val="20"/>
                <w:szCs w:val="20"/>
              </w:rPr>
            </w:pPr>
            <w:r w:rsidRPr="00DA702B">
              <w:rPr>
                <w:b/>
                <w:sz w:val="20"/>
                <w:szCs w:val="20"/>
              </w:rPr>
              <w:t>Monitoring Type NO</w:t>
            </w:r>
            <w:r w:rsidRPr="00DA702B">
              <w:rPr>
                <w:b/>
                <w:sz w:val="20"/>
                <w:szCs w:val="20"/>
                <w:vertAlign w:val="subscript"/>
              </w:rPr>
              <w:t>X</w:t>
            </w:r>
          </w:p>
        </w:tc>
        <w:tc>
          <w:tcPr>
            <w:tcW w:w="1108" w:type="dxa"/>
            <w:shd w:val="clear" w:color="auto" w:fill="D9D9D9" w:themeFill="background1" w:themeFillShade="D9"/>
            <w:vAlign w:val="bottom"/>
          </w:tcPr>
          <w:p w14:paraId="79ACB68F" w14:textId="77777777" w:rsidR="00DA702B" w:rsidRPr="00DA702B" w:rsidRDefault="00DA702B" w:rsidP="00DA702B">
            <w:pPr>
              <w:jc w:val="center"/>
              <w:rPr>
                <w:sz w:val="20"/>
                <w:szCs w:val="20"/>
              </w:rPr>
            </w:pPr>
            <w:r w:rsidRPr="00DA702B">
              <w:rPr>
                <w:b/>
                <w:sz w:val="20"/>
                <w:szCs w:val="20"/>
              </w:rPr>
              <w:t>Monitoring Type SO</w:t>
            </w:r>
            <w:r w:rsidRPr="00DA702B">
              <w:rPr>
                <w:b/>
                <w:sz w:val="20"/>
                <w:szCs w:val="20"/>
                <w:vertAlign w:val="subscript"/>
              </w:rPr>
              <w:t>2</w:t>
            </w:r>
          </w:p>
        </w:tc>
        <w:tc>
          <w:tcPr>
            <w:tcW w:w="1108" w:type="dxa"/>
            <w:shd w:val="clear" w:color="auto" w:fill="D9D9D9" w:themeFill="background1" w:themeFillShade="D9"/>
            <w:vAlign w:val="bottom"/>
          </w:tcPr>
          <w:p w14:paraId="71E4839B" w14:textId="77777777" w:rsidR="00DA702B" w:rsidRPr="00DA702B" w:rsidRDefault="00DA702B" w:rsidP="00DA702B">
            <w:pPr>
              <w:jc w:val="center"/>
              <w:rPr>
                <w:sz w:val="20"/>
                <w:szCs w:val="20"/>
              </w:rPr>
            </w:pPr>
            <w:r w:rsidRPr="00DA702B">
              <w:rPr>
                <w:b/>
                <w:sz w:val="20"/>
                <w:szCs w:val="20"/>
              </w:rPr>
              <w:t>Technology Type</w:t>
            </w:r>
          </w:p>
        </w:tc>
        <w:tc>
          <w:tcPr>
            <w:tcW w:w="1108" w:type="dxa"/>
            <w:shd w:val="clear" w:color="auto" w:fill="D9D9D9" w:themeFill="background1" w:themeFillShade="D9"/>
            <w:vAlign w:val="bottom"/>
          </w:tcPr>
          <w:p w14:paraId="6699D4A8" w14:textId="77777777" w:rsidR="00DA702B" w:rsidRPr="00DA702B" w:rsidRDefault="00DA702B" w:rsidP="00DA702B">
            <w:pPr>
              <w:jc w:val="center"/>
              <w:rPr>
                <w:sz w:val="20"/>
                <w:szCs w:val="20"/>
              </w:rPr>
            </w:pPr>
            <w:r w:rsidRPr="00DA702B">
              <w:rPr>
                <w:b/>
                <w:sz w:val="20"/>
                <w:szCs w:val="20"/>
              </w:rPr>
              <w:t>Unit Type</w:t>
            </w:r>
          </w:p>
        </w:tc>
        <w:tc>
          <w:tcPr>
            <w:tcW w:w="1108" w:type="dxa"/>
            <w:shd w:val="clear" w:color="auto" w:fill="D9D9D9" w:themeFill="background1" w:themeFillShade="D9"/>
            <w:vAlign w:val="bottom"/>
          </w:tcPr>
          <w:p w14:paraId="36801AE8" w14:textId="77777777" w:rsidR="00DA702B" w:rsidRPr="00DA702B" w:rsidRDefault="00DA702B" w:rsidP="00DA702B">
            <w:pPr>
              <w:jc w:val="center"/>
              <w:rPr>
                <w:sz w:val="20"/>
                <w:szCs w:val="20"/>
              </w:rPr>
            </w:pPr>
            <w:r w:rsidRPr="00DA702B">
              <w:rPr>
                <w:b/>
                <w:sz w:val="20"/>
                <w:szCs w:val="20"/>
              </w:rPr>
              <w:t>Heat Release Rate</w:t>
            </w:r>
          </w:p>
        </w:tc>
        <w:tc>
          <w:tcPr>
            <w:tcW w:w="1108" w:type="dxa"/>
            <w:shd w:val="clear" w:color="auto" w:fill="D9D9D9" w:themeFill="background1" w:themeFillShade="D9"/>
            <w:vAlign w:val="bottom"/>
          </w:tcPr>
          <w:p w14:paraId="6B950301" w14:textId="77777777" w:rsidR="00DA702B" w:rsidRPr="00DA702B" w:rsidRDefault="00DA702B" w:rsidP="00DA702B">
            <w:pPr>
              <w:jc w:val="center"/>
              <w:rPr>
                <w:sz w:val="20"/>
                <w:szCs w:val="20"/>
              </w:rPr>
            </w:pPr>
            <w:r w:rsidRPr="00DA702B">
              <w:rPr>
                <w:b/>
                <w:sz w:val="20"/>
                <w:szCs w:val="20"/>
              </w:rPr>
              <w:t>Heat Input Gas/Oil</w:t>
            </w:r>
          </w:p>
        </w:tc>
        <w:tc>
          <w:tcPr>
            <w:tcW w:w="1108" w:type="dxa"/>
            <w:shd w:val="clear" w:color="auto" w:fill="D9D9D9" w:themeFill="background1" w:themeFillShade="D9"/>
            <w:vAlign w:val="bottom"/>
          </w:tcPr>
          <w:p w14:paraId="4EA13D91" w14:textId="77777777" w:rsidR="00DA702B" w:rsidRPr="00DA702B" w:rsidRDefault="00DA702B" w:rsidP="00DA702B">
            <w:pPr>
              <w:jc w:val="center"/>
              <w:rPr>
                <w:sz w:val="20"/>
                <w:szCs w:val="20"/>
              </w:rPr>
            </w:pPr>
            <w:r w:rsidRPr="00DA702B">
              <w:rPr>
                <w:b/>
                <w:sz w:val="20"/>
                <w:szCs w:val="20"/>
              </w:rPr>
              <w:t>Heat Input Wood</w:t>
            </w:r>
          </w:p>
        </w:tc>
        <w:tc>
          <w:tcPr>
            <w:tcW w:w="1108" w:type="dxa"/>
            <w:shd w:val="clear" w:color="auto" w:fill="D9D9D9" w:themeFill="background1" w:themeFillShade="D9"/>
            <w:vAlign w:val="bottom"/>
          </w:tcPr>
          <w:p w14:paraId="1AC3B56D" w14:textId="77777777" w:rsidR="00DA702B" w:rsidRPr="00DA702B" w:rsidRDefault="00DA702B" w:rsidP="00DA702B">
            <w:pPr>
              <w:jc w:val="center"/>
              <w:rPr>
                <w:sz w:val="20"/>
                <w:szCs w:val="20"/>
              </w:rPr>
            </w:pPr>
            <w:r w:rsidRPr="00DA702B">
              <w:rPr>
                <w:b/>
                <w:sz w:val="20"/>
                <w:szCs w:val="20"/>
              </w:rPr>
              <w:t>Fuel Heat Input</w:t>
            </w:r>
          </w:p>
        </w:tc>
      </w:tr>
      <w:tr w:rsidR="00DA702B" w:rsidRPr="00DA702B" w14:paraId="003E3597" w14:textId="77777777" w:rsidTr="00247007">
        <w:trPr>
          <w:trHeight w:val="346"/>
        </w:trPr>
        <w:tc>
          <w:tcPr>
            <w:tcW w:w="1106" w:type="dxa"/>
          </w:tcPr>
          <w:p w14:paraId="50362152" w14:textId="77777777" w:rsidR="00DA702B" w:rsidRPr="00DA702B" w:rsidRDefault="00DA702B" w:rsidP="00DA702B">
            <w:pPr>
              <w:rPr>
                <w:sz w:val="20"/>
                <w:szCs w:val="20"/>
              </w:rPr>
            </w:pPr>
          </w:p>
        </w:tc>
        <w:tc>
          <w:tcPr>
            <w:tcW w:w="1107" w:type="dxa"/>
          </w:tcPr>
          <w:p w14:paraId="47A93948" w14:textId="77777777" w:rsidR="00DA702B" w:rsidRPr="00DA702B" w:rsidRDefault="00DA702B" w:rsidP="00DA702B">
            <w:pPr>
              <w:rPr>
                <w:sz w:val="20"/>
                <w:szCs w:val="20"/>
              </w:rPr>
            </w:pPr>
          </w:p>
        </w:tc>
        <w:tc>
          <w:tcPr>
            <w:tcW w:w="1107" w:type="dxa"/>
          </w:tcPr>
          <w:p w14:paraId="4207479D" w14:textId="77777777" w:rsidR="00DA702B" w:rsidRPr="00DA702B" w:rsidRDefault="00DA702B" w:rsidP="00DA702B">
            <w:pPr>
              <w:rPr>
                <w:sz w:val="20"/>
                <w:szCs w:val="20"/>
              </w:rPr>
            </w:pPr>
          </w:p>
        </w:tc>
        <w:tc>
          <w:tcPr>
            <w:tcW w:w="1108" w:type="dxa"/>
          </w:tcPr>
          <w:p w14:paraId="2C531E50" w14:textId="77777777" w:rsidR="00DA702B" w:rsidRPr="00DA702B" w:rsidRDefault="00DA702B" w:rsidP="00DA702B">
            <w:pPr>
              <w:rPr>
                <w:sz w:val="20"/>
                <w:szCs w:val="20"/>
              </w:rPr>
            </w:pPr>
          </w:p>
        </w:tc>
        <w:tc>
          <w:tcPr>
            <w:tcW w:w="1108" w:type="dxa"/>
          </w:tcPr>
          <w:p w14:paraId="0BBEB975" w14:textId="77777777" w:rsidR="00DA702B" w:rsidRPr="00DA702B" w:rsidRDefault="00DA702B" w:rsidP="00DA702B">
            <w:pPr>
              <w:rPr>
                <w:sz w:val="20"/>
                <w:szCs w:val="20"/>
              </w:rPr>
            </w:pPr>
          </w:p>
        </w:tc>
        <w:tc>
          <w:tcPr>
            <w:tcW w:w="1108" w:type="dxa"/>
          </w:tcPr>
          <w:p w14:paraId="2EDD818A" w14:textId="77777777" w:rsidR="00DA702B" w:rsidRPr="00DA702B" w:rsidRDefault="00DA702B" w:rsidP="00DA702B">
            <w:pPr>
              <w:rPr>
                <w:sz w:val="20"/>
                <w:szCs w:val="20"/>
              </w:rPr>
            </w:pPr>
          </w:p>
        </w:tc>
        <w:tc>
          <w:tcPr>
            <w:tcW w:w="1108" w:type="dxa"/>
          </w:tcPr>
          <w:p w14:paraId="02BF6247" w14:textId="77777777" w:rsidR="00DA702B" w:rsidRPr="00DA702B" w:rsidRDefault="00DA702B" w:rsidP="00DA702B">
            <w:pPr>
              <w:rPr>
                <w:sz w:val="20"/>
                <w:szCs w:val="20"/>
              </w:rPr>
            </w:pPr>
          </w:p>
        </w:tc>
        <w:tc>
          <w:tcPr>
            <w:tcW w:w="1108" w:type="dxa"/>
          </w:tcPr>
          <w:p w14:paraId="0329FACA" w14:textId="77777777" w:rsidR="00DA702B" w:rsidRPr="00DA702B" w:rsidRDefault="00DA702B" w:rsidP="00DA702B">
            <w:pPr>
              <w:rPr>
                <w:sz w:val="20"/>
                <w:szCs w:val="20"/>
              </w:rPr>
            </w:pPr>
          </w:p>
        </w:tc>
        <w:tc>
          <w:tcPr>
            <w:tcW w:w="1108" w:type="dxa"/>
          </w:tcPr>
          <w:p w14:paraId="7C86C550" w14:textId="77777777" w:rsidR="00DA702B" w:rsidRPr="00DA702B" w:rsidRDefault="00DA702B" w:rsidP="00DA702B">
            <w:pPr>
              <w:rPr>
                <w:sz w:val="20"/>
                <w:szCs w:val="20"/>
              </w:rPr>
            </w:pPr>
          </w:p>
        </w:tc>
        <w:tc>
          <w:tcPr>
            <w:tcW w:w="1108" w:type="dxa"/>
          </w:tcPr>
          <w:p w14:paraId="594C8C29" w14:textId="77777777" w:rsidR="00DA702B" w:rsidRPr="00DA702B" w:rsidRDefault="00DA702B" w:rsidP="00DA702B">
            <w:pPr>
              <w:rPr>
                <w:sz w:val="20"/>
                <w:szCs w:val="20"/>
              </w:rPr>
            </w:pPr>
          </w:p>
        </w:tc>
        <w:tc>
          <w:tcPr>
            <w:tcW w:w="1108" w:type="dxa"/>
          </w:tcPr>
          <w:p w14:paraId="68A9EE10" w14:textId="77777777" w:rsidR="00DA702B" w:rsidRPr="00DA702B" w:rsidRDefault="00DA702B" w:rsidP="00DA702B">
            <w:pPr>
              <w:rPr>
                <w:sz w:val="20"/>
                <w:szCs w:val="20"/>
              </w:rPr>
            </w:pPr>
          </w:p>
        </w:tc>
        <w:tc>
          <w:tcPr>
            <w:tcW w:w="1108" w:type="dxa"/>
          </w:tcPr>
          <w:p w14:paraId="5A1ECE9A" w14:textId="77777777" w:rsidR="00DA702B" w:rsidRPr="00DA702B" w:rsidRDefault="00DA702B" w:rsidP="00DA702B">
            <w:pPr>
              <w:rPr>
                <w:sz w:val="20"/>
                <w:szCs w:val="20"/>
              </w:rPr>
            </w:pPr>
          </w:p>
        </w:tc>
        <w:tc>
          <w:tcPr>
            <w:tcW w:w="1108" w:type="dxa"/>
          </w:tcPr>
          <w:p w14:paraId="6AE8CE46" w14:textId="77777777" w:rsidR="00DA702B" w:rsidRPr="00DA702B" w:rsidRDefault="00DA702B" w:rsidP="00DA702B">
            <w:pPr>
              <w:rPr>
                <w:sz w:val="20"/>
                <w:szCs w:val="20"/>
              </w:rPr>
            </w:pPr>
          </w:p>
        </w:tc>
      </w:tr>
      <w:tr w:rsidR="00DA702B" w:rsidRPr="00DA702B" w14:paraId="335E5875" w14:textId="77777777" w:rsidTr="00247007">
        <w:trPr>
          <w:trHeight w:val="346"/>
        </w:trPr>
        <w:tc>
          <w:tcPr>
            <w:tcW w:w="1106" w:type="dxa"/>
          </w:tcPr>
          <w:p w14:paraId="6D9A9388" w14:textId="77777777" w:rsidR="00DA702B" w:rsidRPr="00DA702B" w:rsidRDefault="00DA702B" w:rsidP="00DA702B">
            <w:pPr>
              <w:rPr>
                <w:sz w:val="20"/>
                <w:szCs w:val="20"/>
              </w:rPr>
            </w:pPr>
          </w:p>
        </w:tc>
        <w:tc>
          <w:tcPr>
            <w:tcW w:w="1107" w:type="dxa"/>
          </w:tcPr>
          <w:p w14:paraId="5E1AB2A8" w14:textId="77777777" w:rsidR="00DA702B" w:rsidRPr="00DA702B" w:rsidRDefault="00DA702B" w:rsidP="00DA702B">
            <w:pPr>
              <w:rPr>
                <w:sz w:val="20"/>
                <w:szCs w:val="20"/>
              </w:rPr>
            </w:pPr>
          </w:p>
        </w:tc>
        <w:tc>
          <w:tcPr>
            <w:tcW w:w="1107" w:type="dxa"/>
          </w:tcPr>
          <w:p w14:paraId="4144AE9F" w14:textId="77777777" w:rsidR="00DA702B" w:rsidRPr="00DA702B" w:rsidRDefault="00DA702B" w:rsidP="00DA702B">
            <w:pPr>
              <w:rPr>
                <w:sz w:val="20"/>
                <w:szCs w:val="20"/>
              </w:rPr>
            </w:pPr>
          </w:p>
        </w:tc>
        <w:tc>
          <w:tcPr>
            <w:tcW w:w="1108" w:type="dxa"/>
          </w:tcPr>
          <w:p w14:paraId="02EBF091" w14:textId="77777777" w:rsidR="00DA702B" w:rsidRPr="00DA702B" w:rsidRDefault="00DA702B" w:rsidP="00DA702B">
            <w:pPr>
              <w:rPr>
                <w:sz w:val="20"/>
                <w:szCs w:val="20"/>
              </w:rPr>
            </w:pPr>
          </w:p>
        </w:tc>
        <w:tc>
          <w:tcPr>
            <w:tcW w:w="1108" w:type="dxa"/>
          </w:tcPr>
          <w:p w14:paraId="3078A63F" w14:textId="77777777" w:rsidR="00DA702B" w:rsidRPr="00DA702B" w:rsidRDefault="00DA702B" w:rsidP="00DA702B">
            <w:pPr>
              <w:rPr>
                <w:sz w:val="20"/>
                <w:szCs w:val="20"/>
              </w:rPr>
            </w:pPr>
          </w:p>
        </w:tc>
        <w:tc>
          <w:tcPr>
            <w:tcW w:w="1108" w:type="dxa"/>
          </w:tcPr>
          <w:p w14:paraId="1F8E81E1" w14:textId="77777777" w:rsidR="00DA702B" w:rsidRPr="00DA702B" w:rsidRDefault="00DA702B" w:rsidP="00DA702B">
            <w:pPr>
              <w:rPr>
                <w:sz w:val="20"/>
                <w:szCs w:val="20"/>
              </w:rPr>
            </w:pPr>
          </w:p>
        </w:tc>
        <w:tc>
          <w:tcPr>
            <w:tcW w:w="1108" w:type="dxa"/>
          </w:tcPr>
          <w:p w14:paraId="391947B1" w14:textId="77777777" w:rsidR="00DA702B" w:rsidRPr="00DA702B" w:rsidRDefault="00DA702B" w:rsidP="00DA702B">
            <w:pPr>
              <w:rPr>
                <w:sz w:val="20"/>
                <w:szCs w:val="20"/>
              </w:rPr>
            </w:pPr>
          </w:p>
        </w:tc>
        <w:tc>
          <w:tcPr>
            <w:tcW w:w="1108" w:type="dxa"/>
          </w:tcPr>
          <w:p w14:paraId="19E0188F" w14:textId="77777777" w:rsidR="00DA702B" w:rsidRPr="00DA702B" w:rsidRDefault="00DA702B" w:rsidP="00DA702B">
            <w:pPr>
              <w:rPr>
                <w:sz w:val="20"/>
                <w:szCs w:val="20"/>
              </w:rPr>
            </w:pPr>
          </w:p>
        </w:tc>
        <w:tc>
          <w:tcPr>
            <w:tcW w:w="1108" w:type="dxa"/>
          </w:tcPr>
          <w:p w14:paraId="451AF5D3" w14:textId="77777777" w:rsidR="00DA702B" w:rsidRPr="00DA702B" w:rsidRDefault="00DA702B" w:rsidP="00DA702B">
            <w:pPr>
              <w:rPr>
                <w:sz w:val="20"/>
                <w:szCs w:val="20"/>
              </w:rPr>
            </w:pPr>
          </w:p>
        </w:tc>
        <w:tc>
          <w:tcPr>
            <w:tcW w:w="1108" w:type="dxa"/>
          </w:tcPr>
          <w:p w14:paraId="36556B42" w14:textId="77777777" w:rsidR="00DA702B" w:rsidRPr="00DA702B" w:rsidRDefault="00DA702B" w:rsidP="00DA702B">
            <w:pPr>
              <w:rPr>
                <w:sz w:val="20"/>
                <w:szCs w:val="20"/>
              </w:rPr>
            </w:pPr>
          </w:p>
        </w:tc>
        <w:tc>
          <w:tcPr>
            <w:tcW w:w="1108" w:type="dxa"/>
          </w:tcPr>
          <w:p w14:paraId="06008105" w14:textId="77777777" w:rsidR="00DA702B" w:rsidRPr="00DA702B" w:rsidRDefault="00DA702B" w:rsidP="00DA702B">
            <w:pPr>
              <w:rPr>
                <w:sz w:val="20"/>
                <w:szCs w:val="20"/>
              </w:rPr>
            </w:pPr>
          </w:p>
        </w:tc>
        <w:tc>
          <w:tcPr>
            <w:tcW w:w="1108" w:type="dxa"/>
          </w:tcPr>
          <w:p w14:paraId="5C625F93" w14:textId="77777777" w:rsidR="00DA702B" w:rsidRPr="00DA702B" w:rsidRDefault="00DA702B" w:rsidP="00DA702B">
            <w:pPr>
              <w:rPr>
                <w:sz w:val="20"/>
                <w:szCs w:val="20"/>
              </w:rPr>
            </w:pPr>
          </w:p>
        </w:tc>
        <w:tc>
          <w:tcPr>
            <w:tcW w:w="1108" w:type="dxa"/>
          </w:tcPr>
          <w:p w14:paraId="44F98489" w14:textId="77777777" w:rsidR="00DA702B" w:rsidRPr="00DA702B" w:rsidRDefault="00DA702B" w:rsidP="00DA702B">
            <w:pPr>
              <w:rPr>
                <w:sz w:val="20"/>
                <w:szCs w:val="20"/>
              </w:rPr>
            </w:pPr>
          </w:p>
        </w:tc>
      </w:tr>
      <w:tr w:rsidR="00DA702B" w:rsidRPr="00DA702B" w14:paraId="15B3B95B" w14:textId="77777777" w:rsidTr="00247007">
        <w:trPr>
          <w:trHeight w:val="346"/>
        </w:trPr>
        <w:tc>
          <w:tcPr>
            <w:tcW w:w="1106" w:type="dxa"/>
          </w:tcPr>
          <w:p w14:paraId="45744E6E" w14:textId="77777777" w:rsidR="00DA702B" w:rsidRPr="00DA702B" w:rsidRDefault="00DA702B" w:rsidP="00DA702B">
            <w:pPr>
              <w:rPr>
                <w:sz w:val="20"/>
                <w:szCs w:val="20"/>
              </w:rPr>
            </w:pPr>
          </w:p>
        </w:tc>
        <w:tc>
          <w:tcPr>
            <w:tcW w:w="1107" w:type="dxa"/>
          </w:tcPr>
          <w:p w14:paraId="19F1A835" w14:textId="77777777" w:rsidR="00DA702B" w:rsidRPr="00DA702B" w:rsidRDefault="00DA702B" w:rsidP="00DA702B">
            <w:pPr>
              <w:rPr>
                <w:sz w:val="20"/>
                <w:szCs w:val="20"/>
              </w:rPr>
            </w:pPr>
          </w:p>
        </w:tc>
        <w:tc>
          <w:tcPr>
            <w:tcW w:w="1107" w:type="dxa"/>
          </w:tcPr>
          <w:p w14:paraId="66CEAF5A" w14:textId="77777777" w:rsidR="00DA702B" w:rsidRPr="00DA702B" w:rsidRDefault="00DA702B" w:rsidP="00DA702B">
            <w:pPr>
              <w:rPr>
                <w:sz w:val="20"/>
                <w:szCs w:val="20"/>
              </w:rPr>
            </w:pPr>
          </w:p>
        </w:tc>
        <w:tc>
          <w:tcPr>
            <w:tcW w:w="1108" w:type="dxa"/>
          </w:tcPr>
          <w:p w14:paraId="2229EF15" w14:textId="77777777" w:rsidR="00DA702B" w:rsidRPr="00DA702B" w:rsidRDefault="00DA702B" w:rsidP="00DA702B">
            <w:pPr>
              <w:rPr>
                <w:sz w:val="20"/>
                <w:szCs w:val="20"/>
              </w:rPr>
            </w:pPr>
          </w:p>
        </w:tc>
        <w:tc>
          <w:tcPr>
            <w:tcW w:w="1108" w:type="dxa"/>
          </w:tcPr>
          <w:p w14:paraId="3DC5B4DF" w14:textId="77777777" w:rsidR="00DA702B" w:rsidRPr="00DA702B" w:rsidRDefault="00DA702B" w:rsidP="00DA702B">
            <w:pPr>
              <w:rPr>
                <w:sz w:val="20"/>
                <w:szCs w:val="20"/>
              </w:rPr>
            </w:pPr>
          </w:p>
        </w:tc>
        <w:tc>
          <w:tcPr>
            <w:tcW w:w="1108" w:type="dxa"/>
          </w:tcPr>
          <w:p w14:paraId="64B8AA59" w14:textId="77777777" w:rsidR="00DA702B" w:rsidRPr="00DA702B" w:rsidRDefault="00DA702B" w:rsidP="00DA702B">
            <w:pPr>
              <w:rPr>
                <w:sz w:val="20"/>
                <w:szCs w:val="20"/>
              </w:rPr>
            </w:pPr>
          </w:p>
        </w:tc>
        <w:tc>
          <w:tcPr>
            <w:tcW w:w="1108" w:type="dxa"/>
          </w:tcPr>
          <w:p w14:paraId="1B6C0248" w14:textId="77777777" w:rsidR="00DA702B" w:rsidRPr="00DA702B" w:rsidRDefault="00DA702B" w:rsidP="00DA702B">
            <w:pPr>
              <w:rPr>
                <w:sz w:val="20"/>
                <w:szCs w:val="20"/>
              </w:rPr>
            </w:pPr>
          </w:p>
        </w:tc>
        <w:tc>
          <w:tcPr>
            <w:tcW w:w="1108" w:type="dxa"/>
          </w:tcPr>
          <w:p w14:paraId="19A057DB" w14:textId="77777777" w:rsidR="00DA702B" w:rsidRPr="00DA702B" w:rsidRDefault="00DA702B" w:rsidP="00DA702B">
            <w:pPr>
              <w:rPr>
                <w:sz w:val="20"/>
                <w:szCs w:val="20"/>
              </w:rPr>
            </w:pPr>
          </w:p>
        </w:tc>
        <w:tc>
          <w:tcPr>
            <w:tcW w:w="1108" w:type="dxa"/>
          </w:tcPr>
          <w:p w14:paraId="37571BEA" w14:textId="77777777" w:rsidR="00DA702B" w:rsidRPr="00DA702B" w:rsidRDefault="00DA702B" w:rsidP="00DA702B">
            <w:pPr>
              <w:rPr>
                <w:sz w:val="20"/>
                <w:szCs w:val="20"/>
              </w:rPr>
            </w:pPr>
          </w:p>
        </w:tc>
        <w:tc>
          <w:tcPr>
            <w:tcW w:w="1108" w:type="dxa"/>
          </w:tcPr>
          <w:p w14:paraId="23D6B20E" w14:textId="77777777" w:rsidR="00DA702B" w:rsidRPr="00DA702B" w:rsidRDefault="00DA702B" w:rsidP="00DA702B">
            <w:pPr>
              <w:rPr>
                <w:sz w:val="20"/>
                <w:szCs w:val="20"/>
              </w:rPr>
            </w:pPr>
          </w:p>
        </w:tc>
        <w:tc>
          <w:tcPr>
            <w:tcW w:w="1108" w:type="dxa"/>
          </w:tcPr>
          <w:p w14:paraId="7E7998F3" w14:textId="77777777" w:rsidR="00DA702B" w:rsidRPr="00DA702B" w:rsidRDefault="00DA702B" w:rsidP="00DA702B">
            <w:pPr>
              <w:rPr>
                <w:sz w:val="20"/>
                <w:szCs w:val="20"/>
              </w:rPr>
            </w:pPr>
          </w:p>
        </w:tc>
        <w:tc>
          <w:tcPr>
            <w:tcW w:w="1108" w:type="dxa"/>
          </w:tcPr>
          <w:p w14:paraId="19EDA8A0" w14:textId="77777777" w:rsidR="00DA702B" w:rsidRPr="00DA702B" w:rsidRDefault="00DA702B" w:rsidP="00DA702B">
            <w:pPr>
              <w:rPr>
                <w:sz w:val="20"/>
                <w:szCs w:val="20"/>
              </w:rPr>
            </w:pPr>
          </w:p>
        </w:tc>
        <w:tc>
          <w:tcPr>
            <w:tcW w:w="1108" w:type="dxa"/>
          </w:tcPr>
          <w:p w14:paraId="4D6ACFD3" w14:textId="77777777" w:rsidR="00DA702B" w:rsidRPr="00DA702B" w:rsidRDefault="00DA702B" w:rsidP="00DA702B">
            <w:pPr>
              <w:rPr>
                <w:sz w:val="20"/>
                <w:szCs w:val="20"/>
              </w:rPr>
            </w:pPr>
          </w:p>
        </w:tc>
      </w:tr>
      <w:tr w:rsidR="00DA702B" w:rsidRPr="00DA702B" w14:paraId="74D0A32A" w14:textId="77777777" w:rsidTr="00247007">
        <w:trPr>
          <w:trHeight w:val="346"/>
        </w:trPr>
        <w:tc>
          <w:tcPr>
            <w:tcW w:w="1106" w:type="dxa"/>
          </w:tcPr>
          <w:p w14:paraId="2ADA9A86" w14:textId="77777777" w:rsidR="00DA702B" w:rsidRPr="00DA702B" w:rsidRDefault="00DA702B" w:rsidP="00DA702B">
            <w:pPr>
              <w:rPr>
                <w:sz w:val="20"/>
                <w:szCs w:val="20"/>
              </w:rPr>
            </w:pPr>
          </w:p>
        </w:tc>
        <w:tc>
          <w:tcPr>
            <w:tcW w:w="1107" w:type="dxa"/>
          </w:tcPr>
          <w:p w14:paraId="1F66BE94" w14:textId="77777777" w:rsidR="00DA702B" w:rsidRPr="00DA702B" w:rsidRDefault="00DA702B" w:rsidP="00DA702B">
            <w:pPr>
              <w:rPr>
                <w:sz w:val="20"/>
                <w:szCs w:val="20"/>
              </w:rPr>
            </w:pPr>
          </w:p>
        </w:tc>
        <w:tc>
          <w:tcPr>
            <w:tcW w:w="1107" w:type="dxa"/>
          </w:tcPr>
          <w:p w14:paraId="43A9FA93" w14:textId="77777777" w:rsidR="00DA702B" w:rsidRPr="00DA702B" w:rsidRDefault="00DA702B" w:rsidP="00DA702B">
            <w:pPr>
              <w:rPr>
                <w:sz w:val="20"/>
                <w:szCs w:val="20"/>
              </w:rPr>
            </w:pPr>
          </w:p>
        </w:tc>
        <w:tc>
          <w:tcPr>
            <w:tcW w:w="1108" w:type="dxa"/>
          </w:tcPr>
          <w:p w14:paraId="6AFEA5D4" w14:textId="77777777" w:rsidR="00DA702B" w:rsidRPr="00DA702B" w:rsidRDefault="00DA702B" w:rsidP="00DA702B">
            <w:pPr>
              <w:rPr>
                <w:sz w:val="20"/>
                <w:szCs w:val="20"/>
              </w:rPr>
            </w:pPr>
          </w:p>
        </w:tc>
        <w:tc>
          <w:tcPr>
            <w:tcW w:w="1108" w:type="dxa"/>
          </w:tcPr>
          <w:p w14:paraId="462C9A58" w14:textId="77777777" w:rsidR="00DA702B" w:rsidRPr="00DA702B" w:rsidRDefault="00DA702B" w:rsidP="00DA702B">
            <w:pPr>
              <w:rPr>
                <w:sz w:val="20"/>
                <w:szCs w:val="20"/>
              </w:rPr>
            </w:pPr>
          </w:p>
        </w:tc>
        <w:tc>
          <w:tcPr>
            <w:tcW w:w="1108" w:type="dxa"/>
          </w:tcPr>
          <w:p w14:paraId="382A0433" w14:textId="77777777" w:rsidR="00DA702B" w:rsidRPr="00DA702B" w:rsidRDefault="00DA702B" w:rsidP="00DA702B">
            <w:pPr>
              <w:rPr>
                <w:sz w:val="20"/>
                <w:szCs w:val="20"/>
              </w:rPr>
            </w:pPr>
          </w:p>
        </w:tc>
        <w:tc>
          <w:tcPr>
            <w:tcW w:w="1108" w:type="dxa"/>
          </w:tcPr>
          <w:p w14:paraId="3EEFF763" w14:textId="77777777" w:rsidR="00DA702B" w:rsidRPr="00DA702B" w:rsidRDefault="00DA702B" w:rsidP="00DA702B">
            <w:pPr>
              <w:rPr>
                <w:sz w:val="20"/>
                <w:szCs w:val="20"/>
              </w:rPr>
            </w:pPr>
          </w:p>
        </w:tc>
        <w:tc>
          <w:tcPr>
            <w:tcW w:w="1108" w:type="dxa"/>
          </w:tcPr>
          <w:p w14:paraId="16F26929" w14:textId="77777777" w:rsidR="00DA702B" w:rsidRPr="00DA702B" w:rsidRDefault="00DA702B" w:rsidP="00DA702B">
            <w:pPr>
              <w:rPr>
                <w:sz w:val="20"/>
                <w:szCs w:val="20"/>
              </w:rPr>
            </w:pPr>
          </w:p>
        </w:tc>
        <w:tc>
          <w:tcPr>
            <w:tcW w:w="1108" w:type="dxa"/>
          </w:tcPr>
          <w:p w14:paraId="6CB8F55A" w14:textId="77777777" w:rsidR="00DA702B" w:rsidRPr="00DA702B" w:rsidRDefault="00DA702B" w:rsidP="00DA702B">
            <w:pPr>
              <w:rPr>
                <w:sz w:val="20"/>
                <w:szCs w:val="20"/>
              </w:rPr>
            </w:pPr>
          </w:p>
        </w:tc>
        <w:tc>
          <w:tcPr>
            <w:tcW w:w="1108" w:type="dxa"/>
          </w:tcPr>
          <w:p w14:paraId="0EA96506" w14:textId="77777777" w:rsidR="00DA702B" w:rsidRPr="00DA702B" w:rsidRDefault="00DA702B" w:rsidP="00DA702B">
            <w:pPr>
              <w:rPr>
                <w:sz w:val="20"/>
                <w:szCs w:val="20"/>
              </w:rPr>
            </w:pPr>
          </w:p>
        </w:tc>
        <w:tc>
          <w:tcPr>
            <w:tcW w:w="1108" w:type="dxa"/>
          </w:tcPr>
          <w:p w14:paraId="13955D3E" w14:textId="77777777" w:rsidR="00DA702B" w:rsidRPr="00DA702B" w:rsidRDefault="00DA702B" w:rsidP="00DA702B">
            <w:pPr>
              <w:rPr>
                <w:sz w:val="20"/>
                <w:szCs w:val="20"/>
              </w:rPr>
            </w:pPr>
          </w:p>
        </w:tc>
        <w:tc>
          <w:tcPr>
            <w:tcW w:w="1108" w:type="dxa"/>
          </w:tcPr>
          <w:p w14:paraId="6426C0A1" w14:textId="77777777" w:rsidR="00DA702B" w:rsidRPr="00DA702B" w:rsidRDefault="00DA702B" w:rsidP="00DA702B">
            <w:pPr>
              <w:rPr>
                <w:sz w:val="20"/>
                <w:szCs w:val="20"/>
              </w:rPr>
            </w:pPr>
          </w:p>
        </w:tc>
        <w:tc>
          <w:tcPr>
            <w:tcW w:w="1108" w:type="dxa"/>
          </w:tcPr>
          <w:p w14:paraId="3DB8C7AA" w14:textId="77777777" w:rsidR="00DA702B" w:rsidRPr="00DA702B" w:rsidRDefault="00DA702B" w:rsidP="00DA702B">
            <w:pPr>
              <w:rPr>
                <w:sz w:val="20"/>
                <w:szCs w:val="20"/>
              </w:rPr>
            </w:pPr>
          </w:p>
        </w:tc>
      </w:tr>
      <w:tr w:rsidR="00DA702B" w:rsidRPr="00DA702B" w14:paraId="4A36D278" w14:textId="77777777" w:rsidTr="00247007">
        <w:trPr>
          <w:trHeight w:val="346"/>
        </w:trPr>
        <w:tc>
          <w:tcPr>
            <w:tcW w:w="1106" w:type="dxa"/>
          </w:tcPr>
          <w:p w14:paraId="03107D5E" w14:textId="77777777" w:rsidR="00DA702B" w:rsidRPr="00DA702B" w:rsidRDefault="00DA702B" w:rsidP="00DA702B">
            <w:pPr>
              <w:rPr>
                <w:sz w:val="20"/>
                <w:szCs w:val="20"/>
              </w:rPr>
            </w:pPr>
          </w:p>
        </w:tc>
        <w:tc>
          <w:tcPr>
            <w:tcW w:w="1107" w:type="dxa"/>
          </w:tcPr>
          <w:p w14:paraId="2AA64369" w14:textId="77777777" w:rsidR="00DA702B" w:rsidRPr="00DA702B" w:rsidRDefault="00DA702B" w:rsidP="00DA702B">
            <w:pPr>
              <w:rPr>
                <w:sz w:val="20"/>
                <w:szCs w:val="20"/>
              </w:rPr>
            </w:pPr>
          </w:p>
        </w:tc>
        <w:tc>
          <w:tcPr>
            <w:tcW w:w="1107" w:type="dxa"/>
          </w:tcPr>
          <w:p w14:paraId="4774D8D4" w14:textId="77777777" w:rsidR="00DA702B" w:rsidRPr="00DA702B" w:rsidRDefault="00DA702B" w:rsidP="00DA702B">
            <w:pPr>
              <w:rPr>
                <w:sz w:val="20"/>
                <w:szCs w:val="20"/>
              </w:rPr>
            </w:pPr>
          </w:p>
        </w:tc>
        <w:tc>
          <w:tcPr>
            <w:tcW w:w="1108" w:type="dxa"/>
          </w:tcPr>
          <w:p w14:paraId="68AF2B02" w14:textId="77777777" w:rsidR="00DA702B" w:rsidRPr="00DA702B" w:rsidRDefault="00DA702B" w:rsidP="00DA702B">
            <w:pPr>
              <w:rPr>
                <w:sz w:val="20"/>
                <w:szCs w:val="20"/>
              </w:rPr>
            </w:pPr>
          </w:p>
        </w:tc>
        <w:tc>
          <w:tcPr>
            <w:tcW w:w="1108" w:type="dxa"/>
          </w:tcPr>
          <w:p w14:paraId="2311DE72" w14:textId="77777777" w:rsidR="00DA702B" w:rsidRPr="00DA702B" w:rsidRDefault="00DA702B" w:rsidP="00DA702B">
            <w:pPr>
              <w:rPr>
                <w:sz w:val="20"/>
                <w:szCs w:val="20"/>
              </w:rPr>
            </w:pPr>
          </w:p>
        </w:tc>
        <w:tc>
          <w:tcPr>
            <w:tcW w:w="1108" w:type="dxa"/>
          </w:tcPr>
          <w:p w14:paraId="7F8F7268" w14:textId="77777777" w:rsidR="00DA702B" w:rsidRPr="00DA702B" w:rsidRDefault="00DA702B" w:rsidP="00DA702B">
            <w:pPr>
              <w:rPr>
                <w:sz w:val="20"/>
                <w:szCs w:val="20"/>
              </w:rPr>
            </w:pPr>
          </w:p>
        </w:tc>
        <w:tc>
          <w:tcPr>
            <w:tcW w:w="1108" w:type="dxa"/>
          </w:tcPr>
          <w:p w14:paraId="3D250C6C" w14:textId="77777777" w:rsidR="00DA702B" w:rsidRPr="00DA702B" w:rsidRDefault="00DA702B" w:rsidP="00DA702B">
            <w:pPr>
              <w:rPr>
                <w:sz w:val="20"/>
                <w:szCs w:val="20"/>
              </w:rPr>
            </w:pPr>
          </w:p>
        </w:tc>
        <w:tc>
          <w:tcPr>
            <w:tcW w:w="1108" w:type="dxa"/>
          </w:tcPr>
          <w:p w14:paraId="515A62D3" w14:textId="77777777" w:rsidR="00DA702B" w:rsidRPr="00DA702B" w:rsidRDefault="00DA702B" w:rsidP="00DA702B">
            <w:pPr>
              <w:rPr>
                <w:sz w:val="20"/>
                <w:szCs w:val="20"/>
              </w:rPr>
            </w:pPr>
          </w:p>
        </w:tc>
        <w:tc>
          <w:tcPr>
            <w:tcW w:w="1108" w:type="dxa"/>
          </w:tcPr>
          <w:p w14:paraId="138E1F75" w14:textId="77777777" w:rsidR="00DA702B" w:rsidRPr="00DA702B" w:rsidRDefault="00DA702B" w:rsidP="00DA702B">
            <w:pPr>
              <w:rPr>
                <w:sz w:val="20"/>
                <w:szCs w:val="20"/>
              </w:rPr>
            </w:pPr>
          </w:p>
        </w:tc>
        <w:tc>
          <w:tcPr>
            <w:tcW w:w="1108" w:type="dxa"/>
          </w:tcPr>
          <w:p w14:paraId="4E598712" w14:textId="77777777" w:rsidR="00DA702B" w:rsidRPr="00DA702B" w:rsidRDefault="00DA702B" w:rsidP="00DA702B">
            <w:pPr>
              <w:rPr>
                <w:sz w:val="20"/>
                <w:szCs w:val="20"/>
              </w:rPr>
            </w:pPr>
          </w:p>
        </w:tc>
        <w:tc>
          <w:tcPr>
            <w:tcW w:w="1108" w:type="dxa"/>
          </w:tcPr>
          <w:p w14:paraId="5B9FA6E3" w14:textId="77777777" w:rsidR="00DA702B" w:rsidRPr="00DA702B" w:rsidRDefault="00DA702B" w:rsidP="00DA702B">
            <w:pPr>
              <w:rPr>
                <w:sz w:val="20"/>
                <w:szCs w:val="20"/>
              </w:rPr>
            </w:pPr>
          </w:p>
        </w:tc>
        <w:tc>
          <w:tcPr>
            <w:tcW w:w="1108" w:type="dxa"/>
          </w:tcPr>
          <w:p w14:paraId="16D23B24" w14:textId="77777777" w:rsidR="00DA702B" w:rsidRPr="00DA702B" w:rsidRDefault="00DA702B" w:rsidP="00DA702B">
            <w:pPr>
              <w:rPr>
                <w:sz w:val="20"/>
                <w:szCs w:val="20"/>
              </w:rPr>
            </w:pPr>
          </w:p>
        </w:tc>
        <w:tc>
          <w:tcPr>
            <w:tcW w:w="1108" w:type="dxa"/>
          </w:tcPr>
          <w:p w14:paraId="1A33A467" w14:textId="77777777" w:rsidR="00DA702B" w:rsidRPr="00DA702B" w:rsidRDefault="00DA702B" w:rsidP="00DA702B">
            <w:pPr>
              <w:rPr>
                <w:sz w:val="20"/>
                <w:szCs w:val="20"/>
              </w:rPr>
            </w:pPr>
          </w:p>
        </w:tc>
      </w:tr>
      <w:tr w:rsidR="00DA702B" w:rsidRPr="00DA702B" w14:paraId="22DDC957" w14:textId="77777777" w:rsidTr="00247007">
        <w:trPr>
          <w:trHeight w:val="346"/>
        </w:trPr>
        <w:tc>
          <w:tcPr>
            <w:tcW w:w="1106" w:type="dxa"/>
          </w:tcPr>
          <w:p w14:paraId="34351146" w14:textId="77777777" w:rsidR="00DA702B" w:rsidRPr="00DA702B" w:rsidRDefault="00DA702B" w:rsidP="00DA702B">
            <w:pPr>
              <w:rPr>
                <w:sz w:val="20"/>
                <w:szCs w:val="20"/>
              </w:rPr>
            </w:pPr>
          </w:p>
        </w:tc>
        <w:tc>
          <w:tcPr>
            <w:tcW w:w="1107" w:type="dxa"/>
          </w:tcPr>
          <w:p w14:paraId="72E46F70" w14:textId="77777777" w:rsidR="00DA702B" w:rsidRPr="00DA702B" w:rsidRDefault="00DA702B" w:rsidP="00DA702B">
            <w:pPr>
              <w:rPr>
                <w:sz w:val="20"/>
                <w:szCs w:val="20"/>
              </w:rPr>
            </w:pPr>
          </w:p>
        </w:tc>
        <w:tc>
          <w:tcPr>
            <w:tcW w:w="1107" w:type="dxa"/>
          </w:tcPr>
          <w:p w14:paraId="409400B1" w14:textId="77777777" w:rsidR="00DA702B" w:rsidRPr="00DA702B" w:rsidRDefault="00DA702B" w:rsidP="00DA702B">
            <w:pPr>
              <w:rPr>
                <w:sz w:val="20"/>
                <w:szCs w:val="20"/>
              </w:rPr>
            </w:pPr>
          </w:p>
        </w:tc>
        <w:tc>
          <w:tcPr>
            <w:tcW w:w="1108" w:type="dxa"/>
          </w:tcPr>
          <w:p w14:paraId="08EB5A73" w14:textId="77777777" w:rsidR="00DA702B" w:rsidRPr="00DA702B" w:rsidRDefault="00DA702B" w:rsidP="00DA702B">
            <w:pPr>
              <w:rPr>
                <w:sz w:val="20"/>
                <w:szCs w:val="20"/>
              </w:rPr>
            </w:pPr>
          </w:p>
        </w:tc>
        <w:tc>
          <w:tcPr>
            <w:tcW w:w="1108" w:type="dxa"/>
          </w:tcPr>
          <w:p w14:paraId="47F9A094" w14:textId="77777777" w:rsidR="00DA702B" w:rsidRPr="00DA702B" w:rsidRDefault="00DA702B" w:rsidP="00DA702B">
            <w:pPr>
              <w:rPr>
                <w:sz w:val="20"/>
                <w:szCs w:val="20"/>
              </w:rPr>
            </w:pPr>
          </w:p>
        </w:tc>
        <w:tc>
          <w:tcPr>
            <w:tcW w:w="1108" w:type="dxa"/>
          </w:tcPr>
          <w:p w14:paraId="4E922D73" w14:textId="77777777" w:rsidR="00DA702B" w:rsidRPr="00DA702B" w:rsidRDefault="00DA702B" w:rsidP="00DA702B">
            <w:pPr>
              <w:rPr>
                <w:sz w:val="20"/>
                <w:szCs w:val="20"/>
              </w:rPr>
            </w:pPr>
          </w:p>
        </w:tc>
        <w:tc>
          <w:tcPr>
            <w:tcW w:w="1108" w:type="dxa"/>
          </w:tcPr>
          <w:p w14:paraId="58E66CE4" w14:textId="77777777" w:rsidR="00DA702B" w:rsidRPr="00DA702B" w:rsidRDefault="00DA702B" w:rsidP="00DA702B">
            <w:pPr>
              <w:rPr>
                <w:sz w:val="20"/>
                <w:szCs w:val="20"/>
              </w:rPr>
            </w:pPr>
          </w:p>
        </w:tc>
        <w:tc>
          <w:tcPr>
            <w:tcW w:w="1108" w:type="dxa"/>
          </w:tcPr>
          <w:p w14:paraId="1AEC580C" w14:textId="77777777" w:rsidR="00DA702B" w:rsidRPr="00DA702B" w:rsidRDefault="00DA702B" w:rsidP="00DA702B">
            <w:pPr>
              <w:rPr>
                <w:sz w:val="20"/>
                <w:szCs w:val="20"/>
              </w:rPr>
            </w:pPr>
          </w:p>
        </w:tc>
        <w:tc>
          <w:tcPr>
            <w:tcW w:w="1108" w:type="dxa"/>
          </w:tcPr>
          <w:p w14:paraId="77FA8971" w14:textId="77777777" w:rsidR="00DA702B" w:rsidRPr="00DA702B" w:rsidRDefault="00DA702B" w:rsidP="00DA702B">
            <w:pPr>
              <w:rPr>
                <w:sz w:val="20"/>
                <w:szCs w:val="20"/>
              </w:rPr>
            </w:pPr>
          </w:p>
        </w:tc>
        <w:tc>
          <w:tcPr>
            <w:tcW w:w="1108" w:type="dxa"/>
          </w:tcPr>
          <w:p w14:paraId="6177A005" w14:textId="77777777" w:rsidR="00DA702B" w:rsidRPr="00DA702B" w:rsidRDefault="00DA702B" w:rsidP="00DA702B">
            <w:pPr>
              <w:rPr>
                <w:sz w:val="20"/>
                <w:szCs w:val="20"/>
              </w:rPr>
            </w:pPr>
          </w:p>
        </w:tc>
        <w:tc>
          <w:tcPr>
            <w:tcW w:w="1108" w:type="dxa"/>
          </w:tcPr>
          <w:p w14:paraId="4542D647" w14:textId="77777777" w:rsidR="00DA702B" w:rsidRPr="00DA702B" w:rsidRDefault="00DA702B" w:rsidP="00DA702B">
            <w:pPr>
              <w:rPr>
                <w:sz w:val="20"/>
                <w:szCs w:val="20"/>
              </w:rPr>
            </w:pPr>
          </w:p>
        </w:tc>
        <w:tc>
          <w:tcPr>
            <w:tcW w:w="1108" w:type="dxa"/>
          </w:tcPr>
          <w:p w14:paraId="3023424D" w14:textId="77777777" w:rsidR="00DA702B" w:rsidRPr="00DA702B" w:rsidRDefault="00DA702B" w:rsidP="00DA702B">
            <w:pPr>
              <w:rPr>
                <w:sz w:val="20"/>
                <w:szCs w:val="20"/>
              </w:rPr>
            </w:pPr>
          </w:p>
        </w:tc>
        <w:tc>
          <w:tcPr>
            <w:tcW w:w="1108" w:type="dxa"/>
          </w:tcPr>
          <w:p w14:paraId="53B35C03" w14:textId="77777777" w:rsidR="00DA702B" w:rsidRPr="00DA702B" w:rsidRDefault="00DA702B" w:rsidP="00DA702B">
            <w:pPr>
              <w:rPr>
                <w:sz w:val="20"/>
                <w:szCs w:val="20"/>
              </w:rPr>
            </w:pPr>
          </w:p>
        </w:tc>
      </w:tr>
      <w:tr w:rsidR="00DA702B" w:rsidRPr="00DA702B" w14:paraId="30BFF8A3" w14:textId="77777777" w:rsidTr="00247007">
        <w:trPr>
          <w:trHeight w:val="346"/>
        </w:trPr>
        <w:tc>
          <w:tcPr>
            <w:tcW w:w="1106" w:type="dxa"/>
          </w:tcPr>
          <w:p w14:paraId="3181D7D0" w14:textId="77777777" w:rsidR="00DA702B" w:rsidRPr="00DA702B" w:rsidRDefault="00DA702B" w:rsidP="00DA702B">
            <w:pPr>
              <w:rPr>
                <w:sz w:val="20"/>
                <w:szCs w:val="20"/>
              </w:rPr>
            </w:pPr>
          </w:p>
        </w:tc>
        <w:tc>
          <w:tcPr>
            <w:tcW w:w="1107" w:type="dxa"/>
          </w:tcPr>
          <w:p w14:paraId="5D410BCB" w14:textId="77777777" w:rsidR="00DA702B" w:rsidRPr="00DA702B" w:rsidRDefault="00DA702B" w:rsidP="00DA702B">
            <w:pPr>
              <w:rPr>
                <w:sz w:val="20"/>
                <w:szCs w:val="20"/>
              </w:rPr>
            </w:pPr>
          </w:p>
        </w:tc>
        <w:tc>
          <w:tcPr>
            <w:tcW w:w="1107" w:type="dxa"/>
          </w:tcPr>
          <w:p w14:paraId="236E64A8" w14:textId="77777777" w:rsidR="00DA702B" w:rsidRPr="00DA702B" w:rsidRDefault="00DA702B" w:rsidP="00DA702B">
            <w:pPr>
              <w:rPr>
                <w:sz w:val="20"/>
                <w:szCs w:val="20"/>
              </w:rPr>
            </w:pPr>
          </w:p>
        </w:tc>
        <w:tc>
          <w:tcPr>
            <w:tcW w:w="1108" w:type="dxa"/>
          </w:tcPr>
          <w:p w14:paraId="5D1848D0" w14:textId="77777777" w:rsidR="00DA702B" w:rsidRPr="00DA702B" w:rsidRDefault="00DA702B" w:rsidP="00DA702B">
            <w:pPr>
              <w:rPr>
                <w:sz w:val="20"/>
                <w:szCs w:val="20"/>
              </w:rPr>
            </w:pPr>
          </w:p>
        </w:tc>
        <w:tc>
          <w:tcPr>
            <w:tcW w:w="1108" w:type="dxa"/>
          </w:tcPr>
          <w:p w14:paraId="07AE2DDB" w14:textId="77777777" w:rsidR="00DA702B" w:rsidRPr="00DA702B" w:rsidRDefault="00DA702B" w:rsidP="00DA702B">
            <w:pPr>
              <w:rPr>
                <w:sz w:val="20"/>
                <w:szCs w:val="20"/>
              </w:rPr>
            </w:pPr>
          </w:p>
        </w:tc>
        <w:tc>
          <w:tcPr>
            <w:tcW w:w="1108" w:type="dxa"/>
          </w:tcPr>
          <w:p w14:paraId="4021D950" w14:textId="77777777" w:rsidR="00DA702B" w:rsidRPr="00DA702B" w:rsidRDefault="00DA702B" w:rsidP="00DA702B">
            <w:pPr>
              <w:rPr>
                <w:sz w:val="20"/>
                <w:szCs w:val="20"/>
              </w:rPr>
            </w:pPr>
          </w:p>
        </w:tc>
        <w:tc>
          <w:tcPr>
            <w:tcW w:w="1108" w:type="dxa"/>
          </w:tcPr>
          <w:p w14:paraId="6D9AB916" w14:textId="77777777" w:rsidR="00DA702B" w:rsidRPr="00DA702B" w:rsidRDefault="00DA702B" w:rsidP="00DA702B">
            <w:pPr>
              <w:rPr>
                <w:sz w:val="20"/>
                <w:szCs w:val="20"/>
              </w:rPr>
            </w:pPr>
          </w:p>
        </w:tc>
        <w:tc>
          <w:tcPr>
            <w:tcW w:w="1108" w:type="dxa"/>
          </w:tcPr>
          <w:p w14:paraId="63BB77D4" w14:textId="77777777" w:rsidR="00DA702B" w:rsidRPr="00DA702B" w:rsidRDefault="00DA702B" w:rsidP="00DA702B">
            <w:pPr>
              <w:rPr>
                <w:sz w:val="20"/>
                <w:szCs w:val="20"/>
              </w:rPr>
            </w:pPr>
          </w:p>
        </w:tc>
        <w:tc>
          <w:tcPr>
            <w:tcW w:w="1108" w:type="dxa"/>
          </w:tcPr>
          <w:p w14:paraId="29F0DD27" w14:textId="77777777" w:rsidR="00DA702B" w:rsidRPr="00DA702B" w:rsidRDefault="00DA702B" w:rsidP="00DA702B">
            <w:pPr>
              <w:rPr>
                <w:sz w:val="20"/>
                <w:szCs w:val="20"/>
              </w:rPr>
            </w:pPr>
          </w:p>
        </w:tc>
        <w:tc>
          <w:tcPr>
            <w:tcW w:w="1108" w:type="dxa"/>
          </w:tcPr>
          <w:p w14:paraId="1860F28B" w14:textId="77777777" w:rsidR="00DA702B" w:rsidRPr="00DA702B" w:rsidRDefault="00DA702B" w:rsidP="00DA702B">
            <w:pPr>
              <w:rPr>
                <w:sz w:val="20"/>
                <w:szCs w:val="20"/>
              </w:rPr>
            </w:pPr>
          </w:p>
        </w:tc>
        <w:tc>
          <w:tcPr>
            <w:tcW w:w="1108" w:type="dxa"/>
          </w:tcPr>
          <w:p w14:paraId="5A457C03" w14:textId="77777777" w:rsidR="00DA702B" w:rsidRPr="00DA702B" w:rsidRDefault="00DA702B" w:rsidP="00DA702B">
            <w:pPr>
              <w:rPr>
                <w:sz w:val="20"/>
                <w:szCs w:val="20"/>
              </w:rPr>
            </w:pPr>
          </w:p>
        </w:tc>
        <w:tc>
          <w:tcPr>
            <w:tcW w:w="1108" w:type="dxa"/>
          </w:tcPr>
          <w:p w14:paraId="36B35DCD" w14:textId="77777777" w:rsidR="00DA702B" w:rsidRPr="00DA702B" w:rsidRDefault="00DA702B" w:rsidP="00DA702B">
            <w:pPr>
              <w:rPr>
                <w:sz w:val="20"/>
                <w:szCs w:val="20"/>
              </w:rPr>
            </w:pPr>
          </w:p>
        </w:tc>
        <w:tc>
          <w:tcPr>
            <w:tcW w:w="1108" w:type="dxa"/>
          </w:tcPr>
          <w:p w14:paraId="1A224BBB" w14:textId="77777777" w:rsidR="00DA702B" w:rsidRPr="00DA702B" w:rsidRDefault="00DA702B" w:rsidP="00DA702B">
            <w:pPr>
              <w:rPr>
                <w:sz w:val="20"/>
                <w:szCs w:val="20"/>
              </w:rPr>
            </w:pPr>
          </w:p>
        </w:tc>
      </w:tr>
      <w:tr w:rsidR="00DA702B" w:rsidRPr="00DA702B" w14:paraId="6F809F00" w14:textId="77777777" w:rsidTr="00247007">
        <w:trPr>
          <w:trHeight w:val="346"/>
        </w:trPr>
        <w:tc>
          <w:tcPr>
            <w:tcW w:w="1106" w:type="dxa"/>
          </w:tcPr>
          <w:p w14:paraId="4FB2456E" w14:textId="77777777" w:rsidR="00DA702B" w:rsidRPr="00DA702B" w:rsidRDefault="00DA702B" w:rsidP="00DA702B">
            <w:pPr>
              <w:rPr>
                <w:sz w:val="20"/>
                <w:szCs w:val="20"/>
              </w:rPr>
            </w:pPr>
          </w:p>
        </w:tc>
        <w:tc>
          <w:tcPr>
            <w:tcW w:w="1107" w:type="dxa"/>
          </w:tcPr>
          <w:p w14:paraId="051E59FE" w14:textId="77777777" w:rsidR="00DA702B" w:rsidRPr="00DA702B" w:rsidRDefault="00DA702B" w:rsidP="00DA702B">
            <w:pPr>
              <w:rPr>
                <w:sz w:val="20"/>
                <w:szCs w:val="20"/>
              </w:rPr>
            </w:pPr>
          </w:p>
        </w:tc>
        <w:tc>
          <w:tcPr>
            <w:tcW w:w="1107" w:type="dxa"/>
          </w:tcPr>
          <w:p w14:paraId="786F0E42" w14:textId="77777777" w:rsidR="00DA702B" w:rsidRPr="00DA702B" w:rsidRDefault="00DA702B" w:rsidP="00DA702B">
            <w:pPr>
              <w:rPr>
                <w:sz w:val="20"/>
                <w:szCs w:val="20"/>
              </w:rPr>
            </w:pPr>
          </w:p>
        </w:tc>
        <w:tc>
          <w:tcPr>
            <w:tcW w:w="1108" w:type="dxa"/>
          </w:tcPr>
          <w:p w14:paraId="5782E187" w14:textId="77777777" w:rsidR="00DA702B" w:rsidRPr="00DA702B" w:rsidRDefault="00DA702B" w:rsidP="00DA702B">
            <w:pPr>
              <w:rPr>
                <w:sz w:val="20"/>
                <w:szCs w:val="20"/>
              </w:rPr>
            </w:pPr>
          </w:p>
        </w:tc>
        <w:tc>
          <w:tcPr>
            <w:tcW w:w="1108" w:type="dxa"/>
          </w:tcPr>
          <w:p w14:paraId="5312D314" w14:textId="77777777" w:rsidR="00DA702B" w:rsidRPr="00DA702B" w:rsidRDefault="00DA702B" w:rsidP="00DA702B">
            <w:pPr>
              <w:rPr>
                <w:sz w:val="20"/>
                <w:szCs w:val="20"/>
              </w:rPr>
            </w:pPr>
          </w:p>
        </w:tc>
        <w:tc>
          <w:tcPr>
            <w:tcW w:w="1108" w:type="dxa"/>
          </w:tcPr>
          <w:p w14:paraId="14389AB5" w14:textId="77777777" w:rsidR="00DA702B" w:rsidRPr="00DA702B" w:rsidRDefault="00DA702B" w:rsidP="00DA702B">
            <w:pPr>
              <w:rPr>
                <w:sz w:val="20"/>
                <w:szCs w:val="20"/>
              </w:rPr>
            </w:pPr>
          </w:p>
        </w:tc>
        <w:tc>
          <w:tcPr>
            <w:tcW w:w="1108" w:type="dxa"/>
          </w:tcPr>
          <w:p w14:paraId="5A93CF92" w14:textId="77777777" w:rsidR="00DA702B" w:rsidRPr="00DA702B" w:rsidRDefault="00DA702B" w:rsidP="00DA702B">
            <w:pPr>
              <w:rPr>
                <w:sz w:val="20"/>
                <w:szCs w:val="20"/>
              </w:rPr>
            </w:pPr>
          </w:p>
        </w:tc>
        <w:tc>
          <w:tcPr>
            <w:tcW w:w="1108" w:type="dxa"/>
          </w:tcPr>
          <w:p w14:paraId="738EE841" w14:textId="77777777" w:rsidR="00DA702B" w:rsidRPr="00DA702B" w:rsidRDefault="00DA702B" w:rsidP="00DA702B">
            <w:pPr>
              <w:rPr>
                <w:sz w:val="20"/>
                <w:szCs w:val="20"/>
              </w:rPr>
            </w:pPr>
          </w:p>
        </w:tc>
        <w:tc>
          <w:tcPr>
            <w:tcW w:w="1108" w:type="dxa"/>
          </w:tcPr>
          <w:p w14:paraId="4C710C1C" w14:textId="77777777" w:rsidR="00DA702B" w:rsidRPr="00DA702B" w:rsidRDefault="00DA702B" w:rsidP="00DA702B">
            <w:pPr>
              <w:rPr>
                <w:sz w:val="20"/>
                <w:szCs w:val="20"/>
              </w:rPr>
            </w:pPr>
          </w:p>
        </w:tc>
        <w:tc>
          <w:tcPr>
            <w:tcW w:w="1108" w:type="dxa"/>
          </w:tcPr>
          <w:p w14:paraId="27EA69D0" w14:textId="77777777" w:rsidR="00DA702B" w:rsidRPr="00DA702B" w:rsidRDefault="00DA702B" w:rsidP="00DA702B">
            <w:pPr>
              <w:rPr>
                <w:sz w:val="20"/>
                <w:szCs w:val="20"/>
              </w:rPr>
            </w:pPr>
          </w:p>
        </w:tc>
        <w:tc>
          <w:tcPr>
            <w:tcW w:w="1108" w:type="dxa"/>
          </w:tcPr>
          <w:p w14:paraId="66EA09A8" w14:textId="77777777" w:rsidR="00DA702B" w:rsidRPr="00DA702B" w:rsidRDefault="00DA702B" w:rsidP="00DA702B">
            <w:pPr>
              <w:rPr>
                <w:sz w:val="20"/>
                <w:szCs w:val="20"/>
              </w:rPr>
            </w:pPr>
          </w:p>
        </w:tc>
        <w:tc>
          <w:tcPr>
            <w:tcW w:w="1108" w:type="dxa"/>
          </w:tcPr>
          <w:p w14:paraId="3B815B9B" w14:textId="77777777" w:rsidR="00DA702B" w:rsidRPr="00DA702B" w:rsidRDefault="00DA702B" w:rsidP="00DA702B">
            <w:pPr>
              <w:rPr>
                <w:sz w:val="20"/>
                <w:szCs w:val="20"/>
              </w:rPr>
            </w:pPr>
          </w:p>
        </w:tc>
        <w:tc>
          <w:tcPr>
            <w:tcW w:w="1108" w:type="dxa"/>
          </w:tcPr>
          <w:p w14:paraId="6CA42086" w14:textId="77777777" w:rsidR="00DA702B" w:rsidRPr="00DA702B" w:rsidRDefault="00DA702B" w:rsidP="00DA702B">
            <w:pPr>
              <w:rPr>
                <w:sz w:val="20"/>
                <w:szCs w:val="20"/>
              </w:rPr>
            </w:pPr>
          </w:p>
        </w:tc>
      </w:tr>
      <w:tr w:rsidR="00DA702B" w:rsidRPr="00DA702B" w14:paraId="745E4ACB" w14:textId="77777777" w:rsidTr="00247007">
        <w:trPr>
          <w:trHeight w:val="346"/>
        </w:trPr>
        <w:tc>
          <w:tcPr>
            <w:tcW w:w="1106" w:type="dxa"/>
          </w:tcPr>
          <w:p w14:paraId="3460B99D" w14:textId="77777777" w:rsidR="00DA702B" w:rsidRPr="00DA702B" w:rsidRDefault="00DA702B" w:rsidP="00DA702B">
            <w:pPr>
              <w:rPr>
                <w:sz w:val="20"/>
                <w:szCs w:val="20"/>
              </w:rPr>
            </w:pPr>
          </w:p>
        </w:tc>
        <w:tc>
          <w:tcPr>
            <w:tcW w:w="1107" w:type="dxa"/>
          </w:tcPr>
          <w:p w14:paraId="7DBD8430" w14:textId="77777777" w:rsidR="00DA702B" w:rsidRPr="00DA702B" w:rsidRDefault="00DA702B" w:rsidP="00DA702B">
            <w:pPr>
              <w:rPr>
                <w:sz w:val="20"/>
                <w:szCs w:val="20"/>
              </w:rPr>
            </w:pPr>
          </w:p>
        </w:tc>
        <w:tc>
          <w:tcPr>
            <w:tcW w:w="1107" w:type="dxa"/>
          </w:tcPr>
          <w:p w14:paraId="6A852291" w14:textId="77777777" w:rsidR="00DA702B" w:rsidRPr="00DA702B" w:rsidRDefault="00DA702B" w:rsidP="00DA702B">
            <w:pPr>
              <w:rPr>
                <w:sz w:val="20"/>
                <w:szCs w:val="20"/>
              </w:rPr>
            </w:pPr>
          </w:p>
        </w:tc>
        <w:tc>
          <w:tcPr>
            <w:tcW w:w="1108" w:type="dxa"/>
          </w:tcPr>
          <w:p w14:paraId="108BFBB5" w14:textId="77777777" w:rsidR="00DA702B" w:rsidRPr="00DA702B" w:rsidRDefault="00DA702B" w:rsidP="00DA702B">
            <w:pPr>
              <w:rPr>
                <w:sz w:val="20"/>
                <w:szCs w:val="20"/>
              </w:rPr>
            </w:pPr>
          </w:p>
        </w:tc>
        <w:tc>
          <w:tcPr>
            <w:tcW w:w="1108" w:type="dxa"/>
          </w:tcPr>
          <w:p w14:paraId="6543F8DD" w14:textId="77777777" w:rsidR="00DA702B" w:rsidRPr="00DA702B" w:rsidRDefault="00DA702B" w:rsidP="00DA702B">
            <w:pPr>
              <w:rPr>
                <w:sz w:val="20"/>
                <w:szCs w:val="20"/>
              </w:rPr>
            </w:pPr>
          </w:p>
        </w:tc>
        <w:tc>
          <w:tcPr>
            <w:tcW w:w="1108" w:type="dxa"/>
          </w:tcPr>
          <w:p w14:paraId="7BAF1345" w14:textId="77777777" w:rsidR="00DA702B" w:rsidRPr="00DA702B" w:rsidRDefault="00DA702B" w:rsidP="00DA702B">
            <w:pPr>
              <w:rPr>
                <w:sz w:val="20"/>
                <w:szCs w:val="20"/>
              </w:rPr>
            </w:pPr>
          </w:p>
        </w:tc>
        <w:tc>
          <w:tcPr>
            <w:tcW w:w="1108" w:type="dxa"/>
          </w:tcPr>
          <w:p w14:paraId="068327DE" w14:textId="77777777" w:rsidR="00DA702B" w:rsidRPr="00DA702B" w:rsidRDefault="00DA702B" w:rsidP="00DA702B">
            <w:pPr>
              <w:rPr>
                <w:sz w:val="20"/>
                <w:szCs w:val="20"/>
              </w:rPr>
            </w:pPr>
          </w:p>
        </w:tc>
        <w:tc>
          <w:tcPr>
            <w:tcW w:w="1108" w:type="dxa"/>
          </w:tcPr>
          <w:p w14:paraId="709D3567" w14:textId="77777777" w:rsidR="00DA702B" w:rsidRPr="00DA702B" w:rsidRDefault="00DA702B" w:rsidP="00DA702B">
            <w:pPr>
              <w:rPr>
                <w:sz w:val="20"/>
                <w:szCs w:val="20"/>
              </w:rPr>
            </w:pPr>
          </w:p>
        </w:tc>
        <w:tc>
          <w:tcPr>
            <w:tcW w:w="1108" w:type="dxa"/>
          </w:tcPr>
          <w:p w14:paraId="5A16B4BD" w14:textId="77777777" w:rsidR="00DA702B" w:rsidRPr="00DA702B" w:rsidRDefault="00DA702B" w:rsidP="00DA702B">
            <w:pPr>
              <w:rPr>
                <w:sz w:val="20"/>
                <w:szCs w:val="20"/>
              </w:rPr>
            </w:pPr>
          </w:p>
        </w:tc>
        <w:tc>
          <w:tcPr>
            <w:tcW w:w="1108" w:type="dxa"/>
          </w:tcPr>
          <w:p w14:paraId="3420AE79" w14:textId="77777777" w:rsidR="00DA702B" w:rsidRPr="00DA702B" w:rsidRDefault="00DA702B" w:rsidP="00DA702B">
            <w:pPr>
              <w:rPr>
                <w:sz w:val="20"/>
                <w:szCs w:val="20"/>
              </w:rPr>
            </w:pPr>
          </w:p>
        </w:tc>
        <w:tc>
          <w:tcPr>
            <w:tcW w:w="1108" w:type="dxa"/>
          </w:tcPr>
          <w:p w14:paraId="64D21C71" w14:textId="77777777" w:rsidR="00DA702B" w:rsidRPr="00DA702B" w:rsidRDefault="00DA702B" w:rsidP="00DA702B">
            <w:pPr>
              <w:rPr>
                <w:sz w:val="20"/>
                <w:szCs w:val="20"/>
              </w:rPr>
            </w:pPr>
          </w:p>
        </w:tc>
        <w:tc>
          <w:tcPr>
            <w:tcW w:w="1108" w:type="dxa"/>
          </w:tcPr>
          <w:p w14:paraId="6B99F5A3" w14:textId="77777777" w:rsidR="00DA702B" w:rsidRPr="00DA702B" w:rsidRDefault="00DA702B" w:rsidP="00DA702B">
            <w:pPr>
              <w:rPr>
                <w:sz w:val="20"/>
                <w:szCs w:val="20"/>
              </w:rPr>
            </w:pPr>
          </w:p>
        </w:tc>
        <w:tc>
          <w:tcPr>
            <w:tcW w:w="1108" w:type="dxa"/>
          </w:tcPr>
          <w:p w14:paraId="0C715F36" w14:textId="77777777" w:rsidR="00DA702B" w:rsidRPr="00DA702B" w:rsidRDefault="00DA702B" w:rsidP="00DA702B">
            <w:pPr>
              <w:rPr>
                <w:sz w:val="20"/>
                <w:szCs w:val="20"/>
              </w:rPr>
            </w:pPr>
          </w:p>
        </w:tc>
      </w:tr>
      <w:tr w:rsidR="00DA702B" w:rsidRPr="00DA702B" w14:paraId="6F0C3643" w14:textId="77777777" w:rsidTr="00247007">
        <w:trPr>
          <w:trHeight w:val="346"/>
        </w:trPr>
        <w:tc>
          <w:tcPr>
            <w:tcW w:w="1106" w:type="dxa"/>
          </w:tcPr>
          <w:p w14:paraId="60684614" w14:textId="77777777" w:rsidR="00DA702B" w:rsidRPr="00DA702B" w:rsidRDefault="00DA702B" w:rsidP="00DA702B">
            <w:pPr>
              <w:rPr>
                <w:sz w:val="20"/>
                <w:szCs w:val="20"/>
              </w:rPr>
            </w:pPr>
          </w:p>
        </w:tc>
        <w:tc>
          <w:tcPr>
            <w:tcW w:w="1107" w:type="dxa"/>
          </w:tcPr>
          <w:p w14:paraId="1B5562AE" w14:textId="77777777" w:rsidR="00DA702B" w:rsidRPr="00DA702B" w:rsidRDefault="00DA702B" w:rsidP="00DA702B">
            <w:pPr>
              <w:rPr>
                <w:sz w:val="20"/>
                <w:szCs w:val="20"/>
              </w:rPr>
            </w:pPr>
          </w:p>
        </w:tc>
        <w:tc>
          <w:tcPr>
            <w:tcW w:w="1107" w:type="dxa"/>
          </w:tcPr>
          <w:p w14:paraId="35B778E4" w14:textId="77777777" w:rsidR="00DA702B" w:rsidRPr="00DA702B" w:rsidRDefault="00DA702B" w:rsidP="00DA702B">
            <w:pPr>
              <w:rPr>
                <w:sz w:val="20"/>
                <w:szCs w:val="20"/>
              </w:rPr>
            </w:pPr>
          </w:p>
        </w:tc>
        <w:tc>
          <w:tcPr>
            <w:tcW w:w="1108" w:type="dxa"/>
          </w:tcPr>
          <w:p w14:paraId="5AA587D6" w14:textId="77777777" w:rsidR="00DA702B" w:rsidRPr="00DA702B" w:rsidRDefault="00DA702B" w:rsidP="00DA702B">
            <w:pPr>
              <w:rPr>
                <w:sz w:val="20"/>
                <w:szCs w:val="20"/>
              </w:rPr>
            </w:pPr>
          </w:p>
        </w:tc>
        <w:tc>
          <w:tcPr>
            <w:tcW w:w="1108" w:type="dxa"/>
          </w:tcPr>
          <w:p w14:paraId="1B5901C0" w14:textId="77777777" w:rsidR="00DA702B" w:rsidRPr="00DA702B" w:rsidRDefault="00DA702B" w:rsidP="00DA702B">
            <w:pPr>
              <w:rPr>
                <w:sz w:val="20"/>
                <w:szCs w:val="20"/>
              </w:rPr>
            </w:pPr>
          </w:p>
        </w:tc>
        <w:tc>
          <w:tcPr>
            <w:tcW w:w="1108" w:type="dxa"/>
          </w:tcPr>
          <w:p w14:paraId="40A4D088" w14:textId="77777777" w:rsidR="00DA702B" w:rsidRPr="00DA702B" w:rsidRDefault="00DA702B" w:rsidP="00DA702B">
            <w:pPr>
              <w:rPr>
                <w:sz w:val="20"/>
                <w:szCs w:val="20"/>
              </w:rPr>
            </w:pPr>
          </w:p>
        </w:tc>
        <w:tc>
          <w:tcPr>
            <w:tcW w:w="1108" w:type="dxa"/>
          </w:tcPr>
          <w:p w14:paraId="0DE0CA93" w14:textId="77777777" w:rsidR="00DA702B" w:rsidRPr="00DA702B" w:rsidRDefault="00DA702B" w:rsidP="00DA702B">
            <w:pPr>
              <w:rPr>
                <w:sz w:val="20"/>
                <w:szCs w:val="20"/>
              </w:rPr>
            </w:pPr>
          </w:p>
        </w:tc>
        <w:tc>
          <w:tcPr>
            <w:tcW w:w="1108" w:type="dxa"/>
          </w:tcPr>
          <w:p w14:paraId="03C822BA" w14:textId="77777777" w:rsidR="00DA702B" w:rsidRPr="00DA702B" w:rsidRDefault="00DA702B" w:rsidP="00DA702B">
            <w:pPr>
              <w:rPr>
                <w:sz w:val="20"/>
                <w:szCs w:val="20"/>
              </w:rPr>
            </w:pPr>
          </w:p>
        </w:tc>
        <w:tc>
          <w:tcPr>
            <w:tcW w:w="1108" w:type="dxa"/>
          </w:tcPr>
          <w:p w14:paraId="2FE8EB53" w14:textId="77777777" w:rsidR="00DA702B" w:rsidRPr="00DA702B" w:rsidRDefault="00DA702B" w:rsidP="00DA702B">
            <w:pPr>
              <w:rPr>
                <w:sz w:val="20"/>
                <w:szCs w:val="20"/>
              </w:rPr>
            </w:pPr>
          </w:p>
        </w:tc>
        <w:tc>
          <w:tcPr>
            <w:tcW w:w="1108" w:type="dxa"/>
          </w:tcPr>
          <w:p w14:paraId="15989A02" w14:textId="77777777" w:rsidR="00DA702B" w:rsidRPr="00DA702B" w:rsidRDefault="00DA702B" w:rsidP="00DA702B">
            <w:pPr>
              <w:rPr>
                <w:sz w:val="20"/>
                <w:szCs w:val="20"/>
              </w:rPr>
            </w:pPr>
          </w:p>
        </w:tc>
        <w:tc>
          <w:tcPr>
            <w:tcW w:w="1108" w:type="dxa"/>
          </w:tcPr>
          <w:p w14:paraId="1A5903D0" w14:textId="77777777" w:rsidR="00DA702B" w:rsidRPr="00DA702B" w:rsidRDefault="00DA702B" w:rsidP="00DA702B">
            <w:pPr>
              <w:rPr>
                <w:sz w:val="20"/>
                <w:szCs w:val="20"/>
              </w:rPr>
            </w:pPr>
          </w:p>
        </w:tc>
        <w:tc>
          <w:tcPr>
            <w:tcW w:w="1108" w:type="dxa"/>
          </w:tcPr>
          <w:p w14:paraId="63F4082B" w14:textId="77777777" w:rsidR="00DA702B" w:rsidRPr="00DA702B" w:rsidRDefault="00DA702B" w:rsidP="00DA702B">
            <w:pPr>
              <w:rPr>
                <w:sz w:val="20"/>
                <w:szCs w:val="20"/>
              </w:rPr>
            </w:pPr>
          </w:p>
        </w:tc>
        <w:tc>
          <w:tcPr>
            <w:tcW w:w="1108" w:type="dxa"/>
          </w:tcPr>
          <w:p w14:paraId="23EA5003" w14:textId="77777777" w:rsidR="00DA702B" w:rsidRPr="00DA702B" w:rsidRDefault="00DA702B" w:rsidP="00DA702B">
            <w:pPr>
              <w:rPr>
                <w:sz w:val="20"/>
                <w:szCs w:val="20"/>
              </w:rPr>
            </w:pPr>
          </w:p>
        </w:tc>
      </w:tr>
    </w:tbl>
    <w:p w14:paraId="5CC9CA4F" w14:textId="77777777" w:rsidR="00DA702B" w:rsidRPr="00DA702B" w:rsidRDefault="00DA702B" w:rsidP="00DA702B">
      <w:r w:rsidRPr="00DA702B">
        <w:br w:type="page"/>
      </w:r>
    </w:p>
    <w:p w14:paraId="4463135D" w14:textId="77777777" w:rsidR="00DA702B" w:rsidRPr="00DA702B" w:rsidRDefault="00DA702B" w:rsidP="00844049">
      <w:pPr>
        <w:widowControl w:val="0"/>
        <w:jc w:val="center"/>
        <w:rPr>
          <w:rFonts w:eastAsiaTheme="majorEastAsia"/>
          <w:b/>
          <w:bCs/>
        </w:rPr>
      </w:pPr>
      <w:r w:rsidRPr="00DA702B">
        <w:rPr>
          <w:rFonts w:eastAsiaTheme="majorEastAsia"/>
          <w:b/>
          <w:bCs/>
        </w:rPr>
        <w:lastRenderedPageBreak/>
        <w:t>Boiler/Steam Generator/Steam Generating Unit Attributes</w:t>
      </w:r>
    </w:p>
    <w:p w14:paraId="27EAA862" w14:textId="77777777" w:rsidR="00DA702B" w:rsidRPr="00DA702B" w:rsidRDefault="00DA702B" w:rsidP="00844049">
      <w:pPr>
        <w:widowControl w:val="0"/>
        <w:jc w:val="center"/>
        <w:rPr>
          <w:rFonts w:eastAsiaTheme="majorEastAsia"/>
          <w:b/>
          <w:bCs/>
        </w:rPr>
      </w:pPr>
      <w:r w:rsidRPr="00DA702B">
        <w:rPr>
          <w:rFonts w:eastAsiaTheme="majorEastAsia"/>
          <w:b/>
          <w:bCs/>
        </w:rPr>
        <w:t>Form OP-UA6 (Page 10)</w:t>
      </w:r>
    </w:p>
    <w:p w14:paraId="704A8A05" w14:textId="77777777" w:rsidR="00DA702B" w:rsidRPr="00DA702B" w:rsidRDefault="00DA702B" w:rsidP="00844049">
      <w:pPr>
        <w:widowControl w:val="0"/>
        <w:jc w:val="center"/>
        <w:rPr>
          <w:rFonts w:eastAsiaTheme="majorEastAsia"/>
          <w:b/>
          <w:bCs/>
        </w:rPr>
      </w:pPr>
      <w:r w:rsidRPr="00DA702B">
        <w:rPr>
          <w:rFonts w:eastAsiaTheme="majorEastAsia"/>
          <w:b/>
          <w:bCs/>
        </w:rPr>
        <w:t>Federal Operating Permit Program</w:t>
      </w:r>
    </w:p>
    <w:p w14:paraId="769DDA86" w14:textId="77777777" w:rsidR="00DA702B" w:rsidRPr="00DA702B" w:rsidRDefault="00DA702B" w:rsidP="00844049">
      <w:pPr>
        <w:widowControl w:val="0"/>
        <w:jc w:val="center"/>
        <w:rPr>
          <w:b/>
          <w:bCs/>
        </w:rPr>
      </w:pPr>
      <w:bookmarkStart w:id="172" w:name="TBL_3e"/>
      <w:r w:rsidRPr="00DA702B">
        <w:rPr>
          <w:b/>
          <w:bCs/>
        </w:rPr>
        <w:t>Table 3e</w:t>
      </w:r>
      <w:bookmarkEnd w:id="172"/>
      <w:r w:rsidRPr="00DA702B">
        <w:rPr>
          <w:b/>
          <w:bCs/>
        </w:rPr>
        <w:t>:  Title 40 Code of Federal Regulations Part 60 (40 CFR Part 60)</w:t>
      </w:r>
    </w:p>
    <w:p w14:paraId="20D5387F" w14:textId="77777777" w:rsidR="00DA702B" w:rsidRPr="00DA702B" w:rsidRDefault="00DA702B" w:rsidP="00844049">
      <w:pPr>
        <w:widowControl w:val="0"/>
        <w:jc w:val="center"/>
        <w:rPr>
          <w:b/>
          <w:bCs/>
        </w:rPr>
      </w:pPr>
      <w:r w:rsidRPr="00DA702B">
        <w:rPr>
          <w:b/>
          <w:bCs/>
        </w:rPr>
        <w:t>Subpart Db:  Standards of Performance for Industrial-Commercial-Institutional Steam Generating Units</w:t>
      </w:r>
    </w:p>
    <w:p w14:paraId="2EE536AE" w14:textId="77777777" w:rsidR="00DA702B" w:rsidRPr="00DA702B" w:rsidRDefault="00DA702B" w:rsidP="00844049">
      <w:pPr>
        <w:widowControl w:val="0"/>
        <w:jc w:val="center"/>
        <w:rPr>
          <w:b/>
          <w:bCs/>
        </w:rPr>
      </w:pPr>
      <w:r w:rsidRPr="00DA702B">
        <w:rPr>
          <w:b/>
          <w:bCs/>
        </w:rPr>
        <w:t>Texas Commission on Environmental Quality</w:t>
      </w:r>
    </w:p>
    <w:p w14:paraId="2A6F832F"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d:  Title 40 Code of Federal Regulations Part 60 (40 CFR Part 60)&#10;Subpart Db:  Standards of Performance for Industrial-Commercial Steam Generating Units&#10;&#10;"/>
      </w:tblPr>
      <w:tblGrid>
        <w:gridCol w:w="4800"/>
        <w:gridCol w:w="4800"/>
        <w:gridCol w:w="4800"/>
      </w:tblGrid>
      <w:tr w:rsidR="00DA702B" w:rsidRPr="00DA702B" w14:paraId="0E7EB992" w14:textId="77777777" w:rsidTr="00247007">
        <w:trPr>
          <w:cantSplit/>
          <w:tblHeader/>
        </w:trPr>
        <w:tc>
          <w:tcPr>
            <w:tcW w:w="4800" w:type="dxa"/>
            <w:shd w:val="clear" w:color="auto" w:fill="D9D9D9" w:themeFill="background1" w:themeFillShade="D9"/>
          </w:tcPr>
          <w:p w14:paraId="130870FA"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45E2E490"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2C673591"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27EEEED4" w14:textId="77777777" w:rsidTr="00247007">
        <w:trPr>
          <w:cantSplit/>
          <w:tblHeader/>
        </w:trPr>
        <w:tc>
          <w:tcPr>
            <w:tcW w:w="4800" w:type="dxa"/>
          </w:tcPr>
          <w:p w14:paraId="2EA1CADD" w14:textId="77777777" w:rsidR="00DA702B" w:rsidRPr="00DA702B" w:rsidRDefault="00DA702B" w:rsidP="00DA702B">
            <w:pPr>
              <w:rPr>
                <w:rFonts w:asciiTheme="majorHAnsi" w:hAnsiTheme="majorHAnsi" w:cstheme="majorHAnsi"/>
              </w:rPr>
            </w:pPr>
          </w:p>
        </w:tc>
        <w:tc>
          <w:tcPr>
            <w:tcW w:w="4800" w:type="dxa"/>
          </w:tcPr>
          <w:p w14:paraId="0FF05C4D" w14:textId="77777777" w:rsidR="00DA702B" w:rsidRPr="00DA702B" w:rsidRDefault="00DA702B" w:rsidP="00DA702B">
            <w:pPr>
              <w:rPr>
                <w:rFonts w:asciiTheme="majorHAnsi" w:hAnsiTheme="majorHAnsi" w:cstheme="majorHAnsi"/>
              </w:rPr>
            </w:pPr>
          </w:p>
        </w:tc>
        <w:tc>
          <w:tcPr>
            <w:tcW w:w="4800" w:type="dxa"/>
          </w:tcPr>
          <w:p w14:paraId="1311AB8D" w14:textId="77777777" w:rsidR="00DA702B" w:rsidRPr="00DA702B" w:rsidRDefault="00DA702B" w:rsidP="00DA702B">
            <w:pPr>
              <w:rPr>
                <w:rFonts w:asciiTheme="majorHAnsi" w:hAnsiTheme="majorHAnsi" w:cstheme="majorHAnsi"/>
              </w:rPr>
            </w:pPr>
          </w:p>
        </w:tc>
      </w:tr>
    </w:tbl>
    <w:p w14:paraId="144D141C"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able 3e:  Title 40 Code of Federal Regulations Part 60 (40 CFR Part 60)&#10;Subpart Db:  Standards of Performance for Industrial-Commercial Steam Generating Units&#10;"/>
      </w:tblPr>
      <w:tblGrid>
        <w:gridCol w:w="3599"/>
        <w:gridCol w:w="3600"/>
        <w:gridCol w:w="3601"/>
        <w:gridCol w:w="3600"/>
      </w:tblGrid>
      <w:tr w:rsidR="00632B9F" w:rsidRPr="00DA702B" w14:paraId="5605F315" w14:textId="77777777" w:rsidTr="00632B9F">
        <w:trPr>
          <w:cantSplit/>
          <w:tblHeader/>
        </w:trPr>
        <w:tc>
          <w:tcPr>
            <w:tcW w:w="2057" w:type="dxa"/>
            <w:shd w:val="clear" w:color="auto" w:fill="D9D9D9" w:themeFill="background1" w:themeFillShade="D9"/>
            <w:vAlign w:val="bottom"/>
          </w:tcPr>
          <w:p w14:paraId="6C092885" w14:textId="77777777" w:rsidR="00632B9F" w:rsidRPr="00DA702B" w:rsidRDefault="00632B9F" w:rsidP="00DA702B">
            <w:pPr>
              <w:jc w:val="center"/>
              <w:rPr>
                <w:sz w:val="20"/>
                <w:szCs w:val="20"/>
              </w:rPr>
            </w:pPr>
            <w:r w:rsidRPr="00DA702B">
              <w:rPr>
                <w:b/>
                <w:sz w:val="20"/>
                <w:szCs w:val="20"/>
              </w:rPr>
              <w:t>Unit ID No.</w:t>
            </w:r>
          </w:p>
        </w:tc>
        <w:tc>
          <w:tcPr>
            <w:tcW w:w="2057" w:type="dxa"/>
            <w:shd w:val="clear" w:color="auto" w:fill="D9D9D9" w:themeFill="background1" w:themeFillShade="D9"/>
            <w:vAlign w:val="bottom"/>
          </w:tcPr>
          <w:p w14:paraId="366478EB" w14:textId="77777777" w:rsidR="00632B9F" w:rsidRPr="00DA702B" w:rsidRDefault="00632B9F" w:rsidP="00DA702B">
            <w:pPr>
              <w:jc w:val="center"/>
              <w:rPr>
                <w:sz w:val="20"/>
                <w:szCs w:val="20"/>
              </w:rPr>
            </w:pPr>
            <w:r w:rsidRPr="00DA702B">
              <w:rPr>
                <w:b/>
                <w:sz w:val="20"/>
                <w:szCs w:val="20"/>
              </w:rPr>
              <w:t>SOP Index No.</w:t>
            </w:r>
          </w:p>
        </w:tc>
        <w:tc>
          <w:tcPr>
            <w:tcW w:w="2058" w:type="dxa"/>
            <w:shd w:val="clear" w:color="auto" w:fill="D9D9D9" w:themeFill="background1" w:themeFillShade="D9"/>
            <w:vAlign w:val="bottom"/>
          </w:tcPr>
          <w:p w14:paraId="477F99ED" w14:textId="77777777" w:rsidR="00632B9F" w:rsidRPr="00DA702B" w:rsidRDefault="00632B9F" w:rsidP="00DA702B">
            <w:pPr>
              <w:jc w:val="center"/>
              <w:rPr>
                <w:sz w:val="20"/>
                <w:szCs w:val="20"/>
              </w:rPr>
            </w:pPr>
            <w:r w:rsidRPr="00DA702B">
              <w:rPr>
                <w:b/>
                <w:sz w:val="20"/>
                <w:szCs w:val="20"/>
              </w:rPr>
              <w:t>Alternate Emission Limit (AEL)</w:t>
            </w:r>
          </w:p>
        </w:tc>
        <w:tc>
          <w:tcPr>
            <w:tcW w:w="2057" w:type="dxa"/>
            <w:shd w:val="clear" w:color="auto" w:fill="D9D9D9" w:themeFill="background1" w:themeFillShade="D9"/>
            <w:vAlign w:val="bottom"/>
          </w:tcPr>
          <w:p w14:paraId="0540E8AD" w14:textId="77777777" w:rsidR="00632B9F" w:rsidRPr="00DA702B" w:rsidRDefault="00632B9F" w:rsidP="00DA702B">
            <w:pPr>
              <w:jc w:val="center"/>
              <w:rPr>
                <w:sz w:val="20"/>
                <w:szCs w:val="20"/>
              </w:rPr>
            </w:pPr>
            <w:r w:rsidRPr="00DA702B">
              <w:rPr>
                <w:b/>
                <w:sz w:val="20"/>
                <w:szCs w:val="20"/>
              </w:rPr>
              <w:t>AEL ID. NO.</w:t>
            </w:r>
          </w:p>
        </w:tc>
      </w:tr>
      <w:tr w:rsidR="00632B9F" w:rsidRPr="00DA702B" w14:paraId="7CD6FE8E" w14:textId="77777777" w:rsidTr="00632B9F">
        <w:trPr>
          <w:cantSplit/>
          <w:trHeight w:val="346"/>
          <w:tblHeader/>
        </w:trPr>
        <w:tc>
          <w:tcPr>
            <w:tcW w:w="2057" w:type="dxa"/>
          </w:tcPr>
          <w:p w14:paraId="3D4B4F03" w14:textId="77777777" w:rsidR="00632B9F" w:rsidRPr="00DA702B" w:rsidRDefault="00632B9F" w:rsidP="00DA702B">
            <w:pPr>
              <w:rPr>
                <w:sz w:val="20"/>
                <w:szCs w:val="20"/>
              </w:rPr>
            </w:pPr>
          </w:p>
        </w:tc>
        <w:tc>
          <w:tcPr>
            <w:tcW w:w="2057" w:type="dxa"/>
          </w:tcPr>
          <w:p w14:paraId="0D22EC87" w14:textId="77777777" w:rsidR="00632B9F" w:rsidRPr="00DA702B" w:rsidRDefault="00632B9F" w:rsidP="00DA702B">
            <w:pPr>
              <w:rPr>
                <w:sz w:val="20"/>
                <w:szCs w:val="20"/>
              </w:rPr>
            </w:pPr>
          </w:p>
        </w:tc>
        <w:tc>
          <w:tcPr>
            <w:tcW w:w="2058" w:type="dxa"/>
          </w:tcPr>
          <w:p w14:paraId="0FD8A0A2" w14:textId="77777777" w:rsidR="00632B9F" w:rsidRPr="00DA702B" w:rsidRDefault="00632B9F" w:rsidP="00DA702B">
            <w:pPr>
              <w:rPr>
                <w:sz w:val="20"/>
                <w:szCs w:val="20"/>
              </w:rPr>
            </w:pPr>
          </w:p>
        </w:tc>
        <w:tc>
          <w:tcPr>
            <w:tcW w:w="2057" w:type="dxa"/>
          </w:tcPr>
          <w:p w14:paraId="04971310" w14:textId="77777777" w:rsidR="00632B9F" w:rsidRPr="00DA702B" w:rsidRDefault="00632B9F" w:rsidP="00DA702B">
            <w:pPr>
              <w:rPr>
                <w:sz w:val="20"/>
                <w:szCs w:val="20"/>
              </w:rPr>
            </w:pPr>
          </w:p>
        </w:tc>
      </w:tr>
      <w:tr w:rsidR="00632B9F" w:rsidRPr="00DA702B" w14:paraId="0F16D350" w14:textId="77777777" w:rsidTr="00632B9F">
        <w:trPr>
          <w:cantSplit/>
          <w:trHeight w:val="346"/>
          <w:tblHeader/>
        </w:trPr>
        <w:tc>
          <w:tcPr>
            <w:tcW w:w="2057" w:type="dxa"/>
          </w:tcPr>
          <w:p w14:paraId="5EF08AB7" w14:textId="77777777" w:rsidR="00632B9F" w:rsidRPr="00DA702B" w:rsidRDefault="00632B9F" w:rsidP="00DA702B">
            <w:pPr>
              <w:rPr>
                <w:sz w:val="20"/>
                <w:szCs w:val="20"/>
              </w:rPr>
            </w:pPr>
          </w:p>
        </w:tc>
        <w:tc>
          <w:tcPr>
            <w:tcW w:w="2057" w:type="dxa"/>
          </w:tcPr>
          <w:p w14:paraId="4D067582" w14:textId="77777777" w:rsidR="00632B9F" w:rsidRPr="00DA702B" w:rsidRDefault="00632B9F" w:rsidP="00DA702B">
            <w:pPr>
              <w:rPr>
                <w:sz w:val="20"/>
                <w:szCs w:val="20"/>
              </w:rPr>
            </w:pPr>
          </w:p>
        </w:tc>
        <w:tc>
          <w:tcPr>
            <w:tcW w:w="2058" w:type="dxa"/>
          </w:tcPr>
          <w:p w14:paraId="0BD6CCB4" w14:textId="77777777" w:rsidR="00632B9F" w:rsidRPr="00DA702B" w:rsidRDefault="00632B9F" w:rsidP="00DA702B">
            <w:pPr>
              <w:rPr>
                <w:sz w:val="20"/>
                <w:szCs w:val="20"/>
              </w:rPr>
            </w:pPr>
          </w:p>
        </w:tc>
        <w:tc>
          <w:tcPr>
            <w:tcW w:w="2057" w:type="dxa"/>
          </w:tcPr>
          <w:p w14:paraId="4A77CC03" w14:textId="77777777" w:rsidR="00632B9F" w:rsidRPr="00DA702B" w:rsidRDefault="00632B9F" w:rsidP="00DA702B">
            <w:pPr>
              <w:rPr>
                <w:sz w:val="20"/>
                <w:szCs w:val="20"/>
              </w:rPr>
            </w:pPr>
          </w:p>
        </w:tc>
      </w:tr>
      <w:tr w:rsidR="00632B9F" w:rsidRPr="00DA702B" w14:paraId="0FF87CCE" w14:textId="77777777" w:rsidTr="00632B9F">
        <w:trPr>
          <w:cantSplit/>
          <w:trHeight w:val="346"/>
          <w:tblHeader/>
        </w:trPr>
        <w:tc>
          <w:tcPr>
            <w:tcW w:w="2057" w:type="dxa"/>
          </w:tcPr>
          <w:p w14:paraId="79B5567C" w14:textId="77777777" w:rsidR="00632B9F" w:rsidRPr="00DA702B" w:rsidRDefault="00632B9F" w:rsidP="00DA702B">
            <w:pPr>
              <w:rPr>
                <w:sz w:val="20"/>
                <w:szCs w:val="20"/>
              </w:rPr>
            </w:pPr>
          </w:p>
        </w:tc>
        <w:tc>
          <w:tcPr>
            <w:tcW w:w="2057" w:type="dxa"/>
          </w:tcPr>
          <w:p w14:paraId="3CC3DC9E" w14:textId="77777777" w:rsidR="00632B9F" w:rsidRPr="00DA702B" w:rsidRDefault="00632B9F" w:rsidP="00DA702B">
            <w:pPr>
              <w:rPr>
                <w:sz w:val="20"/>
                <w:szCs w:val="20"/>
              </w:rPr>
            </w:pPr>
          </w:p>
        </w:tc>
        <w:tc>
          <w:tcPr>
            <w:tcW w:w="2058" w:type="dxa"/>
          </w:tcPr>
          <w:p w14:paraId="40F35FC2" w14:textId="77777777" w:rsidR="00632B9F" w:rsidRPr="00DA702B" w:rsidRDefault="00632B9F" w:rsidP="00DA702B">
            <w:pPr>
              <w:rPr>
                <w:sz w:val="20"/>
                <w:szCs w:val="20"/>
              </w:rPr>
            </w:pPr>
          </w:p>
        </w:tc>
        <w:tc>
          <w:tcPr>
            <w:tcW w:w="2057" w:type="dxa"/>
          </w:tcPr>
          <w:p w14:paraId="53AD5E75" w14:textId="77777777" w:rsidR="00632B9F" w:rsidRPr="00DA702B" w:rsidRDefault="00632B9F" w:rsidP="00DA702B">
            <w:pPr>
              <w:rPr>
                <w:sz w:val="20"/>
                <w:szCs w:val="20"/>
              </w:rPr>
            </w:pPr>
          </w:p>
        </w:tc>
      </w:tr>
      <w:tr w:rsidR="00632B9F" w:rsidRPr="00DA702B" w14:paraId="7F0C63E4" w14:textId="77777777" w:rsidTr="00632B9F">
        <w:trPr>
          <w:cantSplit/>
          <w:trHeight w:val="346"/>
          <w:tblHeader/>
        </w:trPr>
        <w:tc>
          <w:tcPr>
            <w:tcW w:w="2057" w:type="dxa"/>
          </w:tcPr>
          <w:p w14:paraId="4AD8B10B" w14:textId="77777777" w:rsidR="00632B9F" w:rsidRPr="00DA702B" w:rsidRDefault="00632B9F" w:rsidP="00DA702B">
            <w:pPr>
              <w:rPr>
                <w:sz w:val="20"/>
                <w:szCs w:val="20"/>
              </w:rPr>
            </w:pPr>
          </w:p>
        </w:tc>
        <w:tc>
          <w:tcPr>
            <w:tcW w:w="2057" w:type="dxa"/>
          </w:tcPr>
          <w:p w14:paraId="760CD466" w14:textId="77777777" w:rsidR="00632B9F" w:rsidRPr="00DA702B" w:rsidRDefault="00632B9F" w:rsidP="00DA702B">
            <w:pPr>
              <w:rPr>
                <w:sz w:val="20"/>
                <w:szCs w:val="20"/>
              </w:rPr>
            </w:pPr>
          </w:p>
        </w:tc>
        <w:tc>
          <w:tcPr>
            <w:tcW w:w="2058" w:type="dxa"/>
          </w:tcPr>
          <w:p w14:paraId="653D525A" w14:textId="77777777" w:rsidR="00632B9F" w:rsidRPr="00DA702B" w:rsidRDefault="00632B9F" w:rsidP="00DA702B">
            <w:pPr>
              <w:rPr>
                <w:sz w:val="20"/>
                <w:szCs w:val="20"/>
              </w:rPr>
            </w:pPr>
          </w:p>
        </w:tc>
        <w:tc>
          <w:tcPr>
            <w:tcW w:w="2057" w:type="dxa"/>
          </w:tcPr>
          <w:p w14:paraId="7C8D25ED" w14:textId="77777777" w:rsidR="00632B9F" w:rsidRPr="00DA702B" w:rsidRDefault="00632B9F" w:rsidP="00DA702B">
            <w:pPr>
              <w:rPr>
                <w:sz w:val="20"/>
                <w:szCs w:val="20"/>
              </w:rPr>
            </w:pPr>
          </w:p>
        </w:tc>
      </w:tr>
      <w:tr w:rsidR="00632B9F" w:rsidRPr="00DA702B" w14:paraId="4634A3C1" w14:textId="77777777" w:rsidTr="00632B9F">
        <w:trPr>
          <w:cantSplit/>
          <w:trHeight w:val="346"/>
          <w:tblHeader/>
        </w:trPr>
        <w:tc>
          <w:tcPr>
            <w:tcW w:w="2057" w:type="dxa"/>
          </w:tcPr>
          <w:p w14:paraId="19612182" w14:textId="77777777" w:rsidR="00632B9F" w:rsidRPr="00DA702B" w:rsidRDefault="00632B9F" w:rsidP="00DA702B">
            <w:pPr>
              <w:rPr>
                <w:sz w:val="20"/>
                <w:szCs w:val="20"/>
              </w:rPr>
            </w:pPr>
          </w:p>
        </w:tc>
        <w:tc>
          <w:tcPr>
            <w:tcW w:w="2057" w:type="dxa"/>
          </w:tcPr>
          <w:p w14:paraId="3E4F3F7C" w14:textId="77777777" w:rsidR="00632B9F" w:rsidRPr="00DA702B" w:rsidRDefault="00632B9F" w:rsidP="00DA702B">
            <w:pPr>
              <w:rPr>
                <w:sz w:val="20"/>
                <w:szCs w:val="20"/>
              </w:rPr>
            </w:pPr>
          </w:p>
        </w:tc>
        <w:tc>
          <w:tcPr>
            <w:tcW w:w="2058" w:type="dxa"/>
          </w:tcPr>
          <w:p w14:paraId="014347ED" w14:textId="77777777" w:rsidR="00632B9F" w:rsidRPr="00DA702B" w:rsidRDefault="00632B9F" w:rsidP="00DA702B">
            <w:pPr>
              <w:rPr>
                <w:sz w:val="20"/>
                <w:szCs w:val="20"/>
              </w:rPr>
            </w:pPr>
          </w:p>
        </w:tc>
        <w:tc>
          <w:tcPr>
            <w:tcW w:w="2057" w:type="dxa"/>
          </w:tcPr>
          <w:p w14:paraId="0D2AF457" w14:textId="77777777" w:rsidR="00632B9F" w:rsidRPr="00DA702B" w:rsidRDefault="00632B9F" w:rsidP="00DA702B">
            <w:pPr>
              <w:rPr>
                <w:sz w:val="20"/>
                <w:szCs w:val="20"/>
              </w:rPr>
            </w:pPr>
          </w:p>
        </w:tc>
      </w:tr>
      <w:tr w:rsidR="00632B9F" w:rsidRPr="00DA702B" w14:paraId="36092BB5" w14:textId="77777777" w:rsidTr="00632B9F">
        <w:trPr>
          <w:cantSplit/>
          <w:trHeight w:val="346"/>
          <w:tblHeader/>
        </w:trPr>
        <w:tc>
          <w:tcPr>
            <w:tcW w:w="2057" w:type="dxa"/>
          </w:tcPr>
          <w:p w14:paraId="6C7AEEF0" w14:textId="77777777" w:rsidR="00632B9F" w:rsidRPr="00DA702B" w:rsidRDefault="00632B9F" w:rsidP="00DA702B">
            <w:pPr>
              <w:rPr>
                <w:sz w:val="20"/>
                <w:szCs w:val="20"/>
              </w:rPr>
            </w:pPr>
          </w:p>
        </w:tc>
        <w:tc>
          <w:tcPr>
            <w:tcW w:w="2057" w:type="dxa"/>
          </w:tcPr>
          <w:p w14:paraId="432D667F" w14:textId="77777777" w:rsidR="00632B9F" w:rsidRPr="00DA702B" w:rsidRDefault="00632B9F" w:rsidP="00DA702B">
            <w:pPr>
              <w:rPr>
                <w:sz w:val="20"/>
                <w:szCs w:val="20"/>
              </w:rPr>
            </w:pPr>
          </w:p>
        </w:tc>
        <w:tc>
          <w:tcPr>
            <w:tcW w:w="2058" w:type="dxa"/>
          </w:tcPr>
          <w:p w14:paraId="3FC1F2F9" w14:textId="77777777" w:rsidR="00632B9F" w:rsidRPr="00DA702B" w:rsidRDefault="00632B9F" w:rsidP="00DA702B">
            <w:pPr>
              <w:rPr>
                <w:sz w:val="20"/>
                <w:szCs w:val="20"/>
              </w:rPr>
            </w:pPr>
          </w:p>
        </w:tc>
        <w:tc>
          <w:tcPr>
            <w:tcW w:w="2057" w:type="dxa"/>
          </w:tcPr>
          <w:p w14:paraId="0E931653" w14:textId="77777777" w:rsidR="00632B9F" w:rsidRPr="00DA702B" w:rsidRDefault="00632B9F" w:rsidP="00DA702B">
            <w:pPr>
              <w:rPr>
                <w:sz w:val="20"/>
                <w:szCs w:val="20"/>
              </w:rPr>
            </w:pPr>
          </w:p>
        </w:tc>
      </w:tr>
      <w:tr w:rsidR="00632B9F" w:rsidRPr="00DA702B" w14:paraId="3F92E291" w14:textId="77777777" w:rsidTr="00632B9F">
        <w:trPr>
          <w:cantSplit/>
          <w:trHeight w:val="346"/>
          <w:tblHeader/>
        </w:trPr>
        <w:tc>
          <w:tcPr>
            <w:tcW w:w="2057" w:type="dxa"/>
          </w:tcPr>
          <w:p w14:paraId="18DE9DD7" w14:textId="77777777" w:rsidR="00632B9F" w:rsidRPr="00DA702B" w:rsidRDefault="00632B9F" w:rsidP="00DA702B">
            <w:pPr>
              <w:rPr>
                <w:sz w:val="20"/>
                <w:szCs w:val="20"/>
              </w:rPr>
            </w:pPr>
          </w:p>
        </w:tc>
        <w:tc>
          <w:tcPr>
            <w:tcW w:w="2057" w:type="dxa"/>
          </w:tcPr>
          <w:p w14:paraId="2F5A07D7" w14:textId="77777777" w:rsidR="00632B9F" w:rsidRPr="00DA702B" w:rsidRDefault="00632B9F" w:rsidP="00DA702B">
            <w:pPr>
              <w:rPr>
                <w:sz w:val="20"/>
                <w:szCs w:val="20"/>
              </w:rPr>
            </w:pPr>
          </w:p>
        </w:tc>
        <w:tc>
          <w:tcPr>
            <w:tcW w:w="2058" w:type="dxa"/>
          </w:tcPr>
          <w:p w14:paraId="2BEB8891" w14:textId="77777777" w:rsidR="00632B9F" w:rsidRPr="00DA702B" w:rsidRDefault="00632B9F" w:rsidP="00DA702B">
            <w:pPr>
              <w:rPr>
                <w:sz w:val="20"/>
                <w:szCs w:val="20"/>
              </w:rPr>
            </w:pPr>
          </w:p>
        </w:tc>
        <w:tc>
          <w:tcPr>
            <w:tcW w:w="2057" w:type="dxa"/>
          </w:tcPr>
          <w:p w14:paraId="05E2E4C4" w14:textId="77777777" w:rsidR="00632B9F" w:rsidRPr="00DA702B" w:rsidRDefault="00632B9F" w:rsidP="00DA702B">
            <w:pPr>
              <w:rPr>
                <w:sz w:val="20"/>
                <w:szCs w:val="20"/>
              </w:rPr>
            </w:pPr>
          </w:p>
        </w:tc>
      </w:tr>
      <w:tr w:rsidR="00632B9F" w:rsidRPr="00DA702B" w14:paraId="7864912B" w14:textId="77777777" w:rsidTr="00632B9F">
        <w:trPr>
          <w:cantSplit/>
          <w:trHeight w:val="346"/>
          <w:tblHeader/>
        </w:trPr>
        <w:tc>
          <w:tcPr>
            <w:tcW w:w="2057" w:type="dxa"/>
          </w:tcPr>
          <w:p w14:paraId="010AB1BE" w14:textId="77777777" w:rsidR="00632B9F" w:rsidRPr="00DA702B" w:rsidRDefault="00632B9F" w:rsidP="00DA702B">
            <w:pPr>
              <w:rPr>
                <w:sz w:val="20"/>
                <w:szCs w:val="20"/>
              </w:rPr>
            </w:pPr>
          </w:p>
        </w:tc>
        <w:tc>
          <w:tcPr>
            <w:tcW w:w="2057" w:type="dxa"/>
          </w:tcPr>
          <w:p w14:paraId="12516A11" w14:textId="77777777" w:rsidR="00632B9F" w:rsidRPr="00DA702B" w:rsidRDefault="00632B9F" w:rsidP="00DA702B">
            <w:pPr>
              <w:rPr>
                <w:sz w:val="20"/>
                <w:szCs w:val="20"/>
              </w:rPr>
            </w:pPr>
          </w:p>
        </w:tc>
        <w:tc>
          <w:tcPr>
            <w:tcW w:w="2058" w:type="dxa"/>
          </w:tcPr>
          <w:p w14:paraId="585ECFD0" w14:textId="77777777" w:rsidR="00632B9F" w:rsidRPr="00DA702B" w:rsidRDefault="00632B9F" w:rsidP="00DA702B">
            <w:pPr>
              <w:rPr>
                <w:sz w:val="20"/>
                <w:szCs w:val="20"/>
              </w:rPr>
            </w:pPr>
          </w:p>
        </w:tc>
        <w:tc>
          <w:tcPr>
            <w:tcW w:w="2057" w:type="dxa"/>
          </w:tcPr>
          <w:p w14:paraId="48574866" w14:textId="77777777" w:rsidR="00632B9F" w:rsidRPr="00DA702B" w:rsidRDefault="00632B9F" w:rsidP="00DA702B">
            <w:pPr>
              <w:rPr>
                <w:sz w:val="20"/>
                <w:szCs w:val="20"/>
              </w:rPr>
            </w:pPr>
          </w:p>
        </w:tc>
      </w:tr>
      <w:tr w:rsidR="00632B9F" w:rsidRPr="00DA702B" w14:paraId="7600F0D5" w14:textId="77777777" w:rsidTr="00632B9F">
        <w:trPr>
          <w:cantSplit/>
          <w:trHeight w:val="346"/>
          <w:tblHeader/>
        </w:trPr>
        <w:tc>
          <w:tcPr>
            <w:tcW w:w="2057" w:type="dxa"/>
          </w:tcPr>
          <w:p w14:paraId="452208A5" w14:textId="77777777" w:rsidR="00632B9F" w:rsidRPr="00DA702B" w:rsidRDefault="00632B9F" w:rsidP="00DA702B">
            <w:pPr>
              <w:rPr>
                <w:sz w:val="20"/>
                <w:szCs w:val="20"/>
              </w:rPr>
            </w:pPr>
          </w:p>
        </w:tc>
        <w:tc>
          <w:tcPr>
            <w:tcW w:w="2057" w:type="dxa"/>
          </w:tcPr>
          <w:p w14:paraId="45B27CAE" w14:textId="77777777" w:rsidR="00632B9F" w:rsidRPr="00DA702B" w:rsidRDefault="00632B9F" w:rsidP="00DA702B">
            <w:pPr>
              <w:rPr>
                <w:sz w:val="20"/>
                <w:szCs w:val="20"/>
              </w:rPr>
            </w:pPr>
          </w:p>
        </w:tc>
        <w:tc>
          <w:tcPr>
            <w:tcW w:w="2058" w:type="dxa"/>
          </w:tcPr>
          <w:p w14:paraId="6B65F7C6" w14:textId="77777777" w:rsidR="00632B9F" w:rsidRPr="00DA702B" w:rsidRDefault="00632B9F" w:rsidP="00DA702B">
            <w:pPr>
              <w:rPr>
                <w:sz w:val="20"/>
                <w:szCs w:val="20"/>
              </w:rPr>
            </w:pPr>
          </w:p>
        </w:tc>
        <w:tc>
          <w:tcPr>
            <w:tcW w:w="2057" w:type="dxa"/>
          </w:tcPr>
          <w:p w14:paraId="41DF5B98" w14:textId="77777777" w:rsidR="00632B9F" w:rsidRPr="00DA702B" w:rsidRDefault="00632B9F" w:rsidP="00DA702B">
            <w:pPr>
              <w:rPr>
                <w:sz w:val="20"/>
                <w:szCs w:val="20"/>
              </w:rPr>
            </w:pPr>
          </w:p>
        </w:tc>
      </w:tr>
      <w:tr w:rsidR="00632B9F" w:rsidRPr="00DA702B" w14:paraId="2FD8D6DA" w14:textId="77777777" w:rsidTr="00632B9F">
        <w:trPr>
          <w:cantSplit/>
          <w:trHeight w:val="346"/>
          <w:tblHeader/>
        </w:trPr>
        <w:tc>
          <w:tcPr>
            <w:tcW w:w="2057" w:type="dxa"/>
          </w:tcPr>
          <w:p w14:paraId="1D23FF43" w14:textId="77777777" w:rsidR="00632B9F" w:rsidRPr="00DA702B" w:rsidRDefault="00632B9F" w:rsidP="00DA702B">
            <w:pPr>
              <w:rPr>
                <w:sz w:val="20"/>
                <w:szCs w:val="20"/>
              </w:rPr>
            </w:pPr>
          </w:p>
        </w:tc>
        <w:tc>
          <w:tcPr>
            <w:tcW w:w="2057" w:type="dxa"/>
          </w:tcPr>
          <w:p w14:paraId="090465C4" w14:textId="77777777" w:rsidR="00632B9F" w:rsidRPr="00DA702B" w:rsidRDefault="00632B9F" w:rsidP="00DA702B">
            <w:pPr>
              <w:rPr>
                <w:sz w:val="20"/>
                <w:szCs w:val="20"/>
              </w:rPr>
            </w:pPr>
          </w:p>
        </w:tc>
        <w:tc>
          <w:tcPr>
            <w:tcW w:w="2058" w:type="dxa"/>
          </w:tcPr>
          <w:p w14:paraId="08C0BB11" w14:textId="77777777" w:rsidR="00632B9F" w:rsidRPr="00DA702B" w:rsidRDefault="00632B9F" w:rsidP="00DA702B">
            <w:pPr>
              <w:rPr>
                <w:sz w:val="20"/>
                <w:szCs w:val="20"/>
              </w:rPr>
            </w:pPr>
          </w:p>
        </w:tc>
        <w:tc>
          <w:tcPr>
            <w:tcW w:w="2057" w:type="dxa"/>
          </w:tcPr>
          <w:p w14:paraId="64D52AC1" w14:textId="77777777" w:rsidR="00632B9F" w:rsidRPr="00DA702B" w:rsidRDefault="00632B9F" w:rsidP="00DA702B">
            <w:pPr>
              <w:rPr>
                <w:sz w:val="20"/>
                <w:szCs w:val="20"/>
              </w:rPr>
            </w:pPr>
          </w:p>
        </w:tc>
      </w:tr>
    </w:tbl>
    <w:p w14:paraId="0B1B1E66" w14:textId="77777777" w:rsidR="00DA702B" w:rsidRPr="00DA702B" w:rsidRDefault="00DA702B" w:rsidP="00DA702B">
      <w:pPr>
        <w:numPr>
          <w:ilvl w:val="0"/>
          <w:numId w:val="56"/>
        </w:numPr>
        <w:tabs>
          <w:tab w:val="num" w:pos="360"/>
        </w:tabs>
        <w:contextualSpacing/>
        <w:outlineLvl w:val="0"/>
        <w:rPr>
          <w:b/>
          <w:bCs/>
        </w:rPr>
      </w:pPr>
      <w:r w:rsidRPr="00DA702B">
        <w:rPr>
          <w:b/>
          <w:bCs/>
        </w:rPr>
        <w:br w:type="page"/>
      </w:r>
    </w:p>
    <w:p w14:paraId="2A69D3FF" w14:textId="77777777" w:rsidR="00DA702B" w:rsidRPr="00DA702B" w:rsidRDefault="00DA702B" w:rsidP="00AC3210">
      <w:pPr>
        <w:widowControl w:val="0"/>
        <w:jc w:val="center"/>
        <w:rPr>
          <w:rFonts w:eastAsiaTheme="majorEastAsia"/>
          <w:b/>
          <w:bCs/>
        </w:rPr>
      </w:pPr>
      <w:r w:rsidRPr="00DA702B">
        <w:rPr>
          <w:rFonts w:eastAsiaTheme="majorEastAsia"/>
          <w:b/>
          <w:bCs/>
        </w:rPr>
        <w:lastRenderedPageBreak/>
        <w:t>Boiler/Steam Generator/Steam Generating Unit Attributes</w:t>
      </w:r>
    </w:p>
    <w:p w14:paraId="38F6A62B" w14:textId="77777777" w:rsidR="00DA702B" w:rsidRPr="00DA702B" w:rsidRDefault="00DA702B" w:rsidP="00AC3210">
      <w:pPr>
        <w:widowControl w:val="0"/>
        <w:jc w:val="center"/>
        <w:rPr>
          <w:rFonts w:eastAsiaTheme="majorEastAsia"/>
          <w:b/>
          <w:bCs/>
        </w:rPr>
      </w:pPr>
      <w:r w:rsidRPr="00DA702B">
        <w:rPr>
          <w:rFonts w:eastAsiaTheme="majorEastAsia"/>
          <w:b/>
          <w:bCs/>
        </w:rPr>
        <w:t>Form OP-UA6 (Page 11)</w:t>
      </w:r>
    </w:p>
    <w:p w14:paraId="695192DD" w14:textId="77777777" w:rsidR="00DA702B" w:rsidRPr="00DA702B" w:rsidRDefault="00DA702B" w:rsidP="00AC3210">
      <w:pPr>
        <w:widowControl w:val="0"/>
        <w:jc w:val="center"/>
        <w:rPr>
          <w:rFonts w:eastAsiaTheme="majorEastAsia"/>
          <w:b/>
          <w:bCs/>
        </w:rPr>
      </w:pPr>
      <w:r w:rsidRPr="00DA702B">
        <w:rPr>
          <w:rFonts w:eastAsiaTheme="majorEastAsia"/>
          <w:b/>
          <w:bCs/>
        </w:rPr>
        <w:t>Federal Operating Permit Program</w:t>
      </w:r>
    </w:p>
    <w:p w14:paraId="797C20EB" w14:textId="77777777" w:rsidR="00DA702B" w:rsidRPr="00DA702B" w:rsidRDefault="00DA702B" w:rsidP="00AC3210">
      <w:pPr>
        <w:widowControl w:val="0"/>
        <w:jc w:val="center"/>
        <w:rPr>
          <w:b/>
          <w:bCs/>
        </w:rPr>
      </w:pPr>
      <w:bookmarkStart w:id="173" w:name="TBL_4a"/>
      <w:r w:rsidRPr="00DA702B">
        <w:rPr>
          <w:b/>
          <w:bCs/>
        </w:rPr>
        <w:t>Table 4a</w:t>
      </w:r>
      <w:bookmarkEnd w:id="173"/>
      <w:r w:rsidRPr="00DA702B">
        <w:rPr>
          <w:b/>
          <w:bCs/>
        </w:rPr>
        <w:t>:  Title 40 Code of Federal Regulations Part 60 (40 CFR Part 60)</w:t>
      </w:r>
    </w:p>
    <w:p w14:paraId="2A07C225" w14:textId="77777777" w:rsidR="00DA702B" w:rsidRPr="00DA702B" w:rsidRDefault="00DA702B" w:rsidP="00AC3210">
      <w:pPr>
        <w:widowControl w:val="0"/>
        <w:jc w:val="center"/>
        <w:rPr>
          <w:b/>
          <w:bCs/>
        </w:rPr>
      </w:pPr>
      <w:r w:rsidRPr="00DA702B">
        <w:rPr>
          <w:b/>
          <w:bCs/>
        </w:rPr>
        <w:t>Subpart Dc:  Standards of Performance for Industrial-Commercial-Institutional Steam Generating Units</w:t>
      </w:r>
    </w:p>
    <w:p w14:paraId="06AFD924" w14:textId="77777777" w:rsidR="00DA702B" w:rsidRPr="00DA702B" w:rsidRDefault="00DA702B" w:rsidP="00AC3210">
      <w:pPr>
        <w:widowControl w:val="0"/>
        <w:jc w:val="center"/>
        <w:rPr>
          <w:b/>
          <w:bCs/>
        </w:rPr>
      </w:pPr>
      <w:r w:rsidRPr="00DA702B">
        <w:rPr>
          <w:b/>
          <w:bCs/>
        </w:rPr>
        <w:t>Texas Commission on Environmental Quality</w:t>
      </w:r>
    </w:p>
    <w:p w14:paraId="2329E96F"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4a:  Title 40 Code of Federal Regulations Part 60 (40 CFR Part 60)&#10;Subpart Dc:  Standards of Performance for Industrial-Commercial Steam Generating Units&#10;&#10;"/>
      </w:tblPr>
      <w:tblGrid>
        <w:gridCol w:w="4800"/>
        <w:gridCol w:w="4800"/>
        <w:gridCol w:w="4800"/>
      </w:tblGrid>
      <w:tr w:rsidR="00DA702B" w:rsidRPr="00DA702B" w14:paraId="10551C56" w14:textId="77777777" w:rsidTr="00247007">
        <w:trPr>
          <w:cantSplit/>
          <w:tblHeader/>
        </w:trPr>
        <w:tc>
          <w:tcPr>
            <w:tcW w:w="4800" w:type="dxa"/>
            <w:shd w:val="clear" w:color="auto" w:fill="D9D9D9" w:themeFill="background1" w:themeFillShade="D9"/>
          </w:tcPr>
          <w:p w14:paraId="19ED1960"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37F32761"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063A943A"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78419BD8" w14:textId="77777777" w:rsidTr="00247007">
        <w:trPr>
          <w:cantSplit/>
          <w:tblHeader/>
        </w:trPr>
        <w:tc>
          <w:tcPr>
            <w:tcW w:w="4800" w:type="dxa"/>
          </w:tcPr>
          <w:p w14:paraId="2C2CC99D" w14:textId="77777777" w:rsidR="00DA702B" w:rsidRPr="00DA702B" w:rsidRDefault="00DA702B" w:rsidP="00DA702B">
            <w:pPr>
              <w:rPr>
                <w:rFonts w:asciiTheme="majorHAnsi" w:hAnsiTheme="majorHAnsi" w:cstheme="majorHAnsi"/>
              </w:rPr>
            </w:pPr>
          </w:p>
        </w:tc>
        <w:tc>
          <w:tcPr>
            <w:tcW w:w="4800" w:type="dxa"/>
          </w:tcPr>
          <w:p w14:paraId="4D3F529E" w14:textId="77777777" w:rsidR="00DA702B" w:rsidRPr="00DA702B" w:rsidRDefault="00DA702B" w:rsidP="00DA702B">
            <w:pPr>
              <w:rPr>
                <w:rFonts w:asciiTheme="majorHAnsi" w:hAnsiTheme="majorHAnsi" w:cstheme="majorHAnsi"/>
              </w:rPr>
            </w:pPr>
          </w:p>
        </w:tc>
        <w:tc>
          <w:tcPr>
            <w:tcW w:w="4800" w:type="dxa"/>
          </w:tcPr>
          <w:p w14:paraId="11515549" w14:textId="77777777" w:rsidR="00DA702B" w:rsidRPr="00DA702B" w:rsidRDefault="00DA702B" w:rsidP="00DA702B">
            <w:pPr>
              <w:rPr>
                <w:rFonts w:asciiTheme="majorHAnsi" w:hAnsiTheme="majorHAnsi" w:cstheme="majorHAnsi"/>
              </w:rPr>
            </w:pPr>
          </w:p>
        </w:tc>
      </w:tr>
    </w:tbl>
    <w:p w14:paraId="0804B4DE"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4a:  Title 40 Code of Federal Regulations Part 60 (40 CFR Part 60)&#10;Subpart Dc:  Standards of Performance for Industrial-Commercial Steam Generating Units&#10;"/>
      </w:tblPr>
      <w:tblGrid>
        <w:gridCol w:w="1199"/>
        <w:gridCol w:w="1199"/>
        <w:gridCol w:w="1359"/>
        <w:gridCol w:w="1041"/>
        <w:gridCol w:w="1299"/>
        <w:gridCol w:w="1101"/>
        <w:gridCol w:w="1200"/>
        <w:gridCol w:w="1200"/>
        <w:gridCol w:w="1200"/>
        <w:gridCol w:w="1200"/>
        <w:gridCol w:w="1201"/>
        <w:gridCol w:w="1201"/>
      </w:tblGrid>
      <w:tr w:rsidR="00DA702B" w:rsidRPr="00DA702B" w14:paraId="077E2BE7" w14:textId="77777777" w:rsidTr="00247007">
        <w:trPr>
          <w:cantSplit/>
          <w:tblHeader/>
        </w:trPr>
        <w:tc>
          <w:tcPr>
            <w:tcW w:w="1199" w:type="dxa"/>
            <w:shd w:val="clear" w:color="auto" w:fill="D9D9D9" w:themeFill="background1" w:themeFillShade="D9"/>
            <w:vAlign w:val="bottom"/>
          </w:tcPr>
          <w:p w14:paraId="379B64D1" w14:textId="77777777" w:rsidR="00DA702B" w:rsidRPr="00DA702B" w:rsidRDefault="00DA702B" w:rsidP="00DA702B">
            <w:pPr>
              <w:jc w:val="center"/>
              <w:rPr>
                <w:sz w:val="20"/>
                <w:szCs w:val="20"/>
              </w:rPr>
            </w:pPr>
            <w:r w:rsidRPr="00DA702B">
              <w:rPr>
                <w:b/>
                <w:sz w:val="20"/>
                <w:szCs w:val="20"/>
              </w:rPr>
              <w:t>Unit ID No.</w:t>
            </w:r>
          </w:p>
        </w:tc>
        <w:tc>
          <w:tcPr>
            <w:tcW w:w="1199" w:type="dxa"/>
            <w:shd w:val="clear" w:color="auto" w:fill="D9D9D9" w:themeFill="background1" w:themeFillShade="D9"/>
            <w:vAlign w:val="bottom"/>
          </w:tcPr>
          <w:p w14:paraId="5F777A4B" w14:textId="77777777" w:rsidR="00DA702B" w:rsidRPr="00DA702B" w:rsidRDefault="00DA702B" w:rsidP="00DA702B">
            <w:pPr>
              <w:jc w:val="center"/>
              <w:rPr>
                <w:b/>
                <w:sz w:val="20"/>
                <w:szCs w:val="20"/>
              </w:rPr>
            </w:pPr>
            <w:r w:rsidRPr="00DA702B">
              <w:rPr>
                <w:b/>
                <w:sz w:val="20"/>
                <w:szCs w:val="20"/>
              </w:rPr>
              <w:t>SOP</w:t>
            </w:r>
          </w:p>
          <w:p w14:paraId="059B7D52" w14:textId="77777777" w:rsidR="00DA702B" w:rsidRPr="00DA702B" w:rsidRDefault="00DA702B" w:rsidP="00DA702B">
            <w:pPr>
              <w:jc w:val="center"/>
              <w:rPr>
                <w:sz w:val="20"/>
                <w:szCs w:val="20"/>
              </w:rPr>
            </w:pPr>
            <w:r w:rsidRPr="00DA702B">
              <w:rPr>
                <w:b/>
                <w:sz w:val="20"/>
                <w:szCs w:val="20"/>
              </w:rPr>
              <w:t>Index No.</w:t>
            </w:r>
          </w:p>
        </w:tc>
        <w:tc>
          <w:tcPr>
            <w:tcW w:w="1359" w:type="dxa"/>
            <w:shd w:val="clear" w:color="auto" w:fill="D9D9D9" w:themeFill="background1" w:themeFillShade="D9"/>
            <w:vAlign w:val="bottom"/>
          </w:tcPr>
          <w:p w14:paraId="39235FBF" w14:textId="77777777" w:rsidR="00DA702B" w:rsidRPr="00DA702B" w:rsidRDefault="00DA702B" w:rsidP="00DA702B">
            <w:pPr>
              <w:jc w:val="center"/>
              <w:rPr>
                <w:sz w:val="20"/>
                <w:szCs w:val="20"/>
              </w:rPr>
            </w:pPr>
            <w:r w:rsidRPr="00DA702B">
              <w:rPr>
                <w:b/>
                <w:sz w:val="20"/>
                <w:szCs w:val="20"/>
              </w:rPr>
              <w:t>Construction/Modification Date</w:t>
            </w:r>
          </w:p>
        </w:tc>
        <w:tc>
          <w:tcPr>
            <w:tcW w:w="1041" w:type="dxa"/>
            <w:shd w:val="clear" w:color="auto" w:fill="D9D9D9" w:themeFill="background1" w:themeFillShade="D9"/>
            <w:vAlign w:val="bottom"/>
          </w:tcPr>
          <w:p w14:paraId="1D1CFBA1" w14:textId="77777777" w:rsidR="00DA702B" w:rsidRPr="00DA702B" w:rsidRDefault="00DA702B" w:rsidP="00DA702B">
            <w:pPr>
              <w:jc w:val="center"/>
              <w:rPr>
                <w:sz w:val="20"/>
                <w:szCs w:val="20"/>
              </w:rPr>
            </w:pPr>
            <w:r w:rsidRPr="00DA702B">
              <w:rPr>
                <w:b/>
                <w:sz w:val="20"/>
                <w:szCs w:val="20"/>
              </w:rPr>
              <w:t>Maximum Design Heat Input Capacity</w:t>
            </w:r>
          </w:p>
        </w:tc>
        <w:tc>
          <w:tcPr>
            <w:tcW w:w="1299" w:type="dxa"/>
            <w:shd w:val="clear" w:color="auto" w:fill="D9D9D9" w:themeFill="background1" w:themeFillShade="D9"/>
            <w:vAlign w:val="bottom"/>
          </w:tcPr>
          <w:p w14:paraId="7BEE0FC6" w14:textId="77777777" w:rsidR="00DA702B" w:rsidRPr="00DA702B" w:rsidRDefault="00DA702B" w:rsidP="00DA702B">
            <w:pPr>
              <w:jc w:val="center"/>
              <w:rPr>
                <w:sz w:val="20"/>
                <w:szCs w:val="20"/>
              </w:rPr>
            </w:pPr>
            <w:r w:rsidRPr="00DA702B">
              <w:rPr>
                <w:b/>
                <w:sz w:val="20"/>
                <w:szCs w:val="20"/>
              </w:rPr>
              <w:t>Applicability</w:t>
            </w:r>
          </w:p>
        </w:tc>
        <w:tc>
          <w:tcPr>
            <w:tcW w:w="1101" w:type="dxa"/>
            <w:shd w:val="clear" w:color="auto" w:fill="D9D9D9" w:themeFill="background1" w:themeFillShade="D9"/>
            <w:vAlign w:val="bottom"/>
          </w:tcPr>
          <w:p w14:paraId="76E01949" w14:textId="77777777" w:rsidR="00DA702B" w:rsidRPr="00DA702B" w:rsidRDefault="00DA702B" w:rsidP="00DA702B">
            <w:pPr>
              <w:jc w:val="center"/>
              <w:rPr>
                <w:sz w:val="20"/>
                <w:szCs w:val="20"/>
              </w:rPr>
            </w:pPr>
            <w:r w:rsidRPr="00DA702B">
              <w:rPr>
                <w:b/>
                <w:sz w:val="20"/>
                <w:szCs w:val="20"/>
              </w:rPr>
              <w:t>Heat Input Capacity</w:t>
            </w:r>
          </w:p>
        </w:tc>
        <w:tc>
          <w:tcPr>
            <w:tcW w:w="1200" w:type="dxa"/>
            <w:shd w:val="clear" w:color="auto" w:fill="D9D9D9" w:themeFill="background1" w:themeFillShade="D9"/>
            <w:vAlign w:val="bottom"/>
          </w:tcPr>
          <w:p w14:paraId="0E36F730" w14:textId="77777777" w:rsidR="00DA702B" w:rsidRPr="00DA702B" w:rsidRDefault="00DA702B" w:rsidP="00DA702B">
            <w:pPr>
              <w:jc w:val="center"/>
              <w:rPr>
                <w:sz w:val="20"/>
                <w:szCs w:val="20"/>
              </w:rPr>
            </w:pPr>
            <w:r w:rsidRPr="00DA702B">
              <w:rPr>
                <w:b/>
                <w:sz w:val="20"/>
                <w:szCs w:val="20"/>
              </w:rPr>
              <w:t>D-Series Fuel Type</w:t>
            </w:r>
          </w:p>
        </w:tc>
        <w:tc>
          <w:tcPr>
            <w:tcW w:w="1200" w:type="dxa"/>
            <w:shd w:val="clear" w:color="auto" w:fill="D9D9D9" w:themeFill="background1" w:themeFillShade="D9"/>
            <w:vAlign w:val="bottom"/>
          </w:tcPr>
          <w:p w14:paraId="6DB5B50A" w14:textId="77777777" w:rsidR="00DA702B" w:rsidRPr="00DA702B" w:rsidRDefault="00DA702B" w:rsidP="00DA702B">
            <w:pPr>
              <w:jc w:val="center"/>
              <w:rPr>
                <w:sz w:val="20"/>
                <w:szCs w:val="20"/>
              </w:rPr>
            </w:pPr>
            <w:r w:rsidRPr="00DA702B">
              <w:rPr>
                <w:b/>
                <w:sz w:val="20"/>
                <w:szCs w:val="20"/>
              </w:rPr>
              <w:t>D-Series Fuel Type</w:t>
            </w:r>
          </w:p>
        </w:tc>
        <w:tc>
          <w:tcPr>
            <w:tcW w:w="1200" w:type="dxa"/>
            <w:shd w:val="clear" w:color="auto" w:fill="D9D9D9" w:themeFill="background1" w:themeFillShade="D9"/>
            <w:vAlign w:val="bottom"/>
          </w:tcPr>
          <w:p w14:paraId="6EEF4135" w14:textId="77777777" w:rsidR="00DA702B" w:rsidRPr="00DA702B" w:rsidRDefault="00DA702B" w:rsidP="00DA702B">
            <w:pPr>
              <w:jc w:val="center"/>
              <w:rPr>
                <w:sz w:val="20"/>
                <w:szCs w:val="20"/>
              </w:rPr>
            </w:pPr>
            <w:r w:rsidRPr="00DA702B">
              <w:rPr>
                <w:b/>
                <w:sz w:val="20"/>
                <w:szCs w:val="20"/>
              </w:rPr>
              <w:t>D-Series Fuel Type</w:t>
            </w:r>
          </w:p>
        </w:tc>
        <w:tc>
          <w:tcPr>
            <w:tcW w:w="1200" w:type="dxa"/>
            <w:shd w:val="clear" w:color="auto" w:fill="D9D9D9" w:themeFill="background1" w:themeFillShade="D9"/>
            <w:vAlign w:val="bottom"/>
          </w:tcPr>
          <w:p w14:paraId="6BA582C4" w14:textId="77777777" w:rsidR="00DA702B" w:rsidRPr="00DA702B" w:rsidRDefault="00DA702B" w:rsidP="00DA702B">
            <w:pPr>
              <w:jc w:val="center"/>
              <w:rPr>
                <w:sz w:val="20"/>
                <w:szCs w:val="20"/>
              </w:rPr>
            </w:pPr>
            <w:r w:rsidRPr="00DA702B">
              <w:rPr>
                <w:b/>
                <w:sz w:val="20"/>
                <w:szCs w:val="20"/>
              </w:rPr>
              <w:t>ACF Option SO</w:t>
            </w:r>
            <w:r w:rsidRPr="00DA702B">
              <w:rPr>
                <w:b/>
                <w:sz w:val="20"/>
                <w:szCs w:val="20"/>
                <w:vertAlign w:val="subscript"/>
              </w:rPr>
              <w:t>2</w:t>
            </w:r>
          </w:p>
        </w:tc>
        <w:tc>
          <w:tcPr>
            <w:tcW w:w="1201" w:type="dxa"/>
            <w:shd w:val="clear" w:color="auto" w:fill="D9D9D9" w:themeFill="background1" w:themeFillShade="D9"/>
            <w:vAlign w:val="bottom"/>
          </w:tcPr>
          <w:p w14:paraId="4796846D" w14:textId="77777777" w:rsidR="00DA702B" w:rsidRPr="00DA702B" w:rsidRDefault="00DA702B" w:rsidP="00DA702B">
            <w:pPr>
              <w:jc w:val="center"/>
              <w:rPr>
                <w:b/>
                <w:sz w:val="20"/>
                <w:szCs w:val="20"/>
              </w:rPr>
            </w:pPr>
            <w:r w:rsidRPr="00DA702B">
              <w:rPr>
                <w:b/>
                <w:sz w:val="20"/>
                <w:szCs w:val="20"/>
              </w:rPr>
              <w:t>ACF</w:t>
            </w:r>
          </w:p>
          <w:p w14:paraId="746320BD" w14:textId="77777777" w:rsidR="00DA702B" w:rsidRPr="00DA702B" w:rsidRDefault="00DA702B" w:rsidP="00DA702B">
            <w:pPr>
              <w:jc w:val="center"/>
              <w:rPr>
                <w:sz w:val="20"/>
                <w:szCs w:val="20"/>
              </w:rPr>
            </w:pPr>
            <w:r w:rsidRPr="00DA702B">
              <w:rPr>
                <w:b/>
                <w:sz w:val="20"/>
                <w:szCs w:val="20"/>
              </w:rPr>
              <w:t>Option PM</w:t>
            </w:r>
          </w:p>
        </w:tc>
        <w:tc>
          <w:tcPr>
            <w:tcW w:w="1201" w:type="dxa"/>
            <w:shd w:val="clear" w:color="auto" w:fill="D9D9D9" w:themeFill="background1" w:themeFillShade="D9"/>
            <w:vAlign w:val="bottom"/>
          </w:tcPr>
          <w:p w14:paraId="19EBD605" w14:textId="77777777" w:rsidR="00DA702B" w:rsidRPr="00DA702B" w:rsidRDefault="00DA702B" w:rsidP="00DA702B">
            <w:pPr>
              <w:jc w:val="center"/>
              <w:rPr>
                <w:sz w:val="20"/>
                <w:szCs w:val="20"/>
              </w:rPr>
            </w:pPr>
            <w:r w:rsidRPr="00DA702B">
              <w:rPr>
                <w:b/>
                <w:sz w:val="20"/>
                <w:szCs w:val="20"/>
              </w:rPr>
              <w:t>30% Coal Duct Burner</w:t>
            </w:r>
          </w:p>
        </w:tc>
      </w:tr>
      <w:tr w:rsidR="00DA702B" w:rsidRPr="00DA702B" w14:paraId="4D8BEFA1" w14:textId="77777777" w:rsidTr="00247007">
        <w:trPr>
          <w:cantSplit/>
          <w:trHeight w:val="346"/>
          <w:tblHeader/>
        </w:trPr>
        <w:tc>
          <w:tcPr>
            <w:tcW w:w="1199" w:type="dxa"/>
          </w:tcPr>
          <w:p w14:paraId="0E66E53C" w14:textId="77777777" w:rsidR="00DA702B" w:rsidRPr="00DA702B" w:rsidRDefault="00DA702B" w:rsidP="00DA702B">
            <w:pPr>
              <w:rPr>
                <w:sz w:val="20"/>
                <w:szCs w:val="20"/>
              </w:rPr>
            </w:pPr>
          </w:p>
        </w:tc>
        <w:tc>
          <w:tcPr>
            <w:tcW w:w="1199" w:type="dxa"/>
          </w:tcPr>
          <w:p w14:paraId="1C74D7A3" w14:textId="77777777" w:rsidR="00DA702B" w:rsidRPr="00DA702B" w:rsidRDefault="00DA702B" w:rsidP="00DA702B">
            <w:pPr>
              <w:rPr>
                <w:sz w:val="20"/>
                <w:szCs w:val="20"/>
              </w:rPr>
            </w:pPr>
          </w:p>
        </w:tc>
        <w:tc>
          <w:tcPr>
            <w:tcW w:w="1359" w:type="dxa"/>
          </w:tcPr>
          <w:p w14:paraId="49813B77" w14:textId="77777777" w:rsidR="00DA702B" w:rsidRPr="00DA702B" w:rsidRDefault="00DA702B" w:rsidP="00DA702B">
            <w:pPr>
              <w:rPr>
                <w:sz w:val="20"/>
                <w:szCs w:val="20"/>
              </w:rPr>
            </w:pPr>
          </w:p>
        </w:tc>
        <w:tc>
          <w:tcPr>
            <w:tcW w:w="1041" w:type="dxa"/>
          </w:tcPr>
          <w:p w14:paraId="7DD3275B" w14:textId="77777777" w:rsidR="00DA702B" w:rsidRPr="00DA702B" w:rsidRDefault="00DA702B" w:rsidP="00DA702B">
            <w:pPr>
              <w:rPr>
                <w:sz w:val="20"/>
                <w:szCs w:val="20"/>
              </w:rPr>
            </w:pPr>
          </w:p>
        </w:tc>
        <w:tc>
          <w:tcPr>
            <w:tcW w:w="1299" w:type="dxa"/>
          </w:tcPr>
          <w:p w14:paraId="2899DA2D" w14:textId="77777777" w:rsidR="00DA702B" w:rsidRPr="00DA702B" w:rsidRDefault="00DA702B" w:rsidP="00DA702B">
            <w:pPr>
              <w:rPr>
                <w:sz w:val="20"/>
                <w:szCs w:val="20"/>
              </w:rPr>
            </w:pPr>
          </w:p>
        </w:tc>
        <w:tc>
          <w:tcPr>
            <w:tcW w:w="1101" w:type="dxa"/>
          </w:tcPr>
          <w:p w14:paraId="3153BD9A" w14:textId="77777777" w:rsidR="00DA702B" w:rsidRPr="00DA702B" w:rsidRDefault="00DA702B" w:rsidP="00DA702B">
            <w:pPr>
              <w:rPr>
                <w:sz w:val="20"/>
                <w:szCs w:val="20"/>
              </w:rPr>
            </w:pPr>
          </w:p>
        </w:tc>
        <w:tc>
          <w:tcPr>
            <w:tcW w:w="1200" w:type="dxa"/>
          </w:tcPr>
          <w:p w14:paraId="749D7AD5" w14:textId="77777777" w:rsidR="00DA702B" w:rsidRPr="00DA702B" w:rsidRDefault="00DA702B" w:rsidP="00DA702B">
            <w:pPr>
              <w:rPr>
                <w:sz w:val="20"/>
                <w:szCs w:val="20"/>
              </w:rPr>
            </w:pPr>
          </w:p>
        </w:tc>
        <w:tc>
          <w:tcPr>
            <w:tcW w:w="1200" w:type="dxa"/>
          </w:tcPr>
          <w:p w14:paraId="587E3EEE" w14:textId="77777777" w:rsidR="00DA702B" w:rsidRPr="00DA702B" w:rsidRDefault="00DA702B" w:rsidP="00DA702B">
            <w:pPr>
              <w:rPr>
                <w:sz w:val="20"/>
                <w:szCs w:val="20"/>
              </w:rPr>
            </w:pPr>
          </w:p>
        </w:tc>
        <w:tc>
          <w:tcPr>
            <w:tcW w:w="1200" w:type="dxa"/>
          </w:tcPr>
          <w:p w14:paraId="7E410C8B" w14:textId="77777777" w:rsidR="00DA702B" w:rsidRPr="00DA702B" w:rsidRDefault="00DA702B" w:rsidP="00DA702B">
            <w:pPr>
              <w:rPr>
                <w:sz w:val="20"/>
                <w:szCs w:val="20"/>
              </w:rPr>
            </w:pPr>
          </w:p>
        </w:tc>
        <w:tc>
          <w:tcPr>
            <w:tcW w:w="1200" w:type="dxa"/>
          </w:tcPr>
          <w:p w14:paraId="208B39C4" w14:textId="77777777" w:rsidR="00DA702B" w:rsidRPr="00DA702B" w:rsidRDefault="00DA702B" w:rsidP="00DA702B">
            <w:pPr>
              <w:rPr>
                <w:sz w:val="20"/>
                <w:szCs w:val="20"/>
              </w:rPr>
            </w:pPr>
          </w:p>
        </w:tc>
        <w:tc>
          <w:tcPr>
            <w:tcW w:w="1201" w:type="dxa"/>
          </w:tcPr>
          <w:p w14:paraId="1833E50E" w14:textId="77777777" w:rsidR="00DA702B" w:rsidRPr="00DA702B" w:rsidRDefault="00DA702B" w:rsidP="00DA702B">
            <w:pPr>
              <w:rPr>
                <w:sz w:val="20"/>
                <w:szCs w:val="20"/>
              </w:rPr>
            </w:pPr>
          </w:p>
        </w:tc>
        <w:tc>
          <w:tcPr>
            <w:tcW w:w="1201" w:type="dxa"/>
          </w:tcPr>
          <w:p w14:paraId="19E6FD31" w14:textId="77777777" w:rsidR="00DA702B" w:rsidRPr="00DA702B" w:rsidRDefault="00DA702B" w:rsidP="00DA702B">
            <w:pPr>
              <w:rPr>
                <w:sz w:val="20"/>
                <w:szCs w:val="20"/>
              </w:rPr>
            </w:pPr>
          </w:p>
        </w:tc>
      </w:tr>
      <w:tr w:rsidR="00DA702B" w:rsidRPr="00DA702B" w14:paraId="70F006CC" w14:textId="77777777" w:rsidTr="00247007">
        <w:trPr>
          <w:cantSplit/>
          <w:trHeight w:val="346"/>
          <w:tblHeader/>
        </w:trPr>
        <w:tc>
          <w:tcPr>
            <w:tcW w:w="1199" w:type="dxa"/>
          </w:tcPr>
          <w:p w14:paraId="0C74E17D" w14:textId="77777777" w:rsidR="00DA702B" w:rsidRPr="00DA702B" w:rsidRDefault="00DA702B" w:rsidP="00DA702B">
            <w:pPr>
              <w:rPr>
                <w:sz w:val="20"/>
                <w:szCs w:val="20"/>
              </w:rPr>
            </w:pPr>
          </w:p>
        </w:tc>
        <w:tc>
          <w:tcPr>
            <w:tcW w:w="1199" w:type="dxa"/>
          </w:tcPr>
          <w:p w14:paraId="7AFB1E65" w14:textId="77777777" w:rsidR="00DA702B" w:rsidRPr="00DA702B" w:rsidRDefault="00DA702B" w:rsidP="00DA702B">
            <w:pPr>
              <w:rPr>
                <w:sz w:val="20"/>
                <w:szCs w:val="20"/>
              </w:rPr>
            </w:pPr>
          </w:p>
        </w:tc>
        <w:tc>
          <w:tcPr>
            <w:tcW w:w="1359" w:type="dxa"/>
          </w:tcPr>
          <w:p w14:paraId="0ECA0C6B" w14:textId="77777777" w:rsidR="00DA702B" w:rsidRPr="00DA702B" w:rsidRDefault="00DA702B" w:rsidP="00DA702B">
            <w:pPr>
              <w:rPr>
                <w:sz w:val="20"/>
                <w:szCs w:val="20"/>
              </w:rPr>
            </w:pPr>
          </w:p>
        </w:tc>
        <w:tc>
          <w:tcPr>
            <w:tcW w:w="1041" w:type="dxa"/>
          </w:tcPr>
          <w:p w14:paraId="784B24EF" w14:textId="77777777" w:rsidR="00DA702B" w:rsidRPr="00DA702B" w:rsidRDefault="00DA702B" w:rsidP="00DA702B">
            <w:pPr>
              <w:rPr>
                <w:sz w:val="20"/>
                <w:szCs w:val="20"/>
              </w:rPr>
            </w:pPr>
          </w:p>
        </w:tc>
        <w:tc>
          <w:tcPr>
            <w:tcW w:w="1299" w:type="dxa"/>
          </w:tcPr>
          <w:p w14:paraId="75D4CA46" w14:textId="77777777" w:rsidR="00DA702B" w:rsidRPr="00DA702B" w:rsidRDefault="00DA702B" w:rsidP="00DA702B">
            <w:pPr>
              <w:rPr>
                <w:sz w:val="20"/>
                <w:szCs w:val="20"/>
              </w:rPr>
            </w:pPr>
          </w:p>
        </w:tc>
        <w:tc>
          <w:tcPr>
            <w:tcW w:w="1101" w:type="dxa"/>
          </w:tcPr>
          <w:p w14:paraId="7F60DD88" w14:textId="77777777" w:rsidR="00DA702B" w:rsidRPr="00DA702B" w:rsidRDefault="00DA702B" w:rsidP="00DA702B">
            <w:pPr>
              <w:rPr>
                <w:sz w:val="20"/>
                <w:szCs w:val="20"/>
              </w:rPr>
            </w:pPr>
          </w:p>
        </w:tc>
        <w:tc>
          <w:tcPr>
            <w:tcW w:w="1200" w:type="dxa"/>
          </w:tcPr>
          <w:p w14:paraId="421F9F38" w14:textId="77777777" w:rsidR="00DA702B" w:rsidRPr="00DA702B" w:rsidRDefault="00DA702B" w:rsidP="00DA702B">
            <w:pPr>
              <w:rPr>
                <w:sz w:val="20"/>
                <w:szCs w:val="20"/>
              </w:rPr>
            </w:pPr>
          </w:p>
        </w:tc>
        <w:tc>
          <w:tcPr>
            <w:tcW w:w="1200" w:type="dxa"/>
          </w:tcPr>
          <w:p w14:paraId="522C0813" w14:textId="77777777" w:rsidR="00DA702B" w:rsidRPr="00DA702B" w:rsidRDefault="00DA702B" w:rsidP="00DA702B">
            <w:pPr>
              <w:rPr>
                <w:sz w:val="20"/>
                <w:szCs w:val="20"/>
              </w:rPr>
            </w:pPr>
          </w:p>
        </w:tc>
        <w:tc>
          <w:tcPr>
            <w:tcW w:w="1200" w:type="dxa"/>
          </w:tcPr>
          <w:p w14:paraId="7E3EADD8" w14:textId="77777777" w:rsidR="00DA702B" w:rsidRPr="00DA702B" w:rsidRDefault="00DA702B" w:rsidP="00DA702B">
            <w:pPr>
              <w:rPr>
                <w:sz w:val="20"/>
                <w:szCs w:val="20"/>
              </w:rPr>
            </w:pPr>
          </w:p>
        </w:tc>
        <w:tc>
          <w:tcPr>
            <w:tcW w:w="1200" w:type="dxa"/>
          </w:tcPr>
          <w:p w14:paraId="45A03BB8" w14:textId="77777777" w:rsidR="00DA702B" w:rsidRPr="00DA702B" w:rsidRDefault="00DA702B" w:rsidP="00DA702B">
            <w:pPr>
              <w:rPr>
                <w:sz w:val="20"/>
                <w:szCs w:val="20"/>
              </w:rPr>
            </w:pPr>
          </w:p>
        </w:tc>
        <w:tc>
          <w:tcPr>
            <w:tcW w:w="1201" w:type="dxa"/>
          </w:tcPr>
          <w:p w14:paraId="2F1FCC40" w14:textId="77777777" w:rsidR="00DA702B" w:rsidRPr="00DA702B" w:rsidRDefault="00DA702B" w:rsidP="00DA702B">
            <w:pPr>
              <w:rPr>
                <w:sz w:val="20"/>
                <w:szCs w:val="20"/>
              </w:rPr>
            </w:pPr>
          </w:p>
        </w:tc>
        <w:tc>
          <w:tcPr>
            <w:tcW w:w="1201" w:type="dxa"/>
          </w:tcPr>
          <w:p w14:paraId="71EB74E2" w14:textId="77777777" w:rsidR="00DA702B" w:rsidRPr="00DA702B" w:rsidRDefault="00DA702B" w:rsidP="00DA702B">
            <w:pPr>
              <w:rPr>
                <w:sz w:val="20"/>
                <w:szCs w:val="20"/>
              </w:rPr>
            </w:pPr>
          </w:p>
        </w:tc>
      </w:tr>
      <w:tr w:rsidR="00DA702B" w:rsidRPr="00DA702B" w14:paraId="3F597AA5" w14:textId="77777777" w:rsidTr="00247007">
        <w:trPr>
          <w:cantSplit/>
          <w:trHeight w:val="346"/>
          <w:tblHeader/>
        </w:trPr>
        <w:tc>
          <w:tcPr>
            <w:tcW w:w="1199" w:type="dxa"/>
          </w:tcPr>
          <w:p w14:paraId="4341B453" w14:textId="77777777" w:rsidR="00DA702B" w:rsidRPr="00DA702B" w:rsidRDefault="00DA702B" w:rsidP="00DA702B">
            <w:pPr>
              <w:rPr>
                <w:sz w:val="20"/>
                <w:szCs w:val="20"/>
              </w:rPr>
            </w:pPr>
          </w:p>
        </w:tc>
        <w:tc>
          <w:tcPr>
            <w:tcW w:w="1199" w:type="dxa"/>
          </w:tcPr>
          <w:p w14:paraId="4AAFA380" w14:textId="77777777" w:rsidR="00DA702B" w:rsidRPr="00DA702B" w:rsidRDefault="00DA702B" w:rsidP="00DA702B">
            <w:pPr>
              <w:rPr>
                <w:sz w:val="20"/>
                <w:szCs w:val="20"/>
              </w:rPr>
            </w:pPr>
          </w:p>
        </w:tc>
        <w:tc>
          <w:tcPr>
            <w:tcW w:w="1359" w:type="dxa"/>
          </w:tcPr>
          <w:p w14:paraId="4F204D0D" w14:textId="77777777" w:rsidR="00DA702B" w:rsidRPr="00DA702B" w:rsidRDefault="00DA702B" w:rsidP="00DA702B">
            <w:pPr>
              <w:rPr>
                <w:sz w:val="20"/>
                <w:szCs w:val="20"/>
              </w:rPr>
            </w:pPr>
          </w:p>
        </w:tc>
        <w:tc>
          <w:tcPr>
            <w:tcW w:w="1041" w:type="dxa"/>
          </w:tcPr>
          <w:p w14:paraId="2538C69D" w14:textId="77777777" w:rsidR="00DA702B" w:rsidRPr="00DA702B" w:rsidRDefault="00DA702B" w:rsidP="00DA702B">
            <w:pPr>
              <w:rPr>
                <w:sz w:val="20"/>
                <w:szCs w:val="20"/>
              </w:rPr>
            </w:pPr>
          </w:p>
        </w:tc>
        <w:tc>
          <w:tcPr>
            <w:tcW w:w="1299" w:type="dxa"/>
          </w:tcPr>
          <w:p w14:paraId="0E28352D" w14:textId="77777777" w:rsidR="00DA702B" w:rsidRPr="00DA702B" w:rsidRDefault="00DA702B" w:rsidP="00DA702B">
            <w:pPr>
              <w:rPr>
                <w:sz w:val="20"/>
                <w:szCs w:val="20"/>
              </w:rPr>
            </w:pPr>
          </w:p>
        </w:tc>
        <w:tc>
          <w:tcPr>
            <w:tcW w:w="1101" w:type="dxa"/>
          </w:tcPr>
          <w:p w14:paraId="378CC568" w14:textId="77777777" w:rsidR="00DA702B" w:rsidRPr="00DA702B" w:rsidRDefault="00DA702B" w:rsidP="00DA702B">
            <w:pPr>
              <w:rPr>
                <w:sz w:val="20"/>
                <w:szCs w:val="20"/>
              </w:rPr>
            </w:pPr>
          </w:p>
        </w:tc>
        <w:tc>
          <w:tcPr>
            <w:tcW w:w="1200" w:type="dxa"/>
          </w:tcPr>
          <w:p w14:paraId="2E7DFA41" w14:textId="77777777" w:rsidR="00DA702B" w:rsidRPr="00DA702B" w:rsidRDefault="00DA702B" w:rsidP="00DA702B">
            <w:pPr>
              <w:rPr>
                <w:sz w:val="20"/>
                <w:szCs w:val="20"/>
              </w:rPr>
            </w:pPr>
          </w:p>
        </w:tc>
        <w:tc>
          <w:tcPr>
            <w:tcW w:w="1200" w:type="dxa"/>
          </w:tcPr>
          <w:p w14:paraId="31F6506D" w14:textId="77777777" w:rsidR="00DA702B" w:rsidRPr="00DA702B" w:rsidRDefault="00DA702B" w:rsidP="00DA702B">
            <w:pPr>
              <w:rPr>
                <w:sz w:val="20"/>
                <w:szCs w:val="20"/>
              </w:rPr>
            </w:pPr>
          </w:p>
        </w:tc>
        <w:tc>
          <w:tcPr>
            <w:tcW w:w="1200" w:type="dxa"/>
          </w:tcPr>
          <w:p w14:paraId="51784402" w14:textId="77777777" w:rsidR="00DA702B" w:rsidRPr="00DA702B" w:rsidRDefault="00DA702B" w:rsidP="00DA702B">
            <w:pPr>
              <w:rPr>
                <w:sz w:val="20"/>
                <w:szCs w:val="20"/>
              </w:rPr>
            </w:pPr>
          </w:p>
        </w:tc>
        <w:tc>
          <w:tcPr>
            <w:tcW w:w="1200" w:type="dxa"/>
          </w:tcPr>
          <w:p w14:paraId="0DD5D579" w14:textId="77777777" w:rsidR="00DA702B" w:rsidRPr="00DA702B" w:rsidRDefault="00DA702B" w:rsidP="00DA702B">
            <w:pPr>
              <w:rPr>
                <w:sz w:val="20"/>
                <w:szCs w:val="20"/>
              </w:rPr>
            </w:pPr>
          </w:p>
        </w:tc>
        <w:tc>
          <w:tcPr>
            <w:tcW w:w="1201" w:type="dxa"/>
          </w:tcPr>
          <w:p w14:paraId="5F6B4724" w14:textId="77777777" w:rsidR="00DA702B" w:rsidRPr="00DA702B" w:rsidRDefault="00DA702B" w:rsidP="00DA702B">
            <w:pPr>
              <w:rPr>
                <w:sz w:val="20"/>
                <w:szCs w:val="20"/>
              </w:rPr>
            </w:pPr>
          </w:p>
        </w:tc>
        <w:tc>
          <w:tcPr>
            <w:tcW w:w="1201" w:type="dxa"/>
          </w:tcPr>
          <w:p w14:paraId="31951528" w14:textId="77777777" w:rsidR="00DA702B" w:rsidRPr="00DA702B" w:rsidRDefault="00DA702B" w:rsidP="00DA702B">
            <w:pPr>
              <w:rPr>
                <w:sz w:val="20"/>
                <w:szCs w:val="20"/>
              </w:rPr>
            </w:pPr>
          </w:p>
        </w:tc>
      </w:tr>
      <w:tr w:rsidR="00DA702B" w:rsidRPr="00DA702B" w14:paraId="387AFBE6" w14:textId="77777777" w:rsidTr="00247007">
        <w:trPr>
          <w:cantSplit/>
          <w:trHeight w:val="346"/>
          <w:tblHeader/>
        </w:trPr>
        <w:tc>
          <w:tcPr>
            <w:tcW w:w="1199" w:type="dxa"/>
          </w:tcPr>
          <w:p w14:paraId="66C2E0FC" w14:textId="77777777" w:rsidR="00DA702B" w:rsidRPr="00DA702B" w:rsidRDefault="00DA702B" w:rsidP="00DA702B">
            <w:pPr>
              <w:rPr>
                <w:sz w:val="20"/>
                <w:szCs w:val="20"/>
              </w:rPr>
            </w:pPr>
          </w:p>
        </w:tc>
        <w:tc>
          <w:tcPr>
            <w:tcW w:w="1199" w:type="dxa"/>
          </w:tcPr>
          <w:p w14:paraId="5D3E039A" w14:textId="77777777" w:rsidR="00DA702B" w:rsidRPr="00DA702B" w:rsidRDefault="00DA702B" w:rsidP="00DA702B">
            <w:pPr>
              <w:rPr>
                <w:sz w:val="20"/>
                <w:szCs w:val="20"/>
              </w:rPr>
            </w:pPr>
          </w:p>
        </w:tc>
        <w:tc>
          <w:tcPr>
            <w:tcW w:w="1359" w:type="dxa"/>
          </w:tcPr>
          <w:p w14:paraId="2F1D25E7" w14:textId="77777777" w:rsidR="00DA702B" w:rsidRPr="00DA702B" w:rsidRDefault="00DA702B" w:rsidP="00DA702B">
            <w:pPr>
              <w:rPr>
                <w:sz w:val="20"/>
                <w:szCs w:val="20"/>
              </w:rPr>
            </w:pPr>
          </w:p>
        </w:tc>
        <w:tc>
          <w:tcPr>
            <w:tcW w:w="1041" w:type="dxa"/>
          </w:tcPr>
          <w:p w14:paraId="0C43EB88" w14:textId="77777777" w:rsidR="00DA702B" w:rsidRPr="00DA702B" w:rsidRDefault="00DA702B" w:rsidP="00DA702B">
            <w:pPr>
              <w:rPr>
                <w:sz w:val="20"/>
                <w:szCs w:val="20"/>
              </w:rPr>
            </w:pPr>
          </w:p>
        </w:tc>
        <w:tc>
          <w:tcPr>
            <w:tcW w:w="1299" w:type="dxa"/>
          </w:tcPr>
          <w:p w14:paraId="24AF875E" w14:textId="77777777" w:rsidR="00DA702B" w:rsidRPr="00DA702B" w:rsidRDefault="00DA702B" w:rsidP="00DA702B">
            <w:pPr>
              <w:rPr>
                <w:sz w:val="20"/>
                <w:szCs w:val="20"/>
              </w:rPr>
            </w:pPr>
          </w:p>
        </w:tc>
        <w:tc>
          <w:tcPr>
            <w:tcW w:w="1101" w:type="dxa"/>
          </w:tcPr>
          <w:p w14:paraId="7CE8D525" w14:textId="77777777" w:rsidR="00DA702B" w:rsidRPr="00DA702B" w:rsidRDefault="00DA702B" w:rsidP="00DA702B">
            <w:pPr>
              <w:rPr>
                <w:sz w:val="20"/>
                <w:szCs w:val="20"/>
              </w:rPr>
            </w:pPr>
          </w:p>
        </w:tc>
        <w:tc>
          <w:tcPr>
            <w:tcW w:w="1200" w:type="dxa"/>
          </w:tcPr>
          <w:p w14:paraId="0B45EEE5" w14:textId="77777777" w:rsidR="00DA702B" w:rsidRPr="00DA702B" w:rsidRDefault="00DA702B" w:rsidP="00DA702B">
            <w:pPr>
              <w:rPr>
                <w:sz w:val="20"/>
                <w:szCs w:val="20"/>
              </w:rPr>
            </w:pPr>
          </w:p>
        </w:tc>
        <w:tc>
          <w:tcPr>
            <w:tcW w:w="1200" w:type="dxa"/>
          </w:tcPr>
          <w:p w14:paraId="14EA83D0" w14:textId="77777777" w:rsidR="00DA702B" w:rsidRPr="00DA702B" w:rsidRDefault="00DA702B" w:rsidP="00DA702B">
            <w:pPr>
              <w:rPr>
                <w:sz w:val="20"/>
                <w:szCs w:val="20"/>
              </w:rPr>
            </w:pPr>
          </w:p>
        </w:tc>
        <w:tc>
          <w:tcPr>
            <w:tcW w:w="1200" w:type="dxa"/>
          </w:tcPr>
          <w:p w14:paraId="03CF7405" w14:textId="77777777" w:rsidR="00DA702B" w:rsidRPr="00DA702B" w:rsidRDefault="00DA702B" w:rsidP="00DA702B">
            <w:pPr>
              <w:rPr>
                <w:sz w:val="20"/>
                <w:szCs w:val="20"/>
              </w:rPr>
            </w:pPr>
          </w:p>
        </w:tc>
        <w:tc>
          <w:tcPr>
            <w:tcW w:w="1200" w:type="dxa"/>
          </w:tcPr>
          <w:p w14:paraId="48A292CC" w14:textId="77777777" w:rsidR="00DA702B" w:rsidRPr="00DA702B" w:rsidRDefault="00DA702B" w:rsidP="00DA702B">
            <w:pPr>
              <w:rPr>
                <w:sz w:val="20"/>
                <w:szCs w:val="20"/>
              </w:rPr>
            </w:pPr>
          </w:p>
        </w:tc>
        <w:tc>
          <w:tcPr>
            <w:tcW w:w="1201" w:type="dxa"/>
          </w:tcPr>
          <w:p w14:paraId="1FE671AE" w14:textId="77777777" w:rsidR="00DA702B" w:rsidRPr="00DA702B" w:rsidRDefault="00DA702B" w:rsidP="00DA702B">
            <w:pPr>
              <w:rPr>
                <w:sz w:val="20"/>
                <w:szCs w:val="20"/>
              </w:rPr>
            </w:pPr>
          </w:p>
        </w:tc>
        <w:tc>
          <w:tcPr>
            <w:tcW w:w="1201" w:type="dxa"/>
          </w:tcPr>
          <w:p w14:paraId="66A3E452" w14:textId="77777777" w:rsidR="00DA702B" w:rsidRPr="00DA702B" w:rsidRDefault="00DA702B" w:rsidP="00DA702B">
            <w:pPr>
              <w:rPr>
                <w:sz w:val="20"/>
                <w:szCs w:val="20"/>
              </w:rPr>
            </w:pPr>
          </w:p>
        </w:tc>
      </w:tr>
      <w:tr w:rsidR="00DA702B" w:rsidRPr="00DA702B" w14:paraId="4E7C582C" w14:textId="77777777" w:rsidTr="00247007">
        <w:trPr>
          <w:cantSplit/>
          <w:trHeight w:val="346"/>
          <w:tblHeader/>
        </w:trPr>
        <w:tc>
          <w:tcPr>
            <w:tcW w:w="1199" w:type="dxa"/>
          </w:tcPr>
          <w:p w14:paraId="611E85C9" w14:textId="77777777" w:rsidR="00DA702B" w:rsidRPr="00DA702B" w:rsidRDefault="00DA702B" w:rsidP="00DA702B">
            <w:pPr>
              <w:rPr>
                <w:sz w:val="20"/>
                <w:szCs w:val="20"/>
              </w:rPr>
            </w:pPr>
          </w:p>
        </w:tc>
        <w:tc>
          <w:tcPr>
            <w:tcW w:w="1199" w:type="dxa"/>
          </w:tcPr>
          <w:p w14:paraId="6AFF6B0D" w14:textId="77777777" w:rsidR="00DA702B" w:rsidRPr="00DA702B" w:rsidRDefault="00DA702B" w:rsidP="00DA702B">
            <w:pPr>
              <w:rPr>
                <w:sz w:val="20"/>
                <w:szCs w:val="20"/>
              </w:rPr>
            </w:pPr>
          </w:p>
        </w:tc>
        <w:tc>
          <w:tcPr>
            <w:tcW w:w="1359" w:type="dxa"/>
          </w:tcPr>
          <w:p w14:paraId="63BAB54D" w14:textId="77777777" w:rsidR="00DA702B" w:rsidRPr="00DA702B" w:rsidRDefault="00DA702B" w:rsidP="00DA702B">
            <w:pPr>
              <w:rPr>
                <w:sz w:val="20"/>
                <w:szCs w:val="20"/>
              </w:rPr>
            </w:pPr>
          </w:p>
        </w:tc>
        <w:tc>
          <w:tcPr>
            <w:tcW w:w="1041" w:type="dxa"/>
          </w:tcPr>
          <w:p w14:paraId="0CCA3440" w14:textId="77777777" w:rsidR="00DA702B" w:rsidRPr="00DA702B" w:rsidRDefault="00DA702B" w:rsidP="00DA702B">
            <w:pPr>
              <w:rPr>
                <w:sz w:val="20"/>
                <w:szCs w:val="20"/>
              </w:rPr>
            </w:pPr>
          </w:p>
        </w:tc>
        <w:tc>
          <w:tcPr>
            <w:tcW w:w="1299" w:type="dxa"/>
          </w:tcPr>
          <w:p w14:paraId="44433698" w14:textId="77777777" w:rsidR="00DA702B" w:rsidRPr="00DA702B" w:rsidRDefault="00DA702B" w:rsidP="00DA702B">
            <w:pPr>
              <w:rPr>
                <w:sz w:val="20"/>
                <w:szCs w:val="20"/>
              </w:rPr>
            </w:pPr>
          </w:p>
        </w:tc>
        <w:tc>
          <w:tcPr>
            <w:tcW w:w="1101" w:type="dxa"/>
          </w:tcPr>
          <w:p w14:paraId="619239A9" w14:textId="77777777" w:rsidR="00DA702B" w:rsidRPr="00DA702B" w:rsidRDefault="00DA702B" w:rsidP="00DA702B">
            <w:pPr>
              <w:rPr>
                <w:sz w:val="20"/>
                <w:szCs w:val="20"/>
              </w:rPr>
            </w:pPr>
          </w:p>
        </w:tc>
        <w:tc>
          <w:tcPr>
            <w:tcW w:w="1200" w:type="dxa"/>
          </w:tcPr>
          <w:p w14:paraId="41BAFD6F" w14:textId="77777777" w:rsidR="00DA702B" w:rsidRPr="00DA702B" w:rsidRDefault="00DA702B" w:rsidP="00DA702B">
            <w:pPr>
              <w:rPr>
                <w:sz w:val="20"/>
                <w:szCs w:val="20"/>
              </w:rPr>
            </w:pPr>
          </w:p>
        </w:tc>
        <w:tc>
          <w:tcPr>
            <w:tcW w:w="1200" w:type="dxa"/>
          </w:tcPr>
          <w:p w14:paraId="3D995A86" w14:textId="77777777" w:rsidR="00DA702B" w:rsidRPr="00DA702B" w:rsidRDefault="00DA702B" w:rsidP="00DA702B">
            <w:pPr>
              <w:rPr>
                <w:sz w:val="20"/>
                <w:szCs w:val="20"/>
              </w:rPr>
            </w:pPr>
          </w:p>
        </w:tc>
        <w:tc>
          <w:tcPr>
            <w:tcW w:w="1200" w:type="dxa"/>
          </w:tcPr>
          <w:p w14:paraId="3F32A04B" w14:textId="77777777" w:rsidR="00DA702B" w:rsidRPr="00DA702B" w:rsidRDefault="00DA702B" w:rsidP="00DA702B">
            <w:pPr>
              <w:rPr>
                <w:sz w:val="20"/>
                <w:szCs w:val="20"/>
              </w:rPr>
            </w:pPr>
          </w:p>
        </w:tc>
        <w:tc>
          <w:tcPr>
            <w:tcW w:w="1200" w:type="dxa"/>
          </w:tcPr>
          <w:p w14:paraId="143C4061" w14:textId="77777777" w:rsidR="00DA702B" w:rsidRPr="00DA702B" w:rsidRDefault="00DA702B" w:rsidP="00DA702B">
            <w:pPr>
              <w:rPr>
                <w:sz w:val="20"/>
                <w:szCs w:val="20"/>
              </w:rPr>
            </w:pPr>
          </w:p>
        </w:tc>
        <w:tc>
          <w:tcPr>
            <w:tcW w:w="1201" w:type="dxa"/>
          </w:tcPr>
          <w:p w14:paraId="667E88A0" w14:textId="77777777" w:rsidR="00DA702B" w:rsidRPr="00DA702B" w:rsidRDefault="00DA702B" w:rsidP="00DA702B">
            <w:pPr>
              <w:rPr>
                <w:sz w:val="20"/>
                <w:szCs w:val="20"/>
              </w:rPr>
            </w:pPr>
          </w:p>
        </w:tc>
        <w:tc>
          <w:tcPr>
            <w:tcW w:w="1201" w:type="dxa"/>
          </w:tcPr>
          <w:p w14:paraId="1F4C5598" w14:textId="77777777" w:rsidR="00DA702B" w:rsidRPr="00DA702B" w:rsidRDefault="00DA702B" w:rsidP="00DA702B">
            <w:pPr>
              <w:rPr>
                <w:sz w:val="20"/>
                <w:szCs w:val="20"/>
              </w:rPr>
            </w:pPr>
          </w:p>
        </w:tc>
      </w:tr>
      <w:tr w:rsidR="00DA702B" w:rsidRPr="00DA702B" w14:paraId="2402A33E" w14:textId="77777777" w:rsidTr="00247007">
        <w:trPr>
          <w:cantSplit/>
          <w:trHeight w:val="346"/>
          <w:tblHeader/>
        </w:trPr>
        <w:tc>
          <w:tcPr>
            <w:tcW w:w="1199" w:type="dxa"/>
          </w:tcPr>
          <w:p w14:paraId="134F736B" w14:textId="77777777" w:rsidR="00DA702B" w:rsidRPr="00DA702B" w:rsidRDefault="00DA702B" w:rsidP="00DA702B">
            <w:pPr>
              <w:rPr>
                <w:sz w:val="20"/>
                <w:szCs w:val="20"/>
              </w:rPr>
            </w:pPr>
          </w:p>
        </w:tc>
        <w:tc>
          <w:tcPr>
            <w:tcW w:w="1199" w:type="dxa"/>
          </w:tcPr>
          <w:p w14:paraId="6A0B84C5" w14:textId="77777777" w:rsidR="00DA702B" w:rsidRPr="00DA702B" w:rsidRDefault="00DA702B" w:rsidP="00DA702B">
            <w:pPr>
              <w:rPr>
                <w:sz w:val="20"/>
                <w:szCs w:val="20"/>
              </w:rPr>
            </w:pPr>
          </w:p>
        </w:tc>
        <w:tc>
          <w:tcPr>
            <w:tcW w:w="1359" w:type="dxa"/>
          </w:tcPr>
          <w:p w14:paraId="56F15C8C" w14:textId="77777777" w:rsidR="00DA702B" w:rsidRPr="00DA702B" w:rsidRDefault="00DA702B" w:rsidP="00DA702B">
            <w:pPr>
              <w:rPr>
                <w:sz w:val="20"/>
                <w:szCs w:val="20"/>
              </w:rPr>
            </w:pPr>
          </w:p>
        </w:tc>
        <w:tc>
          <w:tcPr>
            <w:tcW w:w="1041" w:type="dxa"/>
          </w:tcPr>
          <w:p w14:paraId="04783EAE" w14:textId="77777777" w:rsidR="00DA702B" w:rsidRPr="00DA702B" w:rsidRDefault="00DA702B" w:rsidP="00DA702B">
            <w:pPr>
              <w:rPr>
                <w:sz w:val="20"/>
                <w:szCs w:val="20"/>
              </w:rPr>
            </w:pPr>
          </w:p>
        </w:tc>
        <w:tc>
          <w:tcPr>
            <w:tcW w:w="1299" w:type="dxa"/>
          </w:tcPr>
          <w:p w14:paraId="14094832" w14:textId="77777777" w:rsidR="00DA702B" w:rsidRPr="00DA702B" w:rsidRDefault="00DA702B" w:rsidP="00DA702B">
            <w:pPr>
              <w:rPr>
                <w:sz w:val="20"/>
                <w:szCs w:val="20"/>
              </w:rPr>
            </w:pPr>
          </w:p>
        </w:tc>
        <w:tc>
          <w:tcPr>
            <w:tcW w:w="1101" w:type="dxa"/>
          </w:tcPr>
          <w:p w14:paraId="4323555E" w14:textId="77777777" w:rsidR="00DA702B" w:rsidRPr="00DA702B" w:rsidRDefault="00DA702B" w:rsidP="00DA702B">
            <w:pPr>
              <w:rPr>
                <w:sz w:val="20"/>
                <w:szCs w:val="20"/>
              </w:rPr>
            </w:pPr>
          </w:p>
        </w:tc>
        <w:tc>
          <w:tcPr>
            <w:tcW w:w="1200" w:type="dxa"/>
          </w:tcPr>
          <w:p w14:paraId="3D8EE19F" w14:textId="77777777" w:rsidR="00DA702B" w:rsidRPr="00DA702B" w:rsidRDefault="00DA702B" w:rsidP="00DA702B">
            <w:pPr>
              <w:rPr>
                <w:sz w:val="20"/>
                <w:szCs w:val="20"/>
              </w:rPr>
            </w:pPr>
          </w:p>
        </w:tc>
        <w:tc>
          <w:tcPr>
            <w:tcW w:w="1200" w:type="dxa"/>
          </w:tcPr>
          <w:p w14:paraId="2D726EE0" w14:textId="77777777" w:rsidR="00DA702B" w:rsidRPr="00DA702B" w:rsidRDefault="00DA702B" w:rsidP="00DA702B">
            <w:pPr>
              <w:rPr>
                <w:sz w:val="20"/>
                <w:szCs w:val="20"/>
              </w:rPr>
            </w:pPr>
          </w:p>
        </w:tc>
        <w:tc>
          <w:tcPr>
            <w:tcW w:w="1200" w:type="dxa"/>
          </w:tcPr>
          <w:p w14:paraId="1A144040" w14:textId="77777777" w:rsidR="00DA702B" w:rsidRPr="00DA702B" w:rsidRDefault="00DA702B" w:rsidP="00DA702B">
            <w:pPr>
              <w:rPr>
                <w:sz w:val="20"/>
                <w:szCs w:val="20"/>
              </w:rPr>
            </w:pPr>
          </w:p>
        </w:tc>
        <w:tc>
          <w:tcPr>
            <w:tcW w:w="1200" w:type="dxa"/>
          </w:tcPr>
          <w:p w14:paraId="15F1858F" w14:textId="77777777" w:rsidR="00DA702B" w:rsidRPr="00DA702B" w:rsidRDefault="00DA702B" w:rsidP="00DA702B">
            <w:pPr>
              <w:rPr>
                <w:sz w:val="20"/>
                <w:szCs w:val="20"/>
              </w:rPr>
            </w:pPr>
          </w:p>
        </w:tc>
        <w:tc>
          <w:tcPr>
            <w:tcW w:w="1201" w:type="dxa"/>
          </w:tcPr>
          <w:p w14:paraId="6D9D7C2A" w14:textId="77777777" w:rsidR="00DA702B" w:rsidRPr="00DA702B" w:rsidRDefault="00DA702B" w:rsidP="00DA702B">
            <w:pPr>
              <w:rPr>
                <w:sz w:val="20"/>
                <w:szCs w:val="20"/>
              </w:rPr>
            </w:pPr>
          </w:p>
        </w:tc>
        <w:tc>
          <w:tcPr>
            <w:tcW w:w="1201" w:type="dxa"/>
          </w:tcPr>
          <w:p w14:paraId="4DB14075" w14:textId="77777777" w:rsidR="00DA702B" w:rsidRPr="00DA702B" w:rsidRDefault="00DA702B" w:rsidP="00DA702B">
            <w:pPr>
              <w:rPr>
                <w:sz w:val="20"/>
                <w:szCs w:val="20"/>
              </w:rPr>
            </w:pPr>
          </w:p>
        </w:tc>
      </w:tr>
      <w:tr w:rsidR="00DA702B" w:rsidRPr="00DA702B" w14:paraId="593DBBB7" w14:textId="77777777" w:rsidTr="00247007">
        <w:trPr>
          <w:cantSplit/>
          <w:trHeight w:val="346"/>
          <w:tblHeader/>
        </w:trPr>
        <w:tc>
          <w:tcPr>
            <w:tcW w:w="1199" w:type="dxa"/>
          </w:tcPr>
          <w:p w14:paraId="143D5A17" w14:textId="77777777" w:rsidR="00DA702B" w:rsidRPr="00DA702B" w:rsidRDefault="00DA702B" w:rsidP="00DA702B">
            <w:pPr>
              <w:rPr>
                <w:sz w:val="20"/>
                <w:szCs w:val="20"/>
              </w:rPr>
            </w:pPr>
          </w:p>
        </w:tc>
        <w:tc>
          <w:tcPr>
            <w:tcW w:w="1199" w:type="dxa"/>
          </w:tcPr>
          <w:p w14:paraId="10B5F2A9" w14:textId="77777777" w:rsidR="00DA702B" w:rsidRPr="00DA702B" w:rsidRDefault="00DA702B" w:rsidP="00DA702B">
            <w:pPr>
              <w:rPr>
                <w:sz w:val="20"/>
                <w:szCs w:val="20"/>
              </w:rPr>
            </w:pPr>
          </w:p>
        </w:tc>
        <w:tc>
          <w:tcPr>
            <w:tcW w:w="1359" w:type="dxa"/>
          </w:tcPr>
          <w:p w14:paraId="2F2AE9C1" w14:textId="77777777" w:rsidR="00DA702B" w:rsidRPr="00DA702B" w:rsidRDefault="00DA702B" w:rsidP="00DA702B">
            <w:pPr>
              <w:rPr>
                <w:sz w:val="20"/>
                <w:szCs w:val="20"/>
              </w:rPr>
            </w:pPr>
          </w:p>
        </w:tc>
        <w:tc>
          <w:tcPr>
            <w:tcW w:w="1041" w:type="dxa"/>
          </w:tcPr>
          <w:p w14:paraId="1C5658F9" w14:textId="77777777" w:rsidR="00DA702B" w:rsidRPr="00DA702B" w:rsidRDefault="00DA702B" w:rsidP="00DA702B">
            <w:pPr>
              <w:rPr>
                <w:sz w:val="20"/>
                <w:szCs w:val="20"/>
              </w:rPr>
            </w:pPr>
          </w:p>
        </w:tc>
        <w:tc>
          <w:tcPr>
            <w:tcW w:w="1299" w:type="dxa"/>
          </w:tcPr>
          <w:p w14:paraId="37A0035A" w14:textId="77777777" w:rsidR="00DA702B" w:rsidRPr="00DA702B" w:rsidRDefault="00DA702B" w:rsidP="00DA702B">
            <w:pPr>
              <w:rPr>
                <w:sz w:val="20"/>
                <w:szCs w:val="20"/>
              </w:rPr>
            </w:pPr>
          </w:p>
        </w:tc>
        <w:tc>
          <w:tcPr>
            <w:tcW w:w="1101" w:type="dxa"/>
          </w:tcPr>
          <w:p w14:paraId="10AD64B2" w14:textId="77777777" w:rsidR="00DA702B" w:rsidRPr="00DA702B" w:rsidRDefault="00DA702B" w:rsidP="00DA702B">
            <w:pPr>
              <w:rPr>
                <w:sz w:val="20"/>
                <w:szCs w:val="20"/>
              </w:rPr>
            </w:pPr>
          </w:p>
        </w:tc>
        <w:tc>
          <w:tcPr>
            <w:tcW w:w="1200" w:type="dxa"/>
          </w:tcPr>
          <w:p w14:paraId="66FCC1B3" w14:textId="77777777" w:rsidR="00DA702B" w:rsidRPr="00DA702B" w:rsidRDefault="00DA702B" w:rsidP="00DA702B">
            <w:pPr>
              <w:rPr>
                <w:sz w:val="20"/>
                <w:szCs w:val="20"/>
              </w:rPr>
            </w:pPr>
          </w:p>
        </w:tc>
        <w:tc>
          <w:tcPr>
            <w:tcW w:w="1200" w:type="dxa"/>
          </w:tcPr>
          <w:p w14:paraId="099FE358" w14:textId="77777777" w:rsidR="00DA702B" w:rsidRPr="00DA702B" w:rsidRDefault="00DA702B" w:rsidP="00DA702B">
            <w:pPr>
              <w:rPr>
                <w:sz w:val="20"/>
                <w:szCs w:val="20"/>
              </w:rPr>
            </w:pPr>
          </w:p>
        </w:tc>
        <w:tc>
          <w:tcPr>
            <w:tcW w:w="1200" w:type="dxa"/>
          </w:tcPr>
          <w:p w14:paraId="55E16F59" w14:textId="77777777" w:rsidR="00DA702B" w:rsidRPr="00DA702B" w:rsidRDefault="00DA702B" w:rsidP="00DA702B">
            <w:pPr>
              <w:rPr>
                <w:sz w:val="20"/>
                <w:szCs w:val="20"/>
              </w:rPr>
            </w:pPr>
          </w:p>
        </w:tc>
        <w:tc>
          <w:tcPr>
            <w:tcW w:w="1200" w:type="dxa"/>
          </w:tcPr>
          <w:p w14:paraId="44799501" w14:textId="77777777" w:rsidR="00DA702B" w:rsidRPr="00DA702B" w:rsidRDefault="00DA702B" w:rsidP="00DA702B">
            <w:pPr>
              <w:rPr>
                <w:sz w:val="20"/>
                <w:szCs w:val="20"/>
              </w:rPr>
            </w:pPr>
          </w:p>
        </w:tc>
        <w:tc>
          <w:tcPr>
            <w:tcW w:w="1201" w:type="dxa"/>
          </w:tcPr>
          <w:p w14:paraId="075621E1" w14:textId="77777777" w:rsidR="00DA702B" w:rsidRPr="00DA702B" w:rsidRDefault="00DA702B" w:rsidP="00DA702B">
            <w:pPr>
              <w:rPr>
                <w:sz w:val="20"/>
                <w:szCs w:val="20"/>
              </w:rPr>
            </w:pPr>
          </w:p>
        </w:tc>
        <w:tc>
          <w:tcPr>
            <w:tcW w:w="1201" w:type="dxa"/>
          </w:tcPr>
          <w:p w14:paraId="0E5E7867" w14:textId="77777777" w:rsidR="00DA702B" w:rsidRPr="00DA702B" w:rsidRDefault="00DA702B" w:rsidP="00DA702B">
            <w:pPr>
              <w:rPr>
                <w:sz w:val="20"/>
                <w:szCs w:val="20"/>
              </w:rPr>
            </w:pPr>
          </w:p>
        </w:tc>
      </w:tr>
      <w:tr w:rsidR="00DA702B" w:rsidRPr="00DA702B" w14:paraId="000DF8E6" w14:textId="77777777" w:rsidTr="00247007">
        <w:trPr>
          <w:cantSplit/>
          <w:trHeight w:val="346"/>
          <w:tblHeader/>
        </w:trPr>
        <w:tc>
          <w:tcPr>
            <w:tcW w:w="1199" w:type="dxa"/>
          </w:tcPr>
          <w:p w14:paraId="30575371" w14:textId="77777777" w:rsidR="00DA702B" w:rsidRPr="00DA702B" w:rsidRDefault="00DA702B" w:rsidP="00DA702B">
            <w:pPr>
              <w:rPr>
                <w:sz w:val="20"/>
                <w:szCs w:val="20"/>
              </w:rPr>
            </w:pPr>
          </w:p>
        </w:tc>
        <w:tc>
          <w:tcPr>
            <w:tcW w:w="1199" w:type="dxa"/>
          </w:tcPr>
          <w:p w14:paraId="2128E879" w14:textId="77777777" w:rsidR="00DA702B" w:rsidRPr="00DA702B" w:rsidRDefault="00DA702B" w:rsidP="00DA702B">
            <w:pPr>
              <w:rPr>
                <w:sz w:val="20"/>
                <w:szCs w:val="20"/>
              </w:rPr>
            </w:pPr>
          </w:p>
        </w:tc>
        <w:tc>
          <w:tcPr>
            <w:tcW w:w="1359" w:type="dxa"/>
          </w:tcPr>
          <w:p w14:paraId="396B3C4E" w14:textId="77777777" w:rsidR="00DA702B" w:rsidRPr="00DA702B" w:rsidRDefault="00DA702B" w:rsidP="00DA702B">
            <w:pPr>
              <w:rPr>
                <w:sz w:val="20"/>
                <w:szCs w:val="20"/>
              </w:rPr>
            </w:pPr>
          </w:p>
        </w:tc>
        <w:tc>
          <w:tcPr>
            <w:tcW w:w="1041" w:type="dxa"/>
          </w:tcPr>
          <w:p w14:paraId="61F547B6" w14:textId="77777777" w:rsidR="00DA702B" w:rsidRPr="00DA702B" w:rsidRDefault="00DA702B" w:rsidP="00DA702B">
            <w:pPr>
              <w:rPr>
                <w:sz w:val="20"/>
                <w:szCs w:val="20"/>
              </w:rPr>
            </w:pPr>
          </w:p>
        </w:tc>
        <w:tc>
          <w:tcPr>
            <w:tcW w:w="1299" w:type="dxa"/>
          </w:tcPr>
          <w:p w14:paraId="19CD06FB" w14:textId="77777777" w:rsidR="00DA702B" w:rsidRPr="00DA702B" w:rsidRDefault="00DA702B" w:rsidP="00DA702B">
            <w:pPr>
              <w:rPr>
                <w:sz w:val="20"/>
                <w:szCs w:val="20"/>
              </w:rPr>
            </w:pPr>
          </w:p>
        </w:tc>
        <w:tc>
          <w:tcPr>
            <w:tcW w:w="1101" w:type="dxa"/>
          </w:tcPr>
          <w:p w14:paraId="69919A4E" w14:textId="77777777" w:rsidR="00DA702B" w:rsidRPr="00DA702B" w:rsidRDefault="00DA702B" w:rsidP="00DA702B">
            <w:pPr>
              <w:rPr>
                <w:sz w:val="20"/>
                <w:szCs w:val="20"/>
              </w:rPr>
            </w:pPr>
          </w:p>
        </w:tc>
        <w:tc>
          <w:tcPr>
            <w:tcW w:w="1200" w:type="dxa"/>
          </w:tcPr>
          <w:p w14:paraId="11D99B59" w14:textId="77777777" w:rsidR="00DA702B" w:rsidRPr="00DA702B" w:rsidRDefault="00DA702B" w:rsidP="00DA702B">
            <w:pPr>
              <w:rPr>
                <w:sz w:val="20"/>
                <w:szCs w:val="20"/>
              </w:rPr>
            </w:pPr>
          </w:p>
        </w:tc>
        <w:tc>
          <w:tcPr>
            <w:tcW w:w="1200" w:type="dxa"/>
          </w:tcPr>
          <w:p w14:paraId="64296638" w14:textId="77777777" w:rsidR="00DA702B" w:rsidRPr="00DA702B" w:rsidRDefault="00DA702B" w:rsidP="00DA702B">
            <w:pPr>
              <w:rPr>
                <w:sz w:val="20"/>
                <w:szCs w:val="20"/>
              </w:rPr>
            </w:pPr>
          </w:p>
        </w:tc>
        <w:tc>
          <w:tcPr>
            <w:tcW w:w="1200" w:type="dxa"/>
          </w:tcPr>
          <w:p w14:paraId="234357B9" w14:textId="77777777" w:rsidR="00DA702B" w:rsidRPr="00DA702B" w:rsidRDefault="00DA702B" w:rsidP="00DA702B">
            <w:pPr>
              <w:rPr>
                <w:sz w:val="20"/>
                <w:szCs w:val="20"/>
              </w:rPr>
            </w:pPr>
          </w:p>
        </w:tc>
        <w:tc>
          <w:tcPr>
            <w:tcW w:w="1200" w:type="dxa"/>
          </w:tcPr>
          <w:p w14:paraId="698924D4" w14:textId="77777777" w:rsidR="00DA702B" w:rsidRPr="00DA702B" w:rsidRDefault="00DA702B" w:rsidP="00DA702B">
            <w:pPr>
              <w:rPr>
                <w:sz w:val="20"/>
                <w:szCs w:val="20"/>
              </w:rPr>
            </w:pPr>
          </w:p>
        </w:tc>
        <w:tc>
          <w:tcPr>
            <w:tcW w:w="1201" w:type="dxa"/>
          </w:tcPr>
          <w:p w14:paraId="4D56C3F0" w14:textId="77777777" w:rsidR="00DA702B" w:rsidRPr="00DA702B" w:rsidRDefault="00DA702B" w:rsidP="00DA702B">
            <w:pPr>
              <w:rPr>
                <w:sz w:val="20"/>
                <w:szCs w:val="20"/>
              </w:rPr>
            </w:pPr>
          </w:p>
        </w:tc>
        <w:tc>
          <w:tcPr>
            <w:tcW w:w="1201" w:type="dxa"/>
          </w:tcPr>
          <w:p w14:paraId="14A7AFBF" w14:textId="77777777" w:rsidR="00DA702B" w:rsidRPr="00DA702B" w:rsidRDefault="00DA702B" w:rsidP="00DA702B">
            <w:pPr>
              <w:rPr>
                <w:sz w:val="20"/>
                <w:szCs w:val="20"/>
              </w:rPr>
            </w:pPr>
          </w:p>
        </w:tc>
      </w:tr>
      <w:tr w:rsidR="00DA702B" w:rsidRPr="00DA702B" w14:paraId="2B53F2ED" w14:textId="77777777" w:rsidTr="00247007">
        <w:trPr>
          <w:cantSplit/>
          <w:trHeight w:val="346"/>
          <w:tblHeader/>
        </w:trPr>
        <w:tc>
          <w:tcPr>
            <w:tcW w:w="1199" w:type="dxa"/>
          </w:tcPr>
          <w:p w14:paraId="3312401C" w14:textId="77777777" w:rsidR="00DA702B" w:rsidRPr="00DA702B" w:rsidRDefault="00DA702B" w:rsidP="00DA702B">
            <w:pPr>
              <w:rPr>
                <w:sz w:val="20"/>
                <w:szCs w:val="20"/>
              </w:rPr>
            </w:pPr>
          </w:p>
        </w:tc>
        <w:tc>
          <w:tcPr>
            <w:tcW w:w="1199" w:type="dxa"/>
          </w:tcPr>
          <w:p w14:paraId="5E32409F" w14:textId="77777777" w:rsidR="00DA702B" w:rsidRPr="00DA702B" w:rsidRDefault="00DA702B" w:rsidP="00DA702B">
            <w:pPr>
              <w:rPr>
                <w:sz w:val="20"/>
                <w:szCs w:val="20"/>
              </w:rPr>
            </w:pPr>
          </w:p>
        </w:tc>
        <w:tc>
          <w:tcPr>
            <w:tcW w:w="1359" w:type="dxa"/>
          </w:tcPr>
          <w:p w14:paraId="48E6020E" w14:textId="77777777" w:rsidR="00DA702B" w:rsidRPr="00DA702B" w:rsidRDefault="00DA702B" w:rsidP="00DA702B">
            <w:pPr>
              <w:rPr>
                <w:sz w:val="20"/>
                <w:szCs w:val="20"/>
              </w:rPr>
            </w:pPr>
          </w:p>
        </w:tc>
        <w:tc>
          <w:tcPr>
            <w:tcW w:w="1041" w:type="dxa"/>
          </w:tcPr>
          <w:p w14:paraId="3AE9BB50" w14:textId="77777777" w:rsidR="00DA702B" w:rsidRPr="00DA702B" w:rsidRDefault="00DA702B" w:rsidP="00DA702B">
            <w:pPr>
              <w:rPr>
                <w:sz w:val="20"/>
                <w:szCs w:val="20"/>
              </w:rPr>
            </w:pPr>
          </w:p>
        </w:tc>
        <w:tc>
          <w:tcPr>
            <w:tcW w:w="1299" w:type="dxa"/>
          </w:tcPr>
          <w:p w14:paraId="33C3B8F1" w14:textId="77777777" w:rsidR="00DA702B" w:rsidRPr="00DA702B" w:rsidRDefault="00DA702B" w:rsidP="00DA702B">
            <w:pPr>
              <w:rPr>
                <w:sz w:val="20"/>
                <w:szCs w:val="20"/>
              </w:rPr>
            </w:pPr>
          </w:p>
        </w:tc>
        <w:tc>
          <w:tcPr>
            <w:tcW w:w="1101" w:type="dxa"/>
          </w:tcPr>
          <w:p w14:paraId="769AB6F6" w14:textId="77777777" w:rsidR="00DA702B" w:rsidRPr="00DA702B" w:rsidRDefault="00DA702B" w:rsidP="00DA702B">
            <w:pPr>
              <w:rPr>
                <w:sz w:val="20"/>
                <w:szCs w:val="20"/>
              </w:rPr>
            </w:pPr>
          </w:p>
        </w:tc>
        <w:tc>
          <w:tcPr>
            <w:tcW w:w="1200" w:type="dxa"/>
          </w:tcPr>
          <w:p w14:paraId="2869EB29" w14:textId="77777777" w:rsidR="00DA702B" w:rsidRPr="00DA702B" w:rsidRDefault="00DA702B" w:rsidP="00DA702B">
            <w:pPr>
              <w:rPr>
                <w:sz w:val="20"/>
                <w:szCs w:val="20"/>
              </w:rPr>
            </w:pPr>
          </w:p>
        </w:tc>
        <w:tc>
          <w:tcPr>
            <w:tcW w:w="1200" w:type="dxa"/>
          </w:tcPr>
          <w:p w14:paraId="026F5E0A" w14:textId="77777777" w:rsidR="00DA702B" w:rsidRPr="00DA702B" w:rsidRDefault="00DA702B" w:rsidP="00DA702B">
            <w:pPr>
              <w:rPr>
                <w:sz w:val="20"/>
                <w:szCs w:val="20"/>
              </w:rPr>
            </w:pPr>
          </w:p>
        </w:tc>
        <w:tc>
          <w:tcPr>
            <w:tcW w:w="1200" w:type="dxa"/>
          </w:tcPr>
          <w:p w14:paraId="05774675" w14:textId="77777777" w:rsidR="00DA702B" w:rsidRPr="00DA702B" w:rsidRDefault="00DA702B" w:rsidP="00DA702B">
            <w:pPr>
              <w:rPr>
                <w:sz w:val="20"/>
                <w:szCs w:val="20"/>
              </w:rPr>
            </w:pPr>
          </w:p>
        </w:tc>
        <w:tc>
          <w:tcPr>
            <w:tcW w:w="1200" w:type="dxa"/>
          </w:tcPr>
          <w:p w14:paraId="4BD6990C" w14:textId="77777777" w:rsidR="00DA702B" w:rsidRPr="00DA702B" w:rsidRDefault="00DA702B" w:rsidP="00DA702B">
            <w:pPr>
              <w:rPr>
                <w:sz w:val="20"/>
                <w:szCs w:val="20"/>
              </w:rPr>
            </w:pPr>
          </w:p>
        </w:tc>
        <w:tc>
          <w:tcPr>
            <w:tcW w:w="1201" w:type="dxa"/>
          </w:tcPr>
          <w:p w14:paraId="02BA4815" w14:textId="77777777" w:rsidR="00DA702B" w:rsidRPr="00DA702B" w:rsidRDefault="00DA702B" w:rsidP="00DA702B">
            <w:pPr>
              <w:rPr>
                <w:sz w:val="20"/>
                <w:szCs w:val="20"/>
              </w:rPr>
            </w:pPr>
          </w:p>
        </w:tc>
        <w:tc>
          <w:tcPr>
            <w:tcW w:w="1201" w:type="dxa"/>
          </w:tcPr>
          <w:p w14:paraId="3F6BF2F2" w14:textId="77777777" w:rsidR="00DA702B" w:rsidRPr="00DA702B" w:rsidRDefault="00DA702B" w:rsidP="00DA702B">
            <w:pPr>
              <w:rPr>
                <w:sz w:val="20"/>
                <w:szCs w:val="20"/>
              </w:rPr>
            </w:pPr>
          </w:p>
        </w:tc>
      </w:tr>
      <w:tr w:rsidR="00DA702B" w:rsidRPr="00DA702B" w14:paraId="05EAFB6D" w14:textId="77777777" w:rsidTr="00247007">
        <w:trPr>
          <w:cantSplit/>
          <w:trHeight w:val="346"/>
          <w:tblHeader/>
        </w:trPr>
        <w:tc>
          <w:tcPr>
            <w:tcW w:w="1199" w:type="dxa"/>
          </w:tcPr>
          <w:p w14:paraId="4E9B43BD" w14:textId="77777777" w:rsidR="00DA702B" w:rsidRPr="00DA702B" w:rsidRDefault="00DA702B" w:rsidP="00DA702B">
            <w:pPr>
              <w:rPr>
                <w:sz w:val="20"/>
                <w:szCs w:val="20"/>
              </w:rPr>
            </w:pPr>
          </w:p>
        </w:tc>
        <w:tc>
          <w:tcPr>
            <w:tcW w:w="1199" w:type="dxa"/>
          </w:tcPr>
          <w:p w14:paraId="35829B1A" w14:textId="77777777" w:rsidR="00DA702B" w:rsidRPr="00DA702B" w:rsidRDefault="00DA702B" w:rsidP="00DA702B">
            <w:pPr>
              <w:rPr>
                <w:sz w:val="20"/>
                <w:szCs w:val="20"/>
              </w:rPr>
            </w:pPr>
          </w:p>
        </w:tc>
        <w:tc>
          <w:tcPr>
            <w:tcW w:w="1359" w:type="dxa"/>
          </w:tcPr>
          <w:p w14:paraId="6E850E6F" w14:textId="77777777" w:rsidR="00DA702B" w:rsidRPr="00DA702B" w:rsidRDefault="00DA702B" w:rsidP="00DA702B">
            <w:pPr>
              <w:rPr>
                <w:sz w:val="20"/>
                <w:szCs w:val="20"/>
              </w:rPr>
            </w:pPr>
          </w:p>
        </w:tc>
        <w:tc>
          <w:tcPr>
            <w:tcW w:w="1041" w:type="dxa"/>
          </w:tcPr>
          <w:p w14:paraId="018797F0" w14:textId="77777777" w:rsidR="00DA702B" w:rsidRPr="00DA702B" w:rsidRDefault="00DA702B" w:rsidP="00DA702B">
            <w:pPr>
              <w:rPr>
                <w:sz w:val="20"/>
                <w:szCs w:val="20"/>
              </w:rPr>
            </w:pPr>
          </w:p>
        </w:tc>
        <w:tc>
          <w:tcPr>
            <w:tcW w:w="1299" w:type="dxa"/>
          </w:tcPr>
          <w:p w14:paraId="49DC7CF9" w14:textId="77777777" w:rsidR="00DA702B" w:rsidRPr="00DA702B" w:rsidRDefault="00DA702B" w:rsidP="00DA702B">
            <w:pPr>
              <w:rPr>
                <w:sz w:val="20"/>
                <w:szCs w:val="20"/>
              </w:rPr>
            </w:pPr>
          </w:p>
        </w:tc>
        <w:tc>
          <w:tcPr>
            <w:tcW w:w="1101" w:type="dxa"/>
          </w:tcPr>
          <w:p w14:paraId="2AB32B6F" w14:textId="77777777" w:rsidR="00DA702B" w:rsidRPr="00DA702B" w:rsidRDefault="00DA702B" w:rsidP="00DA702B">
            <w:pPr>
              <w:rPr>
                <w:sz w:val="20"/>
                <w:szCs w:val="20"/>
              </w:rPr>
            </w:pPr>
          </w:p>
        </w:tc>
        <w:tc>
          <w:tcPr>
            <w:tcW w:w="1200" w:type="dxa"/>
          </w:tcPr>
          <w:p w14:paraId="36961180" w14:textId="77777777" w:rsidR="00DA702B" w:rsidRPr="00DA702B" w:rsidRDefault="00DA702B" w:rsidP="00DA702B">
            <w:pPr>
              <w:rPr>
                <w:sz w:val="20"/>
                <w:szCs w:val="20"/>
              </w:rPr>
            </w:pPr>
          </w:p>
        </w:tc>
        <w:tc>
          <w:tcPr>
            <w:tcW w:w="1200" w:type="dxa"/>
          </w:tcPr>
          <w:p w14:paraId="362A1C9D" w14:textId="77777777" w:rsidR="00DA702B" w:rsidRPr="00DA702B" w:rsidRDefault="00DA702B" w:rsidP="00DA702B">
            <w:pPr>
              <w:rPr>
                <w:sz w:val="20"/>
                <w:szCs w:val="20"/>
              </w:rPr>
            </w:pPr>
          </w:p>
        </w:tc>
        <w:tc>
          <w:tcPr>
            <w:tcW w:w="1200" w:type="dxa"/>
          </w:tcPr>
          <w:p w14:paraId="089886F5" w14:textId="77777777" w:rsidR="00DA702B" w:rsidRPr="00DA702B" w:rsidRDefault="00DA702B" w:rsidP="00DA702B">
            <w:pPr>
              <w:rPr>
                <w:sz w:val="20"/>
                <w:szCs w:val="20"/>
              </w:rPr>
            </w:pPr>
          </w:p>
        </w:tc>
        <w:tc>
          <w:tcPr>
            <w:tcW w:w="1200" w:type="dxa"/>
          </w:tcPr>
          <w:p w14:paraId="5E7E2943" w14:textId="77777777" w:rsidR="00DA702B" w:rsidRPr="00DA702B" w:rsidRDefault="00DA702B" w:rsidP="00DA702B">
            <w:pPr>
              <w:rPr>
                <w:sz w:val="20"/>
                <w:szCs w:val="20"/>
              </w:rPr>
            </w:pPr>
          </w:p>
        </w:tc>
        <w:tc>
          <w:tcPr>
            <w:tcW w:w="1201" w:type="dxa"/>
          </w:tcPr>
          <w:p w14:paraId="2901DB63" w14:textId="77777777" w:rsidR="00DA702B" w:rsidRPr="00DA702B" w:rsidRDefault="00DA702B" w:rsidP="00DA702B">
            <w:pPr>
              <w:rPr>
                <w:sz w:val="20"/>
                <w:szCs w:val="20"/>
              </w:rPr>
            </w:pPr>
          </w:p>
        </w:tc>
        <w:tc>
          <w:tcPr>
            <w:tcW w:w="1201" w:type="dxa"/>
          </w:tcPr>
          <w:p w14:paraId="474A3BF5" w14:textId="77777777" w:rsidR="00DA702B" w:rsidRPr="00DA702B" w:rsidRDefault="00DA702B" w:rsidP="00DA702B">
            <w:pPr>
              <w:rPr>
                <w:sz w:val="20"/>
                <w:szCs w:val="20"/>
              </w:rPr>
            </w:pPr>
          </w:p>
        </w:tc>
      </w:tr>
    </w:tbl>
    <w:p w14:paraId="2A277DEC" w14:textId="77777777" w:rsidR="00DA702B" w:rsidRPr="00DA702B" w:rsidRDefault="00DA702B" w:rsidP="00DA702B">
      <w:r w:rsidRPr="00DA702B">
        <w:br w:type="page"/>
      </w:r>
    </w:p>
    <w:p w14:paraId="48167EDB" w14:textId="77777777" w:rsidR="00DA702B" w:rsidRPr="00DA702B" w:rsidRDefault="00DA702B" w:rsidP="006507B4">
      <w:pPr>
        <w:widowControl w:val="0"/>
        <w:jc w:val="center"/>
        <w:rPr>
          <w:rFonts w:eastAsiaTheme="majorEastAsia"/>
          <w:b/>
          <w:bCs/>
        </w:rPr>
      </w:pPr>
      <w:r w:rsidRPr="00DA702B">
        <w:rPr>
          <w:rFonts w:eastAsiaTheme="majorEastAsia"/>
          <w:b/>
          <w:bCs/>
        </w:rPr>
        <w:lastRenderedPageBreak/>
        <w:t>Boiler/Steam Generator/Steam Generating Unit Attributes</w:t>
      </w:r>
    </w:p>
    <w:p w14:paraId="220D7346" w14:textId="77777777" w:rsidR="00DA702B" w:rsidRPr="00DA702B" w:rsidRDefault="00DA702B" w:rsidP="006507B4">
      <w:pPr>
        <w:widowControl w:val="0"/>
        <w:jc w:val="center"/>
        <w:rPr>
          <w:rFonts w:eastAsiaTheme="majorEastAsia"/>
          <w:b/>
          <w:bCs/>
        </w:rPr>
      </w:pPr>
      <w:r w:rsidRPr="00DA702B">
        <w:rPr>
          <w:rFonts w:eastAsiaTheme="majorEastAsia"/>
          <w:b/>
          <w:bCs/>
        </w:rPr>
        <w:t>Form OP-UA6 (Page 12)</w:t>
      </w:r>
    </w:p>
    <w:p w14:paraId="790C047D" w14:textId="77777777" w:rsidR="00DA702B" w:rsidRPr="00DA702B" w:rsidRDefault="00DA702B" w:rsidP="006507B4">
      <w:pPr>
        <w:widowControl w:val="0"/>
        <w:jc w:val="center"/>
        <w:rPr>
          <w:rFonts w:eastAsiaTheme="majorEastAsia"/>
          <w:b/>
          <w:bCs/>
        </w:rPr>
      </w:pPr>
      <w:r w:rsidRPr="00DA702B">
        <w:rPr>
          <w:rFonts w:eastAsiaTheme="majorEastAsia"/>
          <w:b/>
          <w:bCs/>
        </w:rPr>
        <w:t>Federal Operating Permit Program</w:t>
      </w:r>
    </w:p>
    <w:p w14:paraId="5D153B3A" w14:textId="77777777" w:rsidR="00DA702B" w:rsidRPr="00DA702B" w:rsidRDefault="00DA702B" w:rsidP="006507B4">
      <w:pPr>
        <w:widowControl w:val="0"/>
        <w:jc w:val="center"/>
        <w:rPr>
          <w:b/>
          <w:bCs/>
        </w:rPr>
      </w:pPr>
      <w:bookmarkStart w:id="174" w:name="TBL_4b"/>
      <w:r w:rsidRPr="00DA702B">
        <w:rPr>
          <w:b/>
          <w:bCs/>
        </w:rPr>
        <w:t>Table 4b</w:t>
      </w:r>
      <w:bookmarkEnd w:id="174"/>
      <w:r w:rsidRPr="00DA702B">
        <w:rPr>
          <w:b/>
          <w:bCs/>
        </w:rPr>
        <w:t>:  Title 40 Code of Federal Regulations Part 60 (40 CFR Part 60)</w:t>
      </w:r>
    </w:p>
    <w:p w14:paraId="128DF7D0" w14:textId="77777777" w:rsidR="00DA702B" w:rsidRPr="00DA702B" w:rsidRDefault="00DA702B" w:rsidP="006507B4">
      <w:pPr>
        <w:widowControl w:val="0"/>
        <w:jc w:val="center"/>
        <w:rPr>
          <w:b/>
          <w:bCs/>
        </w:rPr>
      </w:pPr>
      <w:r w:rsidRPr="00DA702B">
        <w:rPr>
          <w:b/>
          <w:bCs/>
        </w:rPr>
        <w:t>Subpart Dc:  Standards of Performance for Industrial-Commercial-Institutional Steam Generating Units</w:t>
      </w:r>
    </w:p>
    <w:p w14:paraId="6B68B4EF" w14:textId="77777777" w:rsidR="00DA702B" w:rsidRPr="00DA702B" w:rsidRDefault="00DA702B" w:rsidP="006507B4">
      <w:pPr>
        <w:widowControl w:val="0"/>
        <w:jc w:val="center"/>
        <w:rPr>
          <w:b/>
          <w:bCs/>
        </w:rPr>
      </w:pPr>
      <w:r w:rsidRPr="00DA702B">
        <w:rPr>
          <w:b/>
          <w:bCs/>
        </w:rPr>
        <w:t>Texas Commission on Environmental Quality</w:t>
      </w:r>
    </w:p>
    <w:p w14:paraId="2AF234E1"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4a:  Title 40 Code of Federal Regulations Part 60 (40 CFR Part 60)&#10;Subpart Dc:  Standards of Performance for Industrial-Commercial Steam Generating Units&#10;&#10;"/>
      </w:tblPr>
      <w:tblGrid>
        <w:gridCol w:w="4800"/>
        <w:gridCol w:w="4800"/>
        <w:gridCol w:w="4800"/>
      </w:tblGrid>
      <w:tr w:rsidR="00DA702B" w:rsidRPr="00DA702B" w14:paraId="65D20BE0" w14:textId="77777777" w:rsidTr="00247007">
        <w:trPr>
          <w:cantSplit/>
          <w:tblHeader/>
        </w:trPr>
        <w:tc>
          <w:tcPr>
            <w:tcW w:w="4800" w:type="dxa"/>
            <w:shd w:val="clear" w:color="auto" w:fill="D9D9D9" w:themeFill="background1" w:themeFillShade="D9"/>
          </w:tcPr>
          <w:p w14:paraId="28E35F8D"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35D56676"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56C88639"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2FE0E728" w14:textId="77777777" w:rsidTr="00247007">
        <w:trPr>
          <w:cantSplit/>
          <w:tblHeader/>
        </w:trPr>
        <w:tc>
          <w:tcPr>
            <w:tcW w:w="4800" w:type="dxa"/>
          </w:tcPr>
          <w:p w14:paraId="461E820B" w14:textId="77777777" w:rsidR="00DA702B" w:rsidRPr="00DA702B" w:rsidRDefault="00DA702B" w:rsidP="00DA702B">
            <w:pPr>
              <w:rPr>
                <w:rFonts w:asciiTheme="majorHAnsi" w:hAnsiTheme="majorHAnsi" w:cstheme="majorHAnsi"/>
              </w:rPr>
            </w:pPr>
          </w:p>
        </w:tc>
        <w:tc>
          <w:tcPr>
            <w:tcW w:w="4800" w:type="dxa"/>
          </w:tcPr>
          <w:p w14:paraId="1B6FA887" w14:textId="77777777" w:rsidR="00DA702B" w:rsidRPr="00DA702B" w:rsidRDefault="00DA702B" w:rsidP="00DA702B">
            <w:pPr>
              <w:rPr>
                <w:rFonts w:asciiTheme="majorHAnsi" w:hAnsiTheme="majorHAnsi" w:cstheme="majorHAnsi"/>
              </w:rPr>
            </w:pPr>
          </w:p>
        </w:tc>
        <w:tc>
          <w:tcPr>
            <w:tcW w:w="4800" w:type="dxa"/>
          </w:tcPr>
          <w:p w14:paraId="25A1164A" w14:textId="77777777" w:rsidR="00DA702B" w:rsidRPr="00DA702B" w:rsidRDefault="00DA702B" w:rsidP="00DA702B">
            <w:pPr>
              <w:rPr>
                <w:rFonts w:asciiTheme="majorHAnsi" w:hAnsiTheme="majorHAnsi" w:cstheme="majorHAnsi"/>
              </w:rPr>
            </w:pPr>
          </w:p>
        </w:tc>
      </w:tr>
    </w:tbl>
    <w:p w14:paraId="6210ADF0"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4b:  Title 40 Code of Federal Regulations Part 60 (40 CFR Part 60)&#10;Subpart Dc:  Standards of Performance for Industrial-Commercial Steam Generating Units&#10;"/>
      </w:tblPr>
      <w:tblGrid>
        <w:gridCol w:w="1800"/>
        <w:gridCol w:w="1800"/>
        <w:gridCol w:w="1800"/>
        <w:gridCol w:w="1800"/>
        <w:gridCol w:w="1800"/>
        <w:gridCol w:w="1800"/>
        <w:gridCol w:w="1800"/>
        <w:gridCol w:w="1800"/>
      </w:tblGrid>
      <w:tr w:rsidR="00DA702B" w:rsidRPr="00DA702B" w14:paraId="204D7A53" w14:textId="77777777" w:rsidTr="00247007">
        <w:trPr>
          <w:cantSplit/>
          <w:tblHeader/>
        </w:trPr>
        <w:tc>
          <w:tcPr>
            <w:tcW w:w="1800" w:type="dxa"/>
            <w:shd w:val="clear" w:color="auto" w:fill="D9D9D9" w:themeFill="background1" w:themeFillShade="D9"/>
            <w:vAlign w:val="bottom"/>
          </w:tcPr>
          <w:p w14:paraId="34EDCA2C" w14:textId="77777777" w:rsidR="00DA702B" w:rsidRPr="00DA702B" w:rsidRDefault="00DA702B" w:rsidP="00DA702B">
            <w:pPr>
              <w:jc w:val="center"/>
              <w:rPr>
                <w:sz w:val="20"/>
                <w:szCs w:val="20"/>
              </w:rPr>
            </w:pPr>
            <w:r w:rsidRPr="00DA702B">
              <w:rPr>
                <w:b/>
                <w:sz w:val="20"/>
                <w:szCs w:val="20"/>
              </w:rPr>
              <w:t>Unit ID No.</w:t>
            </w:r>
          </w:p>
        </w:tc>
        <w:tc>
          <w:tcPr>
            <w:tcW w:w="1800" w:type="dxa"/>
            <w:shd w:val="clear" w:color="auto" w:fill="D9D9D9" w:themeFill="background1" w:themeFillShade="D9"/>
            <w:vAlign w:val="bottom"/>
          </w:tcPr>
          <w:p w14:paraId="2171C8BC" w14:textId="77777777" w:rsidR="00DA702B" w:rsidRPr="00DA702B" w:rsidRDefault="00DA702B" w:rsidP="00DA702B">
            <w:pPr>
              <w:jc w:val="center"/>
              <w:rPr>
                <w:sz w:val="20"/>
                <w:szCs w:val="20"/>
              </w:rPr>
            </w:pPr>
            <w:r w:rsidRPr="00DA702B">
              <w:rPr>
                <w:b/>
                <w:sz w:val="20"/>
                <w:szCs w:val="20"/>
              </w:rPr>
              <w:t>SOP Index No.</w:t>
            </w:r>
          </w:p>
        </w:tc>
        <w:tc>
          <w:tcPr>
            <w:tcW w:w="1800" w:type="dxa"/>
            <w:shd w:val="clear" w:color="auto" w:fill="D9D9D9" w:themeFill="background1" w:themeFillShade="D9"/>
            <w:vAlign w:val="bottom"/>
          </w:tcPr>
          <w:p w14:paraId="252EAA77" w14:textId="77777777" w:rsidR="00DA702B" w:rsidRPr="00DA702B" w:rsidRDefault="00DA702B" w:rsidP="00DA702B">
            <w:pPr>
              <w:jc w:val="center"/>
              <w:rPr>
                <w:b/>
                <w:sz w:val="20"/>
                <w:szCs w:val="20"/>
              </w:rPr>
            </w:pPr>
            <w:r w:rsidRPr="00DA702B">
              <w:rPr>
                <w:b/>
                <w:sz w:val="20"/>
                <w:szCs w:val="20"/>
              </w:rPr>
              <w:t>Monitoring</w:t>
            </w:r>
          </w:p>
          <w:p w14:paraId="0A4E6CBA" w14:textId="77777777" w:rsidR="00DA702B" w:rsidRPr="00DA702B" w:rsidRDefault="00DA702B" w:rsidP="00DA702B">
            <w:pPr>
              <w:jc w:val="center"/>
              <w:rPr>
                <w:sz w:val="20"/>
                <w:szCs w:val="20"/>
              </w:rPr>
            </w:pPr>
            <w:r w:rsidRPr="00DA702B">
              <w:rPr>
                <w:b/>
                <w:sz w:val="20"/>
                <w:szCs w:val="20"/>
              </w:rPr>
              <w:t>Type PM</w:t>
            </w:r>
          </w:p>
        </w:tc>
        <w:tc>
          <w:tcPr>
            <w:tcW w:w="1800" w:type="dxa"/>
            <w:shd w:val="clear" w:color="auto" w:fill="D9D9D9" w:themeFill="background1" w:themeFillShade="D9"/>
            <w:vAlign w:val="bottom"/>
          </w:tcPr>
          <w:p w14:paraId="7DADD8B5" w14:textId="77777777" w:rsidR="00DA702B" w:rsidRPr="00DA702B" w:rsidRDefault="00DA702B" w:rsidP="00DA702B">
            <w:pPr>
              <w:jc w:val="center"/>
              <w:rPr>
                <w:sz w:val="20"/>
                <w:szCs w:val="20"/>
              </w:rPr>
            </w:pPr>
            <w:r w:rsidRPr="00DA702B">
              <w:rPr>
                <w:b/>
                <w:sz w:val="20"/>
                <w:szCs w:val="20"/>
              </w:rPr>
              <w:t>Monitoring Type SO</w:t>
            </w:r>
            <w:r w:rsidRPr="00DA702B">
              <w:rPr>
                <w:b/>
                <w:sz w:val="20"/>
                <w:szCs w:val="20"/>
                <w:vertAlign w:val="subscript"/>
              </w:rPr>
              <w:t>2</w:t>
            </w:r>
            <w:r w:rsidRPr="00DA702B">
              <w:rPr>
                <w:b/>
                <w:sz w:val="20"/>
                <w:szCs w:val="20"/>
              </w:rPr>
              <w:t xml:space="preserve"> Inlet</w:t>
            </w:r>
          </w:p>
        </w:tc>
        <w:tc>
          <w:tcPr>
            <w:tcW w:w="1800" w:type="dxa"/>
            <w:shd w:val="clear" w:color="auto" w:fill="D9D9D9" w:themeFill="background1" w:themeFillShade="D9"/>
            <w:vAlign w:val="bottom"/>
          </w:tcPr>
          <w:p w14:paraId="115FA05A" w14:textId="77777777" w:rsidR="00DA702B" w:rsidRPr="00DA702B" w:rsidRDefault="00DA702B" w:rsidP="00DA702B">
            <w:pPr>
              <w:jc w:val="center"/>
              <w:rPr>
                <w:sz w:val="20"/>
                <w:szCs w:val="20"/>
              </w:rPr>
            </w:pPr>
            <w:r w:rsidRPr="00DA702B">
              <w:rPr>
                <w:b/>
                <w:sz w:val="20"/>
                <w:szCs w:val="20"/>
              </w:rPr>
              <w:t>Monitoring Type SO</w:t>
            </w:r>
            <w:r w:rsidRPr="00DA702B">
              <w:rPr>
                <w:b/>
                <w:sz w:val="20"/>
                <w:szCs w:val="20"/>
                <w:vertAlign w:val="subscript"/>
              </w:rPr>
              <w:t>2</w:t>
            </w:r>
            <w:r w:rsidRPr="00DA702B">
              <w:rPr>
                <w:b/>
                <w:sz w:val="20"/>
                <w:szCs w:val="20"/>
              </w:rPr>
              <w:t xml:space="preserve"> Outlet</w:t>
            </w:r>
          </w:p>
        </w:tc>
        <w:tc>
          <w:tcPr>
            <w:tcW w:w="1800" w:type="dxa"/>
            <w:shd w:val="clear" w:color="auto" w:fill="D9D9D9" w:themeFill="background1" w:themeFillShade="D9"/>
            <w:vAlign w:val="bottom"/>
          </w:tcPr>
          <w:p w14:paraId="1C975545" w14:textId="77777777" w:rsidR="00DA702B" w:rsidRPr="00DA702B" w:rsidRDefault="00DA702B" w:rsidP="00DA702B">
            <w:pPr>
              <w:jc w:val="center"/>
              <w:rPr>
                <w:sz w:val="20"/>
                <w:szCs w:val="20"/>
              </w:rPr>
            </w:pPr>
            <w:r w:rsidRPr="00DA702B">
              <w:rPr>
                <w:b/>
                <w:sz w:val="20"/>
                <w:szCs w:val="20"/>
              </w:rPr>
              <w:t>Technology Type</w:t>
            </w:r>
          </w:p>
        </w:tc>
        <w:tc>
          <w:tcPr>
            <w:tcW w:w="1800" w:type="dxa"/>
            <w:shd w:val="clear" w:color="auto" w:fill="D9D9D9" w:themeFill="background1" w:themeFillShade="D9"/>
            <w:vAlign w:val="bottom"/>
          </w:tcPr>
          <w:p w14:paraId="74AEF0DC" w14:textId="77777777" w:rsidR="00DA702B" w:rsidRPr="00DA702B" w:rsidRDefault="00DA702B" w:rsidP="00DA702B">
            <w:pPr>
              <w:jc w:val="center"/>
              <w:rPr>
                <w:sz w:val="20"/>
                <w:szCs w:val="20"/>
              </w:rPr>
            </w:pPr>
            <w:r w:rsidRPr="00DA702B">
              <w:rPr>
                <w:b/>
                <w:sz w:val="20"/>
                <w:szCs w:val="20"/>
              </w:rPr>
              <w:t>43CE-Option</w:t>
            </w:r>
          </w:p>
        </w:tc>
        <w:tc>
          <w:tcPr>
            <w:tcW w:w="1800" w:type="dxa"/>
            <w:shd w:val="clear" w:color="auto" w:fill="D9D9D9" w:themeFill="background1" w:themeFillShade="D9"/>
            <w:vAlign w:val="bottom"/>
          </w:tcPr>
          <w:p w14:paraId="765B1BFC" w14:textId="77777777" w:rsidR="00DA702B" w:rsidRPr="00DA702B" w:rsidRDefault="00DA702B" w:rsidP="00DA702B">
            <w:pPr>
              <w:jc w:val="center"/>
              <w:rPr>
                <w:sz w:val="20"/>
                <w:szCs w:val="20"/>
              </w:rPr>
            </w:pPr>
            <w:r w:rsidRPr="00DA702B">
              <w:rPr>
                <w:b/>
                <w:sz w:val="20"/>
                <w:szCs w:val="20"/>
              </w:rPr>
              <w:t>47C-Option</w:t>
            </w:r>
          </w:p>
        </w:tc>
      </w:tr>
      <w:tr w:rsidR="00DA702B" w:rsidRPr="00DA702B" w14:paraId="291607D2" w14:textId="77777777" w:rsidTr="00247007">
        <w:trPr>
          <w:cantSplit/>
          <w:trHeight w:val="346"/>
          <w:tblHeader/>
        </w:trPr>
        <w:tc>
          <w:tcPr>
            <w:tcW w:w="1800" w:type="dxa"/>
          </w:tcPr>
          <w:p w14:paraId="575A8BA8" w14:textId="77777777" w:rsidR="00DA702B" w:rsidRPr="00DA702B" w:rsidRDefault="00DA702B" w:rsidP="00DA702B">
            <w:pPr>
              <w:rPr>
                <w:sz w:val="20"/>
                <w:szCs w:val="20"/>
              </w:rPr>
            </w:pPr>
          </w:p>
        </w:tc>
        <w:tc>
          <w:tcPr>
            <w:tcW w:w="1800" w:type="dxa"/>
          </w:tcPr>
          <w:p w14:paraId="47AC8D23" w14:textId="77777777" w:rsidR="00DA702B" w:rsidRPr="00DA702B" w:rsidRDefault="00DA702B" w:rsidP="00DA702B">
            <w:pPr>
              <w:rPr>
                <w:sz w:val="20"/>
                <w:szCs w:val="20"/>
              </w:rPr>
            </w:pPr>
          </w:p>
        </w:tc>
        <w:tc>
          <w:tcPr>
            <w:tcW w:w="1800" w:type="dxa"/>
          </w:tcPr>
          <w:p w14:paraId="41AF6124" w14:textId="77777777" w:rsidR="00DA702B" w:rsidRPr="00DA702B" w:rsidRDefault="00DA702B" w:rsidP="00DA702B">
            <w:pPr>
              <w:rPr>
                <w:sz w:val="20"/>
                <w:szCs w:val="20"/>
              </w:rPr>
            </w:pPr>
          </w:p>
        </w:tc>
        <w:tc>
          <w:tcPr>
            <w:tcW w:w="1800" w:type="dxa"/>
          </w:tcPr>
          <w:p w14:paraId="002E6B5D" w14:textId="77777777" w:rsidR="00DA702B" w:rsidRPr="00DA702B" w:rsidRDefault="00DA702B" w:rsidP="00DA702B">
            <w:pPr>
              <w:rPr>
                <w:sz w:val="20"/>
                <w:szCs w:val="20"/>
              </w:rPr>
            </w:pPr>
          </w:p>
        </w:tc>
        <w:tc>
          <w:tcPr>
            <w:tcW w:w="1800" w:type="dxa"/>
          </w:tcPr>
          <w:p w14:paraId="0FD974A1" w14:textId="77777777" w:rsidR="00DA702B" w:rsidRPr="00DA702B" w:rsidRDefault="00DA702B" w:rsidP="00DA702B">
            <w:pPr>
              <w:rPr>
                <w:sz w:val="20"/>
                <w:szCs w:val="20"/>
              </w:rPr>
            </w:pPr>
          </w:p>
        </w:tc>
        <w:tc>
          <w:tcPr>
            <w:tcW w:w="1800" w:type="dxa"/>
          </w:tcPr>
          <w:p w14:paraId="245BED8D" w14:textId="77777777" w:rsidR="00DA702B" w:rsidRPr="00DA702B" w:rsidRDefault="00DA702B" w:rsidP="00DA702B">
            <w:pPr>
              <w:rPr>
                <w:sz w:val="20"/>
                <w:szCs w:val="20"/>
              </w:rPr>
            </w:pPr>
          </w:p>
        </w:tc>
        <w:tc>
          <w:tcPr>
            <w:tcW w:w="1800" w:type="dxa"/>
          </w:tcPr>
          <w:p w14:paraId="75B510BE" w14:textId="77777777" w:rsidR="00DA702B" w:rsidRPr="00DA702B" w:rsidRDefault="00DA702B" w:rsidP="00DA702B">
            <w:pPr>
              <w:rPr>
                <w:sz w:val="20"/>
                <w:szCs w:val="20"/>
              </w:rPr>
            </w:pPr>
          </w:p>
        </w:tc>
        <w:tc>
          <w:tcPr>
            <w:tcW w:w="1800" w:type="dxa"/>
          </w:tcPr>
          <w:p w14:paraId="3E50493A" w14:textId="77777777" w:rsidR="00DA702B" w:rsidRPr="00DA702B" w:rsidRDefault="00DA702B" w:rsidP="00DA702B">
            <w:pPr>
              <w:rPr>
                <w:sz w:val="20"/>
                <w:szCs w:val="20"/>
              </w:rPr>
            </w:pPr>
          </w:p>
        </w:tc>
      </w:tr>
      <w:tr w:rsidR="00DA702B" w:rsidRPr="00DA702B" w14:paraId="355F2E1A" w14:textId="77777777" w:rsidTr="00247007">
        <w:trPr>
          <w:cantSplit/>
          <w:trHeight w:val="346"/>
          <w:tblHeader/>
        </w:trPr>
        <w:tc>
          <w:tcPr>
            <w:tcW w:w="1800" w:type="dxa"/>
          </w:tcPr>
          <w:p w14:paraId="4D36BD48" w14:textId="77777777" w:rsidR="00DA702B" w:rsidRPr="00DA702B" w:rsidRDefault="00DA702B" w:rsidP="00DA702B">
            <w:pPr>
              <w:rPr>
                <w:sz w:val="20"/>
                <w:szCs w:val="20"/>
              </w:rPr>
            </w:pPr>
          </w:p>
        </w:tc>
        <w:tc>
          <w:tcPr>
            <w:tcW w:w="1800" w:type="dxa"/>
          </w:tcPr>
          <w:p w14:paraId="480863A0" w14:textId="77777777" w:rsidR="00DA702B" w:rsidRPr="00DA702B" w:rsidRDefault="00DA702B" w:rsidP="00DA702B">
            <w:pPr>
              <w:rPr>
                <w:sz w:val="20"/>
                <w:szCs w:val="20"/>
              </w:rPr>
            </w:pPr>
          </w:p>
        </w:tc>
        <w:tc>
          <w:tcPr>
            <w:tcW w:w="1800" w:type="dxa"/>
          </w:tcPr>
          <w:p w14:paraId="04E2BD42" w14:textId="77777777" w:rsidR="00DA702B" w:rsidRPr="00DA702B" w:rsidRDefault="00DA702B" w:rsidP="00DA702B">
            <w:pPr>
              <w:rPr>
                <w:sz w:val="20"/>
                <w:szCs w:val="20"/>
              </w:rPr>
            </w:pPr>
          </w:p>
        </w:tc>
        <w:tc>
          <w:tcPr>
            <w:tcW w:w="1800" w:type="dxa"/>
          </w:tcPr>
          <w:p w14:paraId="09832F13" w14:textId="77777777" w:rsidR="00DA702B" w:rsidRPr="00DA702B" w:rsidRDefault="00DA702B" w:rsidP="00DA702B">
            <w:pPr>
              <w:rPr>
                <w:sz w:val="20"/>
                <w:szCs w:val="20"/>
              </w:rPr>
            </w:pPr>
          </w:p>
        </w:tc>
        <w:tc>
          <w:tcPr>
            <w:tcW w:w="1800" w:type="dxa"/>
          </w:tcPr>
          <w:p w14:paraId="08B191D2" w14:textId="77777777" w:rsidR="00DA702B" w:rsidRPr="00DA702B" w:rsidRDefault="00DA702B" w:rsidP="00DA702B">
            <w:pPr>
              <w:rPr>
                <w:sz w:val="20"/>
                <w:szCs w:val="20"/>
              </w:rPr>
            </w:pPr>
          </w:p>
        </w:tc>
        <w:tc>
          <w:tcPr>
            <w:tcW w:w="1800" w:type="dxa"/>
          </w:tcPr>
          <w:p w14:paraId="1F33D552" w14:textId="77777777" w:rsidR="00DA702B" w:rsidRPr="00DA702B" w:rsidRDefault="00DA702B" w:rsidP="00DA702B">
            <w:pPr>
              <w:rPr>
                <w:sz w:val="20"/>
                <w:szCs w:val="20"/>
              </w:rPr>
            </w:pPr>
          </w:p>
        </w:tc>
        <w:tc>
          <w:tcPr>
            <w:tcW w:w="1800" w:type="dxa"/>
          </w:tcPr>
          <w:p w14:paraId="228B6ED3" w14:textId="77777777" w:rsidR="00DA702B" w:rsidRPr="00DA702B" w:rsidRDefault="00DA702B" w:rsidP="00DA702B">
            <w:pPr>
              <w:rPr>
                <w:sz w:val="20"/>
                <w:szCs w:val="20"/>
              </w:rPr>
            </w:pPr>
          </w:p>
        </w:tc>
        <w:tc>
          <w:tcPr>
            <w:tcW w:w="1800" w:type="dxa"/>
          </w:tcPr>
          <w:p w14:paraId="5A276BCB" w14:textId="77777777" w:rsidR="00DA702B" w:rsidRPr="00DA702B" w:rsidRDefault="00DA702B" w:rsidP="00DA702B">
            <w:pPr>
              <w:rPr>
                <w:sz w:val="20"/>
                <w:szCs w:val="20"/>
              </w:rPr>
            </w:pPr>
          </w:p>
        </w:tc>
      </w:tr>
      <w:tr w:rsidR="00DA702B" w:rsidRPr="00DA702B" w14:paraId="6E48B24B" w14:textId="77777777" w:rsidTr="00247007">
        <w:trPr>
          <w:cantSplit/>
          <w:trHeight w:val="346"/>
          <w:tblHeader/>
        </w:trPr>
        <w:tc>
          <w:tcPr>
            <w:tcW w:w="1800" w:type="dxa"/>
          </w:tcPr>
          <w:p w14:paraId="1F786FBE" w14:textId="77777777" w:rsidR="00DA702B" w:rsidRPr="00DA702B" w:rsidRDefault="00DA702B" w:rsidP="00DA702B">
            <w:pPr>
              <w:rPr>
                <w:sz w:val="20"/>
                <w:szCs w:val="20"/>
              </w:rPr>
            </w:pPr>
          </w:p>
        </w:tc>
        <w:tc>
          <w:tcPr>
            <w:tcW w:w="1800" w:type="dxa"/>
          </w:tcPr>
          <w:p w14:paraId="6A638CC2" w14:textId="77777777" w:rsidR="00DA702B" w:rsidRPr="00DA702B" w:rsidRDefault="00DA702B" w:rsidP="00DA702B">
            <w:pPr>
              <w:rPr>
                <w:sz w:val="20"/>
                <w:szCs w:val="20"/>
              </w:rPr>
            </w:pPr>
          </w:p>
        </w:tc>
        <w:tc>
          <w:tcPr>
            <w:tcW w:w="1800" w:type="dxa"/>
          </w:tcPr>
          <w:p w14:paraId="081BEC49" w14:textId="77777777" w:rsidR="00DA702B" w:rsidRPr="00DA702B" w:rsidRDefault="00DA702B" w:rsidP="00DA702B">
            <w:pPr>
              <w:rPr>
                <w:sz w:val="20"/>
                <w:szCs w:val="20"/>
              </w:rPr>
            </w:pPr>
          </w:p>
        </w:tc>
        <w:tc>
          <w:tcPr>
            <w:tcW w:w="1800" w:type="dxa"/>
          </w:tcPr>
          <w:p w14:paraId="32445F06" w14:textId="77777777" w:rsidR="00DA702B" w:rsidRPr="00DA702B" w:rsidRDefault="00DA702B" w:rsidP="00DA702B">
            <w:pPr>
              <w:rPr>
                <w:sz w:val="20"/>
                <w:szCs w:val="20"/>
              </w:rPr>
            </w:pPr>
          </w:p>
        </w:tc>
        <w:tc>
          <w:tcPr>
            <w:tcW w:w="1800" w:type="dxa"/>
          </w:tcPr>
          <w:p w14:paraId="03FE2CFE" w14:textId="77777777" w:rsidR="00DA702B" w:rsidRPr="00DA702B" w:rsidRDefault="00DA702B" w:rsidP="00DA702B">
            <w:pPr>
              <w:rPr>
                <w:sz w:val="20"/>
                <w:szCs w:val="20"/>
              </w:rPr>
            </w:pPr>
          </w:p>
        </w:tc>
        <w:tc>
          <w:tcPr>
            <w:tcW w:w="1800" w:type="dxa"/>
          </w:tcPr>
          <w:p w14:paraId="4910CE83" w14:textId="77777777" w:rsidR="00DA702B" w:rsidRPr="00DA702B" w:rsidRDefault="00DA702B" w:rsidP="00DA702B">
            <w:pPr>
              <w:rPr>
                <w:sz w:val="20"/>
                <w:szCs w:val="20"/>
              </w:rPr>
            </w:pPr>
          </w:p>
        </w:tc>
        <w:tc>
          <w:tcPr>
            <w:tcW w:w="1800" w:type="dxa"/>
          </w:tcPr>
          <w:p w14:paraId="24CF40F2" w14:textId="77777777" w:rsidR="00DA702B" w:rsidRPr="00DA702B" w:rsidRDefault="00DA702B" w:rsidP="00DA702B">
            <w:pPr>
              <w:rPr>
                <w:sz w:val="20"/>
                <w:szCs w:val="20"/>
              </w:rPr>
            </w:pPr>
          </w:p>
        </w:tc>
        <w:tc>
          <w:tcPr>
            <w:tcW w:w="1800" w:type="dxa"/>
          </w:tcPr>
          <w:p w14:paraId="3DFB5716" w14:textId="77777777" w:rsidR="00DA702B" w:rsidRPr="00DA702B" w:rsidRDefault="00DA702B" w:rsidP="00DA702B">
            <w:pPr>
              <w:rPr>
                <w:sz w:val="20"/>
                <w:szCs w:val="20"/>
              </w:rPr>
            </w:pPr>
          </w:p>
        </w:tc>
      </w:tr>
      <w:tr w:rsidR="00DA702B" w:rsidRPr="00DA702B" w14:paraId="5E8DC09A" w14:textId="77777777" w:rsidTr="00247007">
        <w:trPr>
          <w:cantSplit/>
          <w:trHeight w:val="346"/>
          <w:tblHeader/>
        </w:trPr>
        <w:tc>
          <w:tcPr>
            <w:tcW w:w="1800" w:type="dxa"/>
          </w:tcPr>
          <w:p w14:paraId="75ECD623" w14:textId="77777777" w:rsidR="00DA702B" w:rsidRPr="00DA702B" w:rsidRDefault="00DA702B" w:rsidP="00DA702B">
            <w:pPr>
              <w:rPr>
                <w:sz w:val="20"/>
                <w:szCs w:val="20"/>
              </w:rPr>
            </w:pPr>
          </w:p>
        </w:tc>
        <w:tc>
          <w:tcPr>
            <w:tcW w:w="1800" w:type="dxa"/>
          </w:tcPr>
          <w:p w14:paraId="19DFF653" w14:textId="77777777" w:rsidR="00DA702B" w:rsidRPr="00DA702B" w:rsidRDefault="00DA702B" w:rsidP="00DA702B">
            <w:pPr>
              <w:rPr>
                <w:sz w:val="20"/>
                <w:szCs w:val="20"/>
              </w:rPr>
            </w:pPr>
          </w:p>
        </w:tc>
        <w:tc>
          <w:tcPr>
            <w:tcW w:w="1800" w:type="dxa"/>
          </w:tcPr>
          <w:p w14:paraId="3FF9A080" w14:textId="77777777" w:rsidR="00DA702B" w:rsidRPr="00DA702B" w:rsidRDefault="00DA702B" w:rsidP="00DA702B">
            <w:pPr>
              <w:rPr>
                <w:sz w:val="20"/>
                <w:szCs w:val="20"/>
              </w:rPr>
            </w:pPr>
          </w:p>
        </w:tc>
        <w:tc>
          <w:tcPr>
            <w:tcW w:w="1800" w:type="dxa"/>
          </w:tcPr>
          <w:p w14:paraId="668F19E0" w14:textId="77777777" w:rsidR="00DA702B" w:rsidRPr="00DA702B" w:rsidRDefault="00DA702B" w:rsidP="00DA702B">
            <w:pPr>
              <w:rPr>
                <w:sz w:val="20"/>
                <w:szCs w:val="20"/>
              </w:rPr>
            </w:pPr>
          </w:p>
        </w:tc>
        <w:tc>
          <w:tcPr>
            <w:tcW w:w="1800" w:type="dxa"/>
          </w:tcPr>
          <w:p w14:paraId="1AE09C3D" w14:textId="77777777" w:rsidR="00DA702B" w:rsidRPr="00DA702B" w:rsidRDefault="00DA702B" w:rsidP="00DA702B">
            <w:pPr>
              <w:rPr>
                <w:sz w:val="20"/>
                <w:szCs w:val="20"/>
              </w:rPr>
            </w:pPr>
          </w:p>
        </w:tc>
        <w:tc>
          <w:tcPr>
            <w:tcW w:w="1800" w:type="dxa"/>
          </w:tcPr>
          <w:p w14:paraId="35D69F49" w14:textId="77777777" w:rsidR="00DA702B" w:rsidRPr="00DA702B" w:rsidRDefault="00DA702B" w:rsidP="00DA702B">
            <w:pPr>
              <w:rPr>
                <w:sz w:val="20"/>
                <w:szCs w:val="20"/>
              </w:rPr>
            </w:pPr>
          </w:p>
        </w:tc>
        <w:tc>
          <w:tcPr>
            <w:tcW w:w="1800" w:type="dxa"/>
          </w:tcPr>
          <w:p w14:paraId="05A9862B" w14:textId="77777777" w:rsidR="00DA702B" w:rsidRPr="00DA702B" w:rsidRDefault="00DA702B" w:rsidP="00DA702B">
            <w:pPr>
              <w:rPr>
                <w:sz w:val="20"/>
                <w:szCs w:val="20"/>
              </w:rPr>
            </w:pPr>
          </w:p>
        </w:tc>
        <w:tc>
          <w:tcPr>
            <w:tcW w:w="1800" w:type="dxa"/>
          </w:tcPr>
          <w:p w14:paraId="538CE082" w14:textId="77777777" w:rsidR="00DA702B" w:rsidRPr="00DA702B" w:rsidRDefault="00DA702B" w:rsidP="00DA702B">
            <w:pPr>
              <w:rPr>
                <w:sz w:val="20"/>
                <w:szCs w:val="20"/>
              </w:rPr>
            </w:pPr>
          </w:p>
        </w:tc>
      </w:tr>
      <w:tr w:rsidR="00DA702B" w:rsidRPr="00DA702B" w14:paraId="3000DA41" w14:textId="77777777" w:rsidTr="00247007">
        <w:trPr>
          <w:cantSplit/>
          <w:trHeight w:val="346"/>
          <w:tblHeader/>
        </w:trPr>
        <w:tc>
          <w:tcPr>
            <w:tcW w:w="1800" w:type="dxa"/>
          </w:tcPr>
          <w:p w14:paraId="7F22CAEE" w14:textId="77777777" w:rsidR="00DA702B" w:rsidRPr="00DA702B" w:rsidRDefault="00DA702B" w:rsidP="00DA702B">
            <w:pPr>
              <w:rPr>
                <w:sz w:val="20"/>
                <w:szCs w:val="20"/>
              </w:rPr>
            </w:pPr>
          </w:p>
        </w:tc>
        <w:tc>
          <w:tcPr>
            <w:tcW w:w="1800" w:type="dxa"/>
          </w:tcPr>
          <w:p w14:paraId="74CFF761" w14:textId="77777777" w:rsidR="00DA702B" w:rsidRPr="00DA702B" w:rsidRDefault="00DA702B" w:rsidP="00DA702B">
            <w:pPr>
              <w:rPr>
                <w:sz w:val="20"/>
                <w:szCs w:val="20"/>
              </w:rPr>
            </w:pPr>
          </w:p>
        </w:tc>
        <w:tc>
          <w:tcPr>
            <w:tcW w:w="1800" w:type="dxa"/>
          </w:tcPr>
          <w:p w14:paraId="69524C3B" w14:textId="77777777" w:rsidR="00DA702B" w:rsidRPr="00DA702B" w:rsidRDefault="00DA702B" w:rsidP="00DA702B">
            <w:pPr>
              <w:rPr>
                <w:sz w:val="20"/>
                <w:szCs w:val="20"/>
              </w:rPr>
            </w:pPr>
          </w:p>
        </w:tc>
        <w:tc>
          <w:tcPr>
            <w:tcW w:w="1800" w:type="dxa"/>
          </w:tcPr>
          <w:p w14:paraId="1543675A" w14:textId="77777777" w:rsidR="00DA702B" w:rsidRPr="00DA702B" w:rsidRDefault="00DA702B" w:rsidP="00DA702B">
            <w:pPr>
              <w:rPr>
                <w:sz w:val="20"/>
                <w:szCs w:val="20"/>
              </w:rPr>
            </w:pPr>
          </w:p>
        </w:tc>
        <w:tc>
          <w:tcPr>
            <w:tcW w:w="1800" w:type="dxa"/>
          </w:tcPr>
          <w:p w14:paraId="55E09B18" w14:textId="77777777" w:rsidR="00DA702B" w:rsidRPr="00DA702B" w:rsidRDefault="00DA702B" w:rsidP="00DA702B">
            <w:pPr>
              <w:rPr>
                <w:sz w:val="20"/>
                <w:szCs w:val="20"/>
              </w:rPr>
            </w:pPr>
          </w:p>
        </w:tc>
        <w:tc>
          <w:tcPr>
            <w:tcW w:w="1800" w:type="dxa"/>
          </w:tcPr>
          <w:p w14:paraId="24AAD8CA" w14:textId="77777777" w:rsidR="00DA702B" w:rsidRPr="00DA702B" w:rsidRDefault="00DA702B" w:rsidP="00DA702B">
            <w:pPr>
              <w:rPr>
                <w:sz w:val="20"/>
                <w:szCs w:val="20"/>
              </w:rPr>
            </w:pPr>
          </w:p>
        </w:tc>
        <w:tc>
          <w:tcPr>
            <w:tcW w:w="1800" w:type="dxa"/>
          </w:tcPr>
          <w:p w14:paraId="494B7488" w14:textId="77777777" w:rsidR="00DA702B" w:rsidRPr="00DA702B" w:rsidRDefault="00DA702B" w:rsidP="00DA702B">
            <w:pPr>
              <w:rPr>
                <w:sz w:val="20"/>
                <w:szCs w:val="20"/>
              </w:rPr>
            </w:pPr>
          </w:p>
        </w:tc>
        <w:tc>
          <w:tcPr>
            <w:tcW w:w="1800" w:type="dxa"/>
          </w:tcPr>
          <w:p w14:paraId="6EC25341" w14:textId="77777777" w:rsidR="00DA702B" w:rsidRPr="00DA702B" w:rsidRDefault="00DA702B" w:rsidP="00DA702B">
            <w:pPr>
              <w:rPr>
                <w:sz w:val="20"/>
                <w:szCs w:val="20"/>
              </w:rPr>
            </w:pPr>
          </w:p>
        </w:tc>
      </w:tr>
      <w:tr w:rsidR="00DA702B" w:rsidRPr="00DA702B" w14:paraId="11CF534B" w14:textId="77777777" w:rsidTr="00247007">
        <w:trPr>
          <w:cantSplit/>
          <w:trHeight w:val="346"/>
          <w:tblHeader/>
        </w:trPr>
        <w:tc>
          <w:tcPr>
            <w:tcW w:w="1800" w:type="dxa"/>
          </w:tcPr>
          <w:p w14:paraId="2BC1A9FC" w14:textId="77777777" w:rsidR="00DA702B" w:rsidRPr="00DA702B" w:rsidRDefault="00DA702B" w:rsidP="00DA702B">
            <w:pPr>
              <w:rPr>
                <w:sz w:val="20"/>
                <w:szCs w:val="20"/>
              </w:rPr>
            </w:pPr>
          </w:p>
        </w:tc>
        <w:tc>
          <w:tcPr>
            <w:tcW w:w="1800" w:type="dxa"/>
          </w:tcPr>
          <w:p w14:paraId="3FA2EF21" w14:textId="77777777" w:rsidR="00DA702B" w:rsidRPr="00DA702B" w:rsidRDefault="00DA702B" w:rsidP="00DA702B">
            <w:pPr>
              <w:rPr>
                <w:sz w:val="20"/>
                <w:szCs w:val="20"/>
              </w:rPr>
            </w:pPr>
          </w:p>
        </w:tc>
        <w:tc>
          <w:tcPr>
            <w:tcW w:w="1800" w:type="dxa"/>
          </w:tcPr>
          <w:p w14:paraId="68BCA2DF" w14:textId="77777777" w:rsidR="00DA702B" w:rsidRPr="00DA702B" w:rsidRDefault="00DA702B" w:rsidP="00DA702B">
            <w:pPr>
              <w:rPr>
                <w:sz w:val="20"/>
                <w:szCs w:val="20"/>
              </w:rPr>
            </w:pPr>
          </w:p>
        </w:tc>
        <w:tc>
          <w:tcPr>
            <w:tcW w:w="1800" w:type="dxa"/>
          </w:tcPr>
          <w:p w14:paraId="27C135B5" w14:textId="77777777" w:rsidR="00DA702B" w:rsidRPr="00DA702B" w:rsidRDefault="00DA702B" w:rsidP="00DA702B">
            <w:pPr>
              <w:rPr>
                <w:sz w:val="20"/>
                <w:szCs w:val="20"/>
              </w:rPr>
            </w:pPr>
          </w:p>
        </w:tc>
        <w:tc>
          <w:tcPr>
            <w:tcW w:w="1800" w:type="dxa"/>
          </w:tcPr>
          <w:p w14:paraId="3A361B6C" w14:textId="77777777" w:rsidR="00DA702B" w:rsidRPr="00DA702B" w:rsidRDefault="00DA702B" w:rsidP="00DA702B">
            <w:pPr>
              <w:rPr>
                <w:sz w:val="20"/>
                <w:szCs w:val="20"/>
              </w:rPr>
            </w:pPr>
          </w:p>
        </w:tc>
        <w:tc>
          <w:tcPr>
            <w:tcW w:w="1800" w:type="dxa"/>
          </w:tcPr>
          <w:p w14:paraId="48C6E0B1" w14:textId="77777777" w:rsidR="00DA702B" w:rsidRPr="00DA702B" w:rsidRDefault="00DA702B" w:rsidP="00DA702B">
            <w:pPr>
              <w:rPr>
                <w:sz w:val="20"/>
                <w:szCs w:val="20"/>
              </w:rPr>
            </w:pPr>
          </w:p>
        </w:tc>
        <w:tc>
          <w:tcPr>
            <w:tcW w:w="1800" w:type="dxa"/>
          </w:tcPr>
          <w:p w14:paraId="10A6B3B4" w14:textId="77777777" w:rsidR="00DA702B" w:rsidRPr="00DA702B" w:rsidRDefault="00DA702B" w:rsidP="00DA702B">
            <w:pPr>
              <w:rPr>
                <w:sz w:val="20"/>
                <w:szCs w:val="20"/>
              </w:rPr>
            </w:pPr>
          </w:p>
        </w:tc>
        <w:tc>
          <w:tcPr>
            <w:tcW w:w="1800" w:type="dxa"/>
          </w:tcPr>
          <w:p w14:paraId="6648CC37" w14:textId="77777777" w:rsidR="00DA702B" w:rsidRPr="00DA702B" w:rsidRDefault="00DA702B" w:rsidP="00DA702B">
            <w:pPr>
              <w:rPr>
                <w:sz w:val="20"/>
                <w:szCs w:val="20"/>
              </w:rPr>
            </w:pPr>
          </w:p>
        </w:tc>
      </w:tr>
      <w:tr w:rsidR="00DA702B" w:rsidRPr="00DA702B" w14:paraId="1BCF2A1D" w14:textId="77777777" w:rsidTr="00247007">
        <w:trPr>
          <w:cantSplit/>
          <w:trHeight w:val="346"/>
          <w:tblHeader/>
        </w:trPr>
        <w:tc>
          <w:tcPr>
            <w:tcW w:w="1800" w:type="dxa"/>
          </w:tcPr>
          <w:p w14:paraId="59BB1AA5" w14:textId="77777777" w:rsidR="00DA702B" w:rsidRPr="00DA702B" w:rsidRDefault="00DA702B" w:rsidP="00DA702B">
            <w:pPr>
              <w:rPr>
                <w:sz w:val="20"/>
                <w:szCs w:val="20"/>
              </w:rPr>
            </w:pPr>
          </w:p>
        </w:tc>
        <w:tc>
          <w:tcPr>
            <w:tcW w:w="1800" w:type="dxa"/>
          </w:tcPr>
          <w:p w14:paraId="79FA00D5" w14:textId="77777777" w:rsidR="00DA702B" w:rsidRPr="00DA702B" w:rsidRDefault="00DA702B" w:rsidP="00DA702B">
            <w:pPr>
              <w:rPr>
                <w:sz w:val="20"/>
                <w:szCs w:val="20"/>
              </w:rPr>
            </w:pPr>
          </w:p>
        </w:tc>
        <w:tc>
          <w:tcPr>
            <w:tcW w:w="1800" w:type="dxa"/>
          </w:tcPr>
          <w:p w14:paraId="06FEE3DE" w14:textId="77777777" w:rsidR="00DA702B" w:rsidRPr="00DA702B" w:rsidRDefault="00DA702B" w:rsidP="00DA702B">
            <w:pPr>
              <w:rPr>
                <w:sz w:val="20"/>
                <w:szCs w:val="20"/>
              </w:rPr>
            </w:pPr>
          </w:p>
        </w:tc>
        <w:tc>
          <w:tcPr>
            <w:tcW w:w="1800" w:type="dxa"/>
          </w:tcPr>
          <w:p w14:paraId="7B78721E" w14:textId="77777777" w:rsidR="00DA702B" w:rsidRPr="00DA702B" w:rsidRDefault="00DA702B" w:rsidP="00DA702B">
            <w:pPr>
              <w:rPr>
                <w:sz w:val="20"/>
                <w:szCs w:val="20"/>
              </w:rPr>
            </w:pPr>
          </w:p>
        </w:tc>
        <w:tc>
          <w:tcPr>
            <w:tcW w:w="1800" w:type="dxa"/>
          </w:tcPr>
          <w:p w14:paraId="56BEEB1F" w14:textId="77777777" w:rsidR="00DA702B" w:rsidRPr="00DA702B" w:rsidRDefault="00DA702B" w:rsidP="00DA702B">
            <w:pPr>
              <w:rPr>
                <w:sz w:val="20"/>
                <w:szCs w:val="20"/>
              </w:rPr>
            </w:pPr>
          </w:p>
        </w:tc>
        <w:tc>
          <w:tcPr>
            <w:tcW w:w="1800" w:type="dxa"/>
          </w:tcPr>
          <w:p w14:paraId="754EF8C6" w14:textId="77777777" w:rsidR="00DA702B" w:rsidRPr="00DA702B" w:rsidRDefault="00DA702B" w:rsidP="00DA702B">
            <w:pPr>
              <w:rPr>
                <w:sz w:val="20"/>
                <w:szCs w:val="20"/>
              </w:rPr>
            </w:pPr>
          </w:p>
        </w:tc>
        <w:tc>
          <w:tcPr>
            <w:tcW w:w="1800" w:type="dxa"/>
          </w:tcPr>
          <w:p w14:paraId="71AAAF13" w14:textId="77777777" w:rsidR="00DA702B" w:rsidRPr="00DA702B" w:rsidRDefault="00DA702B" w:rsidP="00DA702B">
            <w:pPr>
              <w:rPr>
                <w:sz w:val="20"/>
                <w:szCs w:val="20"/>
              </w:rPr>
            </w:pPr>
          </w:p>
        </w:tc>
        <w:tc>
          <w:tcPr>
            <w:tcW w:w="1800" w:type="dxa"/>
          </w:tcPr>
          <w:p w14:paraId="3C0B6284" w14:textId="77777777" w:rsidR="00DA702B" w:rsidRPr="00DA702B" w:rsidRDefault="00DA702B" w:rsidP="00DA702B">
            <w:pPr>
              <w:rPr>
                <w:sz w:val="20"/>
                <w:szCs w:val="20"/>
              </w:rPr>
            </w:pPr>
          </w:p>
        </w:tc>
      </w:tr>
      <w:tr w:rsidR="00DA702B" w:rsidRPr="00DA702B" w14:paraId="0C0BB9C4" w14:textId="77777777" w:rsidTr="00247007">
        <w:trPr>
          <w:cantSplit/>
          <w:trHeight w:val="346"/>
          <w:tblHeader/>
        </w:trPr>
        <w:tc>
          <w:tcPr>
            <w:tcW w:w="1800" w:type="dxa"/>
          </w:tcPr>
          <w:p w14:paraId="758F4AF0" w14:textId="77777777" w:rsidR="00DA702B" w:rsidRPr="00DA702B" w:rsidRDefault="00DA702B" w:rsidP="00DA702B">
            <w:pPr>
              <w:rPr>
                <w:sz w:val="20"/>
                <w:szCs w:val="20"/>
              </w:rPr>
            </w:pPr>
          </w:p>
        </w:tc>
        <w:tc>
          <w:tcPr>
            <w:tcW w:w="1800" w:type="dxa"/>
          </w:tcPr>
          <w:p w14:paraId="153AC011" w14:textId="77777777" w:rsidR="00DA702B" w:rsidRPr="00DA702B" w:rsidRDefault="00DA702B" w:rsidP="00DA702B">
            <w:pPr>
              <w:rPr>
                <w:sz w:val="20"/>
                <w:szCs w:val="20"/>
              </w:rPr>
            </w:pPr>
          </w:p>
        </w:tc>
        <w:tc>
          <w:tcPr>
            <w:tcW w:w="1800" w:type="dxa"/>
          </w:tcPr>
          <w:p w14:paraId="09E70ECA" w14:textId="77777777" w:rsidR="00DA702B" w:rsidRPr="00DA702B" w:rsidRDefault="00DA702B" w:rsidP="00DA702B">
            <w:pPr>
              <w:rPr>
                <w:sz w:val="20"/>
                <w:szCs w:val="20"/>
              </w:rPr>
            </w:pPr>
          </w:p>
        </w:tc>
        <w:tc>
          <w:tcPr>
            <w:tcW w:w="1800" w:type="dxa"/>
          </w:tcPr>
          <w:p w14:paraId="002F2138" w14:textId="77777777" w:rsidR="00DA702B" w:rsidRPr="00DA702B" w:rsidRDefault="00DA702B" w:rsidP="00DA702B">
            <w:pPr>
              <w:rPr>
                <w:sz w:val="20"/>
                <w:szCs w:val="20"/>
              </w:rPr>
            </w:pPr>
          </w:p>
        </w:tc>
        <w:tc>
          <w:tcPr>
            <w:tcW w:w="1800" w:type="dxa"/>
          </w:tcPr>
          <w:p w14:paraId="2B1A1FE9" w14:textId="77777777" w:rsidR="00DA702B" w:rsidRPr="00DA702B" w:rsidRDefault="00DA702B" w:rsidP="00DA702B">
            <w:pPr>
              <w:rPr>
                <w:sz w:val="20"/>
                <w:szCs w:val="20"/>
              </w:rPr>
            </w:pPr>
          </w:p>
        </w:tc>
        <w:tc>
          <w:tcPr>
            <w:tcW w:w="1800" w:type="dxa"/>
          </w:tcPr>
          <w:p w14:paraId="2446FAD3" w14:textId="77777777" w:rsidR="00DA702B" w:rsidRPr="00DA702B" w:rsidRDefault="00DA702B" w:rsidP="00DA702B">
            <w:pPr>
              <w:rPr>
                <w:sz w:val="20"/>
                <w:szCs w:val="20"/>
              </w:rPr>
            </w:pPr>
          </w:p>
        </w:tc>
        <w:tc>
          <w:tcPr>
            <w:tcW w:w="1800" w:type="dxa"/>
          </w:tcPr>
          <w:p w14:paraId="521135F6" w14:textId="77777777" w:rsidR="00DA702B" w:rsidRPr="00DA702B" w:rsidRDefault="00DA702B" w:rsidP="00DA702B">
            <w:pPr>
              <w:rPr>
                <w:sz w:val="20"/>
                <w:szCs w:val="20"/>
              </w:rPr>
            </w:pPr>
          </w:p>
        </w:tc>
        <w:tc>
          <w:tcPr>
            <w:tcW w:w="1800" w:type="dxa"/>
          </w:tcPr>
          <w:p w14:paraId="794FF8E1" w14:textId="77777777" w:rsidR="00DA702B" w:rsidRPr="00DA702B" w:rsidRDefault="00DA702B" w:rsidP="00DA702B">
            <w:pPr>
              <w:rPr>
                <w:sz w:val="20"/>
                <w:szCs w:val="20"/>
              </w:rPr>
            </w:pPr>
          </w:p>
        </w:tc>
      </w:tr>
      <w:tr w:rsidR="00DA702B" w:rsidRPr="00DA702B" w14:paraId="42B04E4C" w14:textId="77777777" w:rsidTr="00247007">
        <w:trPr>
          <w:cantSplit/>
          <w:trHeight w:val="346"/>
          <w:tblHeader/>
        </w:trPr>
        <w:tc>
          <w:tcPr>
            <w:tcW w:w="1800" w:type="dxa"/>
          </w:tcPr>
          <w:p w14:paraId="38E24894" w14:textId="77777777" w:rsidR="00DA702B" w:rsidRPr="00DA702B" w:rsidRDefault="00DA702B" w:rsidP="00DA702B">
            <w:pPr>
              <w:rPr>
                <w:sz w:val="20"/>
                <w:szCs w:val="20"/>
              </w:rPr>
            </w:pPr>
          </w:p>
        </w:tc>
        <w:tc>
          <w:tcPr>
            <w:tcW w:w="1800" w:type="dxa"/>
          </w:tcPr>
          <w:p w14:paraId="5C072E54" w14:textId="77777777" w:rsidR="00DA702B" w:rsidRPr="00DA702B" w:rsidRDefault="00DA702B" w:rsidP="00DA702B">
            <w:pPr>
              <w:rPr>
                <w:sz w:val="20"/>
                <w:szCs w:val="20"/>
              </w:rPr>
            </w:pPr>
          </w:p>
        </w:tc>
        <w:tc>
          <w:tcPr>
            <w:tcW w:w="1800" w:type="dxa"/>
          </w:tcPr>
          <w:p w14:paraId="1A89412E" w14:textId="77777777" w:rsidR="00DA702B" w:rsidRPr="00DA702B" w:rsidRDefault="00DA702B" w:rsidP="00DA702B">
            <w:pPr>
              <w:rPr>
                <w:sz w:val="20"/>
                <w:szCs w:val="20"/>
              </w:rPr>
            </w:pPr>
          </w:p>
        </w:tc>
        <w:tc>
          <w:tcPr>
            <w:tcW w:w="1800" w:type="dxa"/>
          </w:tcPr>
          <w:p w14:paraId="1E96546F" w14:textId="77777777" w:rsidR="00DA702B" w:rsidRPr="00DA702B" w:rsidRDefault="00DA702B" w:rsidP="00DA702B">
            <w:pPr>
              <w:rPr>
                <w:sz w:val="20"/>
                <w:szCs w:val="20"/>
              </w:rPr>
            </w:pPr>
          </w:p>
        </w:tc>
        <w:tc>
          <w:tcPr>
            <w:tcW w:w="1800" w:type="dxa"/>
          </w:tcPr>
          <w:p w14:paraId="0831EE2F" w14:textId="77777777" w:rsidR="00DA702B" w:rsidRPr="00DA702B" w:rsidRDefault="00DA702B" w:rsidP="00DA702B">
            <w:pPr>
              <w:rPr>
                <w:sz w:val="20"/>
                <w:szCs w:val="20"/>
              </w:rPr>
            </w:pPr>
          </w:p>
        </w:tc>
        <w:tc>
          <w:tcPr>
            <w:tcW w:w="1800" w:type="dxa"/>
          </w:tcPr>
          <w:p w14:paraId="7E8B3BF7" w14:textId="77777777" w:rsidR="00DA702B" w:rsidRPr="00DA702B" w:rsidRDefault="00DA702B" w:rsidP="00DA702B">
            <w:pPr>
              <w:rPr>
                <w:sz w:val="20"/>
                <w:szCs w:val="20"/>
              </w:rPr>
            </w:pPr>
          </w:p>
        </w:tc>
        <w:tc>
          <w:tcPr>
            <w:tcW w:w="1800" w:type="dxa"/>
          </w:tcPr>
          <w:p w14:paraId="3E886A17" w14:textId="77777777" w:rsidR="00DA702B" w:rsidRPr="00DA702B" w:rsidRDefault="00DA702B" w:rsidP="00DA702B">
            <w:pPr>
              <w:rPr>
                <w:sz w:val="20"/>
                <w:szCs w:val="20"/>
              </w:rPr>
            </w:pPr>
          </w:p>
        </w:tc>
        <w:tc>
          <w:tcPr>
            <w:tcW w:w="1800" w:type="dxa"/>
          </w:tcPr>
          <w:p w14:paraId="125ADBD6" w14:textId="77777777" w:rsidR="00DA702B" w:rsidRPr="00DA702B" w:rsidRDefault="00DA702B" w:rsidP="00DA702B">
            <w:pPr>
              <w:rPr>
                <w:sz w:val="20"/>
                <w:szCs w:val="20"/>
              </w:rPr>
            </w:pPr>
          </w:p>
        </w:tc>
      </w:tr>
      <w:tr w:rsidR="00DA702B" w:rsidRPr="00DA702B" w14:paraId="6B8B6E84" w14:textId="77777777" w:rsidTr="00247007">
        <w:trPr>
          <w:cantSplit/>
          <w:trHeight w:val="346"/>
          <w:tblHeader/>
        </w:trPr>
        <w:tc>
          <w:tcPr>
            <w:tcW w:w="1800" w:type="dxa"/>
          </w:tcPr>
          <w:p w14:paraId="00B8A43D" w14:textId="77777777" w:rsidR="00DA702B" w:rsidRPr="00DA702B" w:rsidRDefault="00DA702B" w:rsidP="00DA702B">
            <w:pPr>
              <w:rPr>
                <w:sz w:val="20"/>
                <w:szCs w:val="20"/>
              </w:rPr>
            </w:pPr>
          </w:p>
        </w:tc>
        <w:tc>
          <w:tcPr>
            <w:tcW w:w="1800" w:type="dxa"/>
          </w:tcPr>
          <w:p w14:paraId="4681577B" w14:textId="77777777" w:rsidR="00DA702B" w:rsidRPr="00DA702B" w:rsidRDefault="00DA702B" w:rsidP="00DA702B">
            <w:pPr>
              <w:rPr>
                <w:sz w:val="20"/>
                <w:szCs w:val="20"/>
              </w:rPr>
            </w:pPr>
          </w:p>
        </w:tc>
        <w:tc>
          <w:tcPr>
            <w:tcW w:w="1800" w:type="dxa"/>
          </w:tcPr>
          <w:p w14:paraId="6B05E0AD" w14:textId="77777777" w:rsidR="00DA702B" w:rsidRPr="00DA702B" w:rsidRDefault="00DA702B" w:rsidP="00DA702B">
            <w:pPr>
              <w:rPr>
                <w:sz w:val="20"/>
                <w:szCs w:val="20"/>
              </w:rPr>
            </w:pPr>
          </w:p>
        </w:tc>
        <w:tc>
          <w:tcPr>
            <w:tcW w:w="1800" w:type="dxa"/>
          </w:tcPr>
          <w:p w14:paraId="5B892DBB" w14:textId="77777777" w:rsidR="00DA702B" w:rsidRPr="00DA702B" w:rsidRDefault="00DA702B" w:rsidP="00DA702B">
            <w:pPr>
              <w:rPr>
                <w:sz w:val="20"/>
                <w:szCs w:val="20"/>
              </w:rPr>
            </w:pPr>
          </w:p>
        </w:tc>
        <w:tc>
          <w:tcPr>
            <w:tcW w:w="1800" w:type="dxa"/>
          </w:tcPr>
          <w:p w14:paraId="38AC3387" w14:textId="77777777" w:rsidR="00DA702B" w:rsidRPr="00DA702B" w:rsidRDefault="00DA702B" w:rsidP="00DA702B">
            <w:pPr>
              <w:rPr>
                <w:sz w:val="20"/>
                <w:szCs w:val="20"/>
              </w:rPr>
            </w:pPr>
          </w:p>
        </w:tc>
        <w:tc>
          <w:tcPr>
            <w:tcW w:w="1800" w:type="dxa"/>
          </w:tcPr>
          <w:p w14:paraId="41419EA8" w14:textId="77777777" w:rsidR="00DA702B" w:rsidRPr="00DA702B" w:rsidRDefault="00DA702B" w:rsidP="00DA702B">
            <w:pPr>
              <w:rPr>
                <w:sz w:val="20"/>
                <w:szCs w:val="20"/>
              </w:rPr>
            </w:pPr>
          </w:p>
        </w:tc>
        <w:tc>
          <w:tcPr>
            <w:tcW w:w="1800" w:type="dxa"/>
          </w:tcPr>
          <w:p w14:paraId="0D7059FE" w14:textId="77777777" w:rsidR="00DA702B" w:rsidRPr="00DA702B" w:rsidRDefault="00DA702B" w:rsidP="00DA702B">
            <w:pPr>
              <w:rPr>
                <w:sz w:val="20"/>
                <w:szCs w:val="20"/>
              </w:rPr>
            </w:pPr>
          </w:p>
        </w:tc>
        <w:tc>
          <w:tcPr>
            <w:tcW w:w="1800" w:type="dxa"/>
          </w:tcPr>
          <w:p w14:paraId="2A391946" w14:textId="77777777" w:rsidR="00DA702B" w:rsidRPr="00DA702B" w:rsidRDefault="00DA702B" w:rsidP="00DA702B">
            <w:pPr>
              <w:rPr>
                <w:sz w:val="20"/>
                <w:szCs w:val="20"/>
              </w:rPr>
            </w:pPr>
          </w:p>
        </w:tc>
      </w:tr>
    </w:tbl>
    <w:p w14:paraId="41F6E8C5" w14:textId="77777777" w:rsidR="00DA702B" w:rsidRPr="00DA702B" w:rsidRDefault="00DA702B" w:rsidP="00DA702B">
      <w:r w:rsidRPr="00DA702B">
        <w:br w:type="page"/>
      </w:r>
    </w:p>
    <w:p w14:paraId="384CA708" w14:textId="77777777" w:rsidR="00DA702B" w:rsidRPr="00DA702B" w:rsidRDefault="00DA702B" w:rsidP="009710E1">
      <w:pPr>
        <w:contextualSpacing/>
        <w:jc w:val="center"/>
        <w:outlineLvl w:val="0"/>
        <w:rPr>
          <w:b/>
          <w:bCs/>
        </w:rPr>
      </w:pPr>
      <w:r w:rsidRPr="00DA702B">
        <w:rPr>
          <w:b/>
          <w:bCs/>
        </w:rPr>
        <w:lastRenderedPageBreak/>
        <w:t>Boiler/Steam Generator/Steam Generating Unit Attributes</w:t>
      </w:r>
    </w:p>
    <w:p w14:paraId="6FB0B319" w14:textId="77777777" w:rsidR="00DA702B" w:rsidRPr="00DA702B" w:rsidRDefault="00DA702B" w:rsidP="009710E1">
      <w:pPr>
        <w:contextualSpacing/>
        <w:jc w:val="center"/>
        <w:outlineLvl w:val="0"/>
        <w:rPr>
          <w:b/>
          <w:bCs/>
        </w:rPr>
      </w:pPr>
      <w:r w:rsidRPr="00DA702B">
        <w:rPr>
          <w:b/>
          <w:bCs/>
        </w:rPr>
        <w:t>Form OP-UA6 (Page 13)</w:t>
      </w:r>
    </w:p>
    <w:p w14:paraId="68D3B413" w14:textId="77777777" w:rsidR="00DA702B" w:rsidRPr="00DA702B" w:rsidRDefault="00DA702B" w:rsidP="009710E1">
      <w:pPr>
        <w:contextualSpacing/>
        <w:jc w:val="center"/>
        <w:outlineLvl w:val="0"/>
        <w:rPr>
          <w:b/>
          <w:bCs/>
        </w:rPr>
      </w:pPr>
      <w:r w:rsidRPr="00DA702B">
        <w:rPr>
          <w:b/>
          <w:bCs/>
        </w:rPr>
        <w:t>Federal Operating Permit Program</w:t>
      </w:r>
    </w:p>
    <w:p w14:paraId="1CB02F9F" w14:textId="77777777" w:rsidR="00DA702B" w:rsidRPr="00DA702B" w:rsidRDefault="00DA702B" w:rsidP="009710E1">
      <w:pPr>
        <w:contextualSpacing/>
        <w:jc w:val="center"/>
        <w:outlineLvl w:val="0"/>
        <w:rPr>
          <w:b/>
          <w:bCs/>
        </w:rPr>
      </w:pPr>
      <w:bookmarkStart w:id="175" w:name="TBL_5a"/>
      <w:r w:rsidRPr="00DA702B">
        <w:rPr>
          <w:b/>
          <w:bCs/>
        </w:rPr>
        <w:t>Table 5a</w:t>
      </w:r>
      <w:bookmarkEnd w:id="175"/>
      <w:r w:rsidRPr="00DA702B">
        <w:rPr>
          <w:b/>
          <w:bCs/>
        </w:rPr>
        <w:t>:  Title 30 Texas Administrative Code Chapter 117 (30 TAC Chapter 117)</w:t>
      </w:r>
    </w:p>
    <w:p w14:paraId="2E1F9DC3" w14:textId="77777777" w:rsidR="00DA702B" w:rsidRPr="00DA702B" w:rsidRDefault="00DA702B" w:rsidP="009710E1">
      <w:pPr>
        <w:contextualSpacing/>
        <w:jc w:val="center"/>
        <w:outlineLvl w:val="0"/>
        <w:rPr>
          <w:b/>
          <w:bCs/>
        </w:rPr>
      </w:pPr>
      <w:r w:rsidRPr="00DA702B">
        <w:rPr>
          <w:b/>
          <w:bCs/>
        </w:rPr>
        <w:t>Subpart B:  Combustion Control at Major Industrial, Commercial and Institutional Sources in Ozone Nonattainment Areas</w:t>
      </w:r>
    </w:p>
    <w:p w14:paraId="0DF401C2" w14:textId="77777777" w:rsidR="00DA702B" w:rsidRPr="00DA702B" w:rsidRDefault="00DA702B" w:rsidP="009710E1">
      <w:pPr>
        <w:contextualSpacing/>
        <w:jc w:val="center"/>
        <w:outlineLvl w:val="0"/>
        <w:rPr>
          <w:b/>
          <w:bCs/>
        </w:rPr>
      </w:pPr>
      <w:r w:rsidRPr="00DA702B">
        <w:rPr>
          <w:b/>
          <w:bCs/>
        </w:rPr>
        <w:t>Texas Commission on Environmental Quality</w:t>
      </w:r>
    </w:p>
    <w:p w14:paraId="64F420A1"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5a:  Title 30 Texas Administrative Code Chapter 117 (30 TAC Chapter 117)&#10;Subpart B:  Combustion Control at Major Industrial, Commercial and &#10;Institutional Sources in Ozone Nonattainment Areas&#10;"/>
      </w:tblPr>
      <w:tblGrid>
        <w:gridCol w:w="4800"/>
        <w:gridCol w:w="4800"/>
        <w:gridCol w:w="4800"/>
      </w:tblGrid>
      <w:tr w:rsidR="00DA702B" w:rsidRPr="00DA702B" w14:paraId="30BAEF77" w14:textId="77777777" w:rsidTr="00247007">
        <w:trPr>
          <w:cantSplit/>
          <w:tblHeader/>
        </w:trPr>
        <w:tc>
          <w:tcPr>
            <w:tcW w:w="4800" w:type="dxa"/>
            <w:shd w:val="clear" w:color="auto" w:fill="D9D9D9" w:themeFill="background1" w:themeFillShade="D9"/>
          </w:tcPr>
          <w:p w14:paraId="0494A053"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4D74FD7"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631ED414"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28A6CC25" w14:textId="77777777" w:rsidTr="00247007">
        <w:trPr>
          <w:cantSplit/>
          <w:tblHeader/>
        </w:trPr>
        <w:tc>
          <w:tcPr>
            <w:tcW w:w="4800" w:type="dxa"/>
          </w:tcPr>
          <w:p w14:paraId="0E8166CD" w14:textId="77777777" w:rsidR="00DA702B" w:rsidRPr="00DA702B" w:rsidRDefault="00DA702B" w:rsidP="00DA702B">
            <w:pPr>
              <w:rPr>
                <w:rFonts w:asciiTheme="majorHAnsi" w:hAnsiTheme="majorHAnsi" w:cstheme="majorHAnsi"/>
              </w:rPr>
            </w:pPr>
          </w:p>
        </w:tc>
        <w:tc>
          <w:tcPr>
            <w:tcW w:w="4800" w:type="dxa"/>
          </w:tcPr>
          <w:p w14:paraId="15516D4A" w14:textId="77777777" w:rsidR="00DA702B" w:rsidRPr="00DA702B" w:rsidRDefault="00DA702B" w:rsidP="00DA702B">
            <w:pPr>
              <w:rPr>
                <w:rFonts w:asciiTheme="majorHAnsi" w:hAnsiTheme="majorHAnsi" w:cstheme="majorHAnsi"/>
              </w:rPr>
            </w:pPr>
          </w:p>
        </w:tc>
        <w:tc>
          <w:tcPr>
            <w:tcW w:w="4800" w:type="dxa"/>
          </w:tcPr>
          <w:p w14:paraId="6FDA66CD" w14:textId="77777777" w:rsidR="00DA702B" w:rsidRPr="00DA702B" w:rsidRDefault="00DA702B" w:rsidP="00DA702B">
            <w:pPr>
              <w:rPr>
                <w:rFonts w:asciiTheme="majorHAnsi" w:hAnsiTheme="majorHAnsi" w:cstheme="majorHAnsi"/>
              </w:rPr>
            </w:pPr>
          </w:p>
        </w:tc>
      </w:tr>
    </w:tbl>
    <w:p w14:paraId="21F28315"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5a:  Title 30 Texas Administrative Code Chapter 117 (30 TAC Chapter 117)&#10;Subpart B:  Combustion Control at Major Industrial, Commercial and &#10;Institutional Sources in Ozone Nonattainment Areas&#10;"/>
      </w:tblPr>
      <w:tblGrid>
        <w:gridCol w:w="1440"/>
        <w:gridCol w:w="1440"/>
        <w:gridCol w:w="1440"/>
        <w:gridCol w:w="1440"/>
        <w:gridCol w:w="1440"/>
        <w:gridCol w:w="1440"/>
        <w:gridCol w:w="1440"/>
        <w:gridCol w:w="1440"/>
        <w:gridCol w:w="1440"/>
        <w:gridCol w:w="1440"/>
      </w:tblGrid>
      <w:tr w:rsidR="00DA702B" w:rsidRPr="00DA702B" w14:paraId="00CDB787" w14:textId="77777777" w:rsidTr="00247007">
        <w:trPr>
          <w:cantSplit/>
          <w:tblHeader/>
        </w:trPr>
        <w:tc>
          <w:tcPr>
            <w:tcW w:w="1440" w:type="dxa"/>
            <w:shd w:val="clear" w:color="auto" w:fill="D9D9D9" w:themeFill="background1" w:themeFillShade="D9"/>
            <w:vAlign w:val="bottom"/>
          </w:tcPr>
          <w:p w14:paraId="6F9B75B9" w14:textId="77777777" w:rsidR="00DA702B" w:rsidRPr="00DA702B" w:rsidRDefault="00DA702B" w:rsidP="00DA702B">
            <w:pPr>
              <w:jc w:val="center"/>
              <w:rPr>
                <w:sz w:val="20"/>
                <w:szCs w:val="20"/>
              </w:rPr>
            </w:pPr>
            <w:r w:rsidRPr="00DA702B">
              <w:rPr>
                <w:b/>
                <w:sz w:val="20"/>
                <w:szCs w:val="20"/>
              </w:rPr>
              <w:t>Unit ID No.</w:t>
            </w:r>
          </w:p>
        </w:tc>
        <w:tc>
          <w:tcPr>
            <w:tcW w:w="1440" w:type="dxa"/>
            <w:shd w:val="clear" w:color="auto" w:fill="D9D9D9" w:themeFill="background1" w:themeFillShade="D9"/>
            <w:vAlign w:val="bottom"/>
          </w:tcPr>
          <w:p w14:paraId="3A0023C8" w14:textId="77777777" w:rsidR="00DA702B" w:rsidRPr="00DA702B" w:rsidRDefault="00DA702B" w:rsidP="00DA702B">
            <w:pPr>
              <w:jc w:val="center"/>
              <w:rPr>
                <w:sz w:val="20"/>
                <w:szCs w:val="20"/>
              </w:rPr>
            </w:pPr>
            <w:r w:rsidRPr="00DA702B">
              <w:rPr>
                <w:b/>
                <w:sz w:val="20"/>
                <w:szCs w:val="20"/>
              </w:rPr>
              <w:t>SOP Index No.</w:t>
            </w:r>
          </w:p>
        </w:tc>
        <w:tc>
          <w:tcPr>
            <w:tcW w:w="1440" w:type="dxa"/>
            <w:shd w:val="clear" w:color="auto" w:fill="D9D9D9" w:themeFill="background1" w:themeFillShade="D9"/>
            <w:vAlign w:val="bottom"/>
          </w:tcPr>
          <w:p w14:paraId="326986F3" w14:textId="77777777" w:rsidR="00DA702B" w:rsidRPr="00DA702B" w:rsidRDefault="00DA702B" w:rsidP="00DA702B">
            <w:pPr>
              <w:jc w:val="center"/>
              <w:rPr>
                <w:sz w:val="20"/>
                <w:szCs w:val="20"/>
              </w:rPr>
            </w:pPr>
            <w:r w:rsidRPr="00DA702B">
              <w:rPr>
                <w:b/>
                <w:sz w:val="20"/>
                <w:szCs w:val="20"/>
              </w:rPr>
              <w:t>Unit Type</w:t>
            </w:r>
          </w:p>
        </w:tc>
        <w:tc>
          <w:tcPr>
            <w:tcW w:w="1440" w:type="dxa"/>
            <w:shd w:val="clear" w:color="auto" w:fill="D9D9D9" w:themeFill="background1" w:themeFillShade="D9"/>
            <w:vAlign w:val="bottom"/>
          </w:tcPr>
          <w:p w14:paraId="156AE335" w14:textId="77777777" w:rsidR="00DA702B" w:rsidRPr="00DA702B" w:rsidRDefault="00DA702B" w:rsidP="00DA702B">
            <w:pPr>
              <w:jc w:val="center"/>
              <w:rPr>
                <w:sz w:val="20"/>
                <w:szCs w:val="20"/>
              </w:rPr>
            </w:pPr>
            <w:r w:rsidRPr="00DA702B">
              <w:rPr>
                <w:b/>
                <w:sz w:val="20"/>
                <w:szCs w:val="20"/>
              </w:rPr>
              <w:t>MRC</w:t>
            </w:r>
          </w:p>
        </w:tc>
        <w:tc>
          <w:tcPr>
            <w:tcW w:w="1440" w:type="dxa"/>
            <w:shd w:val="clear" w:color="auto" w:fill="D9D9D9" w:themeFill="background1" w:themeFillShade="D9"/>
            <w:vAlign w:val="bottom"/>
          </w:tcPr>
          <w:p w14:paraId="409B344E" w14:textId="77777777" w:rsidR="00DA702B" w:rsidRPr="00DA702B" w:rsidRDefault="00DA702B" w:rsidP="00DA702B">
            <w:pPr>
              <w:jc w:val="center"/>
              <w:rPr>
                <w:sz w:val="20"/>
                <w:szCs w:val="20"/>
              </w:rPr>
            </w:pPr>
            <w:r w:rsidRPr="00DA702B">
              <w:rPr>
                <w:b/>
                <w:sz w:val="20"/>
                <w:szCs w:val="20"/>
              </w:rPr>
              <w:t>RACT Date Placed in Service</w:t>
            </w:r>
          </w:p>
        </w:tc>
        <w:tc>
          <w:tcPr>
            <w:tcW w:w="1440" w:type="dxa"/>
            <w:shd w:val="clear" w:color="auto" w:fill="D9D9D9" w:themeFill="background1" w:themeFillShade="D9"/>
            <w:vAlign w:val="bottom"/>
          </w:tcPr>
          <w:p w14:paraId="1D327C30" w14:textId="77777777" w:rsidR="00DA702B" w:rsidRPr="00DA702B" w:rsidRDefault="00DA702B" w:rsidP="00DA702B">
            <w:pPr>
              <w:jc w:val="center"/>
              <w:rPr>
                <w:sz w:val="20"/>
                <w:szCs w:val="20"/>
              </w:rPr>
            </w:pPr>
            <w:r w:rsidRPr="00DA702B">
              <w:rPr>
                <w:b/>
                <w:sz w:val="20"/>
                <w:szCs w:val="20"/>
              </w:rPr>
              <w:t>Functionally Identical Replacement</w:t>
            </w:r>
          </w:p>
        </w:tc>
        <w:tc>
          <w:tcPr>
            <w:tcW w:w="1440" w:type="dxa"/>
            <w:shd w:val="clear" w:color="auto" w:fill="D9D9D9" w:themeFill="background1" w:themeFillShade="D9"/>
            <w:vAlign w:val="bottom"/>
          </w:tcPr>
          <w:p w14:paraId="34D30DD6" w14:textId="77777777" w:rsidR="00DA702B" w:rsidRPr="00DA702B" w:rsidRDefault="00DA702B" w:rsidP="00DA702B">
            <w:pPr>
              <w:jc w:val="center"/>
              <w:rPr>
                <w:sz w:val="20"/>
                <w:szCs w:val="20"/>
              </w:rPr>
            </w:pPr>
            <w:r w:rsidRPr="00DA702B">
              <w:rPr>
                <w:b/>
                <w:sz w:val="20"/>
                <w:szCs w:val="20"/>
              </w:rPr>
              <w:t>Fuel Type</w:t>
            </w:r>
          </w:p>
        </w:tc>
        <w:tc>
          <w:tcPr>
            <w:tcW w:w="1440" w:type="dxa"/>
            <w:shd w:val="clear" w:color="auto" w:fill="D9D9D9" w:themeFill="background1" w:themeFillShade="D9"/>
            <w:vAlign w:val="bottom"/>
          </w:tcPr>
          <w:p w14:paraId="1FC6A0C3" w14:textId="77777777" w:rsidR="00DA702B" w:rsidRPr="00DA702B" w:rsidRDefault="00DA702B" w:rsidP="00DA702B">
            <w:pPr>
              <w:jc w:val="center"/>
              <w:rPr>
                <w:sz w:val="20"/>
                <w:szCs w:val="20"/>
              </w:rPr>
            </w:pPr>
            <w:r w:rsidRPr="00DA702B">
              <w:rPr>
                <w:b/>
                <w:sz w:val="20"/>
                <w:szCs w:val="20"/>
              </w:rPr>
              <w:t>Fuel Type</w:t>
            </w:r>
          </w:p>
        </w:tc>
        <w:tc>
          <w:tcPr>
            <w:tcW w:w="1440" w:type="dxa"/>
            <w:shd w:val="clear" w:color="auto" w:fill="D9D9D9" w:themeFill="background1" w:themeFillShade="D9"/>
            <w:vAlign w:val="bottom"/>
          </w:tcPr>
          <w:p w14:paraId="22122066" w14:textId="77777777" w:rsidR="00DA702B" w:rsidRPr="00DA702B" w:rsidRDefault="00DA702B" w:rsidP="00DA702B">
            <w:pPr>
              <w:jc w:val="center"/>
              <w:rPr>
                <w:sz w:val="20"/>
                <w:szCs w:val="20"/>
              </w:rPr>
            </w:pPr>
            <w:r w:rsidRPr="00DA702B">
              <w:rPr>
                <w:b/>
                <w:sz w:val="20"/>
                <w:szCs w:val="20"/>
              </w:rPr>
              <w:t>Fuel Type</w:t>
            </w:r>
          </w:p>
        </w:tc>
        <w:tc>
          <w:tcPr>
            <w:tcW w:w="1440" w:type="dxa"/>
            <w:shd w:val="clear" w:color="auto" w:fill="D9D9D9" w:themeFill="background1" w:themeFillShade="D9"/>
            <w:vAlign w:val="bottom"/>
          </w:tcPr>
          <w:p w14:paraId="2C71AE71" w14:textId="77777777" w:rsidR="00DA702B" w:rsidRPr="00DA702B" w:rsidRDefault="00DA702B" w:rsidP="00DA702B">
            <w:pPr>
              <w:jc w:val="center"/>
              <w:rPr>
                <w:b/>
                <w:sz w:val="20"/>
                <w:szCs w:val="20"/>
              </w:rPr>
            </w:pPr>
            <w:r w:rsidRPr="00DA702B">
              <w:rPr>
                <w:b/>
                <w:sz w:val="20"/>
                <w:szCs w:val="20"/>
              </w:rPr>
              <w:t>Annual</w:t>
            </w:r>
          </w:p>
          <w:p w14:paraId="203DE02C" w14:textId="77777777" w:rsidR="00DA702B" w:rsidRPr="00DA702B" w:rsidRDefault="00DA702B" w:rsidP="00DA702B">
            <w:pPr>
              <w:jc w:val="center"/>
              <w:rPr>
                <w:sz w:val="20"/>
                <w:szCs w:val="20"/>
              </w:rPr>
            </w:pPr>
            <w:r w:rsidRPr="00DA702B">
              <w:rPr>
                <w:b/>
                <w:sz w:val="20"/>
                <w:szCs w:val="20"/>
              </w:rPr>
              <w:t>Heat Input</w:t>
            </w:r>
          </w:p>
        </w:tc>
      </w:tr>
      <w:tr w:rsidR="00DA702B" w:rsidRPr="00DA702B" w14:paraId="100D6192" w14:textId="77777777" w:rsidTr="00247007">
        <w:trPr>
          <w:cantSplit/>
          <w:trHeight w:val="346"/>
          <w:tblHeader/>
        </w:trPr>
        <w:tc>
          <w:tcPr>
            <w:tcW w:w="1440" w:type="dxa"/>
          </w:tcPr>
          <w:p w14:paraId="6F066AB7" w14:textId="77777777" w:rsidR="00DA702B" w:rsidRPr="00DA702B" w:rsidRDefault="00DA702B" w:rsidP="00DA702B">
            <w:pPr>
              <w:rPr>
                <w:sz w:val="20"/>
                <w:szCs w:val="20"/>
              </w:rPr>
            </w:pPr>
          </w:p>
        </w:tc>
        <w:tc>
          <w:tcPr>
            <w:tcW w:w="1440" w:type="dxa"/>
          </w:tcPr>
          <w:p w14:paraId="6438E2EB" w14:textId="77777777" w:rsidR="00DA702B" w:rsidRPr="00DA702B" w:rsidRDefault="00DA702B" w:rsidP="00DA702B">
            <w:pPr>
              <w:rPr>
                <w:sz w:val="20"/>
                <w:szCs w:val="20"/>
              </w:rPr>
            </w:pPr>
          </w:p>
        </w:tc>
        <w:tc>
          <w:tcPr>
            <w:tcW w:w="1440" w:type="dxa"/>
          </w:tcPr>
          <w:p w14:paraId="75664116" w14:textId="77777777" w:rsidR="00DA702B" w:rsidRPr="00DA702B" w:rsidRDefault="00DA702B" w:rsidP="00DA702B">
            <w:pPr>
              <w:rPr>
                <w:sz w:val="20"/>
                <w:szCs w:val="20"/>
              </w:rPr>
            </w:pPr>
          </w:p>
        </w:tc>
        <w:tc>
          <w:tcPr>
            <w:tcW w:w="1440" w:type="dxa"/>
          </w:tcPr>
          <w:p w14:paraId="6EDBE286" w14:textId="77777777" w:rsidR="00DA702B" w:rsidRPr="00DA702B" w:rsidRDefault="00DA702B" w:rsidP="00DA702B">
            <w:pPr>
              <w:rPr>
                <w:sz w:val="20"/>
                <w:szCs w:val="20"/>
              </w:rPr>
            </w:pPr>
          </w:p>
        </w:tc>
        <w:tc>
          <w:tcPr>
            <w:tcW w:w="1440" w:type="dxa"/>
          </w:tcPr>
          <w:p w14:paraId="048E2080" w14:textId="77777777" w:rsidR="00DA702B" w:rsidRPr="00DA702B" w:rsidRDefault="00DA702B" w:rsidP="00DA702B">
            <w:pPr>
              <w:rPr>
                <w:sz w:val="20"/>
                <w:szCs w:val="20"/>
              </w:rPr>
            </w:pPr>
          </w:p>
        </w:tc>
        <w:tc>
          <w:tcPr>
            <w:tcW w:w="1440" w:type="dxa"/>
          </w:tcPr>
          <w:p w14:paraId="5B817EAD" w14:textId="77777777" w:rsidR="00DA702B" w:rsidRPr="00DA702B" w:rsidRDefault="00DA702B" w:rsidP="00DA702B">
            <w:pPr>
              <w:rPr>
                <w:sz w:val="20"/>
                <w:szCs w:val="20"/>
              </w:rPr>
            </w:pPr>
          </w:p>
        </w:tc>
        <w:tc>
          <w:tcPr>
            <w:tcW w:w="1440" w:type="dxa"/>
          </w:tcPr>
          <w:p w14:paraId="11E5AB30" w14:textId="77777777" w:rsidR="00DA702B" w:rsidRPr="00DA702B" w:rsidRDefault="00DA702B" w:rsidP="00DA702B">
            <w:pPr>
              <w:rPr>
                <w:sz w:val="20"/>
                <w:szCs w:val="20"/>
              </w:rPr>
            </w:pPr>
          </w:p>
        </w:tc>
        <w:tc>
          <w:tcPr>
            <w:tcW w:w="1440" w:type="dxa"/>
          </w:tcPr>
          <w:p w14:paraId="32E4F8FA" w14:textId="77777777" w:rsidR="00DA702B" w:rsidRPr="00DA702B" w:rsidRDefault="00DA702B" w:rsidP="00DA702B">
            <w:pPr>
              <w:rPr>
                <w:sz w:val="20"/>
                <w:szCs w:val="20"/>
              </w:rPr>
            </w:pPr>
          </w:p>
        </w:tc>
        <w:tc>
          <w:tcPr>
            <w:tcW w:w="1440" w:type="dxa"/>
          </w:tcPr>
          <w:p w14:paraId="15304C90" w14:textId="77777777" w:rsidR="00DA702B" w:rsidRPr="00DA702B" w:rsidRDefault="00DA702B" w:rsidP="00DA702B">
            <w:pPr>
              <w:rPr>
                <w:sz w:val="20"/>
                <w:szCs w:val="20"/>
              </w:rPr>
            </w:pPr>
          </w:p>
        </w:tc>
        <w:tc>
          <w:tcPr>
            <w:tcW w:w="1440" w:type="dxa"/>
          </w:tcPr>
          <w:p w14:paraId="78F5FD8F" w14:textId="77777777" w:rsidR="00DA702B" w:rsidRPr="00DA702B" w:rsidRDefault="00DA702B" w:rsidP="00DA702B">
            <w:pPr>
              <w:rPr>
                <w:sz w:val="20"/>
                <w:szCs w:val="20"/>
              </w:rPr>
            </w:pPr>
          </w:p>
        </w:tc>
      </w:tr>
      <w:tr w:rsidR="00DA702B" w:rsidRPr="00DA702B" w14:paraId="5309F29E" w14:textId="77777777" w:rsidTr="00247007">
        <w:trPr>
          <w:cantSplit/>
          <w:trHeight w:val="346"/>
          <w:tblHeader/>
        </w:trPr>
        <w:tc>
          <w:tcPr>
            <w:tcW w:w="1440" w:type="dxa"/>
          </w:tcPr>
          <w:p w14:paraId="6C64D303" w14:textId="77777777" w:rsidR="00DA702B" w:rsidRPr="00DA702B" w:rsidRDefault="00DA702B" w:rsidP="00DA702B">
            <w:pPr>
              <w:rPr>
                <w:sz w:val="20"/>
                <w:szCs w:val="20"/>
              </w:rPr>
            </w:pPr>
          </w:p>
        </w:tc>
        <w:tc>
          <w:tcPr>
            <w:tcW w:w="1440" w:type="dxa"/>
          </w:tcPr>
          <w:p w14:paraId="73000409" w14:textId="77777777" w:rsidR="00DA702B" w:rsidRPr="00DA702B" w:rsidRDefault="00DA702B" w:rsidP="00DA702B">
            <w:pPr>
              <w:rPr>
                <w:sz w:val="20"/>
                <w:szCs w:val="20"/>
              </w:rPr>
            </w:pPr>
          </w:p>
        </w:tc>
        <w:tc>
          <w:tcPr>
            <w:tcW w:w="1440" w:type="dxa"/>
          </w:tcPr>
          <w:p w14:paraId="62A7C77A" w14:textId="77777777" w:rsidR="00DA702B" w:rsidRPr="00DA702B" w:rsidRDefault="00DA702B" w:rsidP="00DA702B">
            <w:pPr>
              <w:rPr>
                <w:sz w:val="20"/>
                <w:szCs w:val="20"/>
              </w:rPr>
            </w:pPr>
          </w:p>
        </w:tc>
        <w:tc>
          <w:tcPr>
            <w:tcW w:w="1440" w:type="dxa"/>
          </w:tcPr>
          <w:p w14:paraId="599C770C" w14:textId="77777777" w:rsidR="00DA702B" w:rsidRPr="00DA702B" w:rsidRDefault="00DA702B" w:rsidP="00DA702B">
            <w:pPr>
              <w:rPr>
                <w:sz w:val="20"/>
                <w:szCs w:val="20"/>
              </w:rPr>
            </w:pPr>
          </w:p>
        </w:tc>
        <w:tc>
          <w:tcPr>
            <w:tcW w:w="1440" w:type="dxa"/>
          </w:tcPr>
          <w:p w14:paraId="628FFE7E" w14:textId="77777777" w:rsidR="00DA702B" w:rsidRPr="00DA702B" w:rsidRDefault="00DA702B" w:rsidP="00DA702B">
            <w:pPr>
              <w:rPr>
                <w:sz w:val="20"/>
                <w:szCs w:val="20"/>
              </w:rPr>
            </w:pPr>
          </w:p>
        </w:tc>
        <w:tc>
          <w:tcPr>
            <w:tcW w:w="1440" w:type="dxa"/>
          </w:tcPr>
          <w:p w14:paraId="492320A2" w14:textId="77777777" w:rsidR="00DA702B" w:rsidRPr="00DA702B" w:rsidRDefault="00DA702B" w:rsidP="00DA702B">
            <w:pPr>
              <w:rPr>
                <w:sz w:val="20"/>
                <w:szCs w:val="20"/>
              </w:rPr>
            </w:pPr>
          </w:p>
        </w:tc>
        <w:tc>
          <w:tcPr>
            <w:tcW w:w="1440" w:type="dxa"/>
          </w:tcPr>
          <w:p w14:paraId="63A7C02A" w14:textId="77777777" w:rsidR="00DA702B" w:rsidRPr="00DA702B" w:rsidRDefault="00DA702B" w:rsidP="00DA702B">
            <w:pPr>
              <w:rPr>
                <w:sz w:val="20"/>
                <w:szCs w:val="20"/>
              </w:rPr>
            </w:pPr>
          </w:p>
        </w:tc>
        <w:tc>
          <w:tcPr>
            <w:tcW w:w="1440" w:type="dxa"/>
          </w:tcPr>
          <w:p w14:paraId="3583F8E1" w14:textId="77777777" w:rsidR="00DA702B" w:rsidRPr="00DA702B" w:rsidRDefault="00DA702B" w:rsidP="00DA702B">
            <w:pPr>
              <w:rPr>
                <w:sz w:val="20"/>
                <w:szCs w:val="20"/>
              </w:rPr>
            </w:pPr>
          </w:p>
        </w:tc>
        <w:tc>
          <w:tcPr>
            <w:tcW w:w="1440" w:type="dxa"/>
          </w:tcPr>
          <w:p w14:paraId="22EF9F9D" w14:textId="77777777" w:rsidR="00DA702B" w:rsidRPr="00DA702B" w:rsidRDefault="00DA702B" w:rsidP="00DA702B">
            <w:pPr>
              <w:rPr>
                <w:sz w:val="20"/>
                <w:szCs w:val="20"/>
              </w:rPr>
            </w:pPr>
          </w:p>
        </w:tc>
        <w:tc>
          <w:tcPr>
            <w:tcW w:w="1440" w:type="dxa"/>
          </w:tcPr>
          <w:p w14:paraId="5DCB15A3" w14:textId="77777777" w:rsidR="00DA702B" w:rsidRPr="00DA702B" w:rsidRDefault="00DA702B" w:rsidP="00DA702B">
            <w:pPr>
              <w:rPr>
                <w:sz w:val="20"/>
                <w:szCs w:val="20"/>
              </w:rPr>
            </w:pPr>
          </w:p>
        </w:tc>
      </w:tr>
      <w:tr w:rsidR="00DA702B" w:rsidRPr="00DA702B" w14:paraId="778AFE2F" w14:textId="77777777" w:rsidTr="00247007">
        <w:trPr>
          <w:cantSplit/>
          <w:trHeight w:val="346"/>
          <w:tblHeader/>
        </w:trPr>
        <w:tc>
          <w:tcPr>
            <w:tcW w:w="1440" w:type="dxa"/>
          </w:tcPr>
          <w:p w14:paraId="3FAD8086" w14:textId="77777777" w:rsidR="00DA702B" w:rsidRPr="00DA702B" w:rsidRDefault="00DA702B" w:rsidP="00DA702B">
            <w:pPr>
              <w:rPr>
                <w:sz w:val="20"/>
                <w:szCs w:val="20"/>
              </w:rPr>
            </w:pPr>
          </w:p>
        </w:tc>
        <w:tc>
          <w:tcPr>
            <w:tcW w:w="1440" w:type="dxa"/>
          </w:tcPr>
          <w:p w14:paraId="7E286872" w14:textId="77777777" w:rsidR="00DA702B" w:rsidRPr="00DA702B" w:rsidRDefault="00DA702B" w:rsidP="00DA702B">
            <w:pPr>
              <w:rPr>
                <w:sz w:val="20"/>
                <w:szCs w:val="20"/>
              </w:rPr>
            </w:pPr>
          </w:p>
        </w:tc>
        <w:tc>
          <w:tcPr>
            <w:tcW w:w="1440" w:type="dxa"/>
          </w:tcPr>
          <w:p w14:paraId="6F3BE076" w14:textId="77777777" w:rsidR="00DA702B" w:rsidRPr="00DA702B" w:rsidRDefault="00DA702B" w:rsidP="00DA702B">
            <w:pPr>
              <w:rPr>
                <w:sz w:val="20"/>
                <w:szCs w:val="20"/>
              </w:rPr>
            </w:pPr>
          </w:p>
        </w:tc>
        <w:tc>
          <w:tcPr>
            <w:tcW w:w="1440" w:type="dxa"/>
          </w:tcPr>
          <w:p w14:paraId="671F033B" w14:textId="77777777" w:rsidR="00DA702B" w:rsidRPr="00DA702B" w:rsidRDefault="00DA702B" w:rsidP="00DA702B">
            <w:pPr>
              <w:rPr>
                <w:sz w:val="20"/>
                <w:szCs w:val="20"/>
              </w:rPr>
            </w:pPr>
          </w:p>
        </w:tc>
        <w:tc>
          <w:tcPr>
            <w:tcW w:w="1440" w:type="dxa"/>
          </w:tcPr>
          <w:p w14:paraId="2BCBCBB9" w14:textId="77777777" w:rsidR="00DA702B" w:rsidRPr="00DA702B" w:rsidRDefault="00DA702B" w:rsidP="00DA702B">
            <w:pPr>
              <w:rPr>
                <w:sz w:val="20"/>
                <w:szCs w:val="20"/>
              </w:rPr>
            </w:pPr>
          </w:p>
        </w:tc>
        <w:tc>
          <w:tcPr>
            <w:tcW w:w="1440" w:type="dxa"/>
          </w:tcPr>
          <w:p w14:paraId="44533127" w14:textId="77777777" w:rsidR="00DA702B" w:rsidRPr="00DA702B" w:rsidRDefault="00DA702B" w:rsidP="00DA702B">
            <w:pPr>
              <w:rPr>
                <w:sz w:val="20"/>
                <w:szCs w:val="20"/>
              </w:rPr>
            </w:pPr>
          </w:p>
        </w:tc>
        <w:tc>
          <w:tcPr>
            <w:tcW w:w="1440" w:type="dxa"/>
          </w:tcPr>
          <w:p w14:paraId="469180CE" w14:textId="77777777" w:rsidR="00DA702B" w:rsidRPr="00DA702B" w:rsidRDefault="00DA702B" w:rsidP="00DA702B">
            <w:pPr>
              <w:rPr>
                <w:sz w:val="20"/>
                <w:szCs w:val="20"/>
              </w:rPr>
            </w:pPr>
          </w:p>
        </w:tc>
        <w:tc>
          <w:tcPr>
            <w:tcW w:w="1440" w:type="dxa"/>
          </w:tcPr>
          <w:p w14:paraId="57073E4B" w14:textId="77777777" w:rsidR="00DA702B" w:rsidRPr="00DA702B" w:rsidRDefault="00DA702B" w:rsidP="00DA702B">
            <w:pPr>
              <w:rPr>
                <w:sz w:val="20"/>
                <w:szCs w:val="20"/>
              </w:rPr>
            </w:pPr>
          </w:p>
        </w:tc>
        <w:tc>
          <w:tcPr>
            <w:tcW w:w="1440" w:type="dxa"/>
          </w:tcPr>
          <w:p w14:paraId="4BEDACD2" w14:textId="77777777" w:rsidR="00DA702B" w:rsidRPr="00DA702B" w:rsidRDefault="00DA702B" w:rsidP="00DA702B">
            <w:pPr>
              <w:rPr>
                <w:sz w:val="20"/>
                <w:szCs w:val="20"/>
              </w:rPr>
            </w:pPr>
          </w:p>
        </w:tc>
        <w:tc>
          <w:tcPr>
            <w:tcW w:w="1440" w:type="dxa"/>
          </w:tcPr>
          <w:p w14:paraId="780BCB81" w14:textId="77777777" w:rsidR="00DA702B" w:rsidRPr="00DA702B" w:rsidRDefault="00DA702B" w:rsidP="00DA702B">
            <w:pPr>
              <w:rPr>
                <w:sz w:val="20"/>
                <w:szCs w:val="20"/>
              </w:rPr>
            </w:pPr>
          </w:p>
        </w:tc>
      </w:tr>
      <w:tr w:rsidR="00DA702B" w:rsidRPr="00DA702B" w14:paraId="6E419B68" w14:textId="77777777" w:rsidTr="00247007">
        <w:trPr>
          <w:cantSplit/>
          <w:trHeight w:val="346"/>
          <w:tblHeader/>
        </w:trPr>
        <w:tc>
          <w:tcPr>
            <w:tcW w:w="1440" w:type="dxa"/>
          </w:tcPr>
          <w:p w14:paraId="2A4647B0" w14:textId="77777777" w:rsidR="00DA702B" w:rsidRPr="00DA702B" w:rsidRDefault="00DA702B" w:rsidP="00DA702B">
            <w:pPr>
              <w:rPr>
                <w:sz w:val="20"/>
                <w:szCs w:val="20"/>
              </w:rPr>
            </w:pPr>
          </w:p>
        </w:tc>
        <w:tc>
          <w:tcPr>
            <w:tcW w:w="1440" w:type="dxa"/>
          </w:tcPr>
          <w:p w14:paraId="6538F317" w14:textId="77777777" w:rsidR="00DA702B" w:rsidRPr="00DA702B" w:rsidRDefault="00DA702B" w:rsidP="00DA702B">
            <w:pPr>
              <w:rPr>
                <w:sz w:val="20"/>
                <w:szCs w:val="20"/>
              </w:rPr>
            </w:pPr>
          </w:p>
        </w:tc>
        <w:tc>
          <w:tcPr>
            <w:tcW w:w="1440" w:type="dxa"/>
          </w:tcPr>
          <w:p w14:paraId="54D2B67C" w14:textId="77777777" w:rsidR="00DA702B" w:rsidRPr="00DA702B" w:rsidRDefault="00DA702B" w:rsidP="00DA702B">
            <w:pPr>
              <w:rPr>
                <w:sz w:val="20"/>
                <w:szCs w:val="20"/>
              </w:rPr>
            </w:pPr>
          </w:p>
        </w:tc>
        <w:tc>
          <w:tcPr>
            <w:tcW w:w="1440" w:type="dxa"/>
          </w:tcPr>
          <w:p w14:paraId="32AF99ED" w14:textId="77777777" w:rsidR="00DA702B" w:rsidRPr="00DA702B" w:rsidRDefault="00DA702B" w:rsidP="00DA702B">
            <w:pPr>
              <w:rPr>
                <w:sz w:val="20"/>
                <w:szCs w:val="20"/>
              </w:rPr>
            </w:pPr>
          </w:p>
        </w:tc>
        <w:tc>
          <w:tcPr>
            <w:tcW w:w="1440" w:type="dxa"/>
          </w:tcPr>
          <w:p w14:paraId="15B0DBA3" w14:textId="77777777" w:rsidR="00DA702B" w:rsidRPr="00DA702B" w:rsidRDefault="00DA702B" w:rsidP="00DA702B">
            <w:pPr>
              <w:rPr>
                <w:sz w:val="20"/>
                <w:szCs w:val="20"/>
              </w:rPr>
            </w:pPr>
          </w:p>
        </w:tc>
        <w:tc>
          <w:tcPr>
            <w:tcW w:w="1440" w:type="dxa"/>
          </w:tcPr>
          <w:p w14:paraId="3CE6BB15" w14:textId="77777777" w:rsidR="00DA702B" w:rsidRPr="00DA702B" w:rsidRDefault="00DA702B" w:rsidP="00DA702B">
            <w:pPr>
              <w:rPr>
                <w:sz w:val="20"/>
                <w:szCs w:val="20"/>
              </w:rPr>
            </w:pPr>
          </w:p>
        </w:tc>
        <w:tc>
          <w:tcPr>
            <w:tcW w:w="1440" w:type="dxa"/>
          </w:tcPr>
          <w:p w14:paraId="7AA3D750" w14:textId="77777777" w:rsidR="00DA702B" w:rsidRPr="00DA702B" w:rsidRDefault="00DA702B" w:rsidP="00DA702B">
            <w:pPr>
              <w:rPr>
                <w:sz w:val="20"/>
                <w:szCs w:val="20"/>
              </w:rPr>
            </w:pPr>
          </w:p>
        </w:tc>
        <w:tc>
          <w:tcPr>
            <w:tcW w:w="1440" w:type="dxa"/>
          </w:tcPr>
          <w:p w14:paraId="7A880B39" w14:textId="77777777" w:rsidR="00DA702B" w:rsidRPr="00DA702B" w:rsidRDefault="00DA702B" w:rsidP="00DA702B">
            <w:pPr>
              <w:rPr>
                <w:sz w:val="20"/>
                <w:szCs w:val="20"/>
              </w:rPr>
            </w:pPr>
          </w:p>
        </w:tc>
        <w:tc>
          <w:tcPr>
            <w:tcW w:w="1440" w:type="dxa"/>
          </w:tcPr>
          <w:p w14:paraId="502390F4" w14:textId="77777777" w:rsidR="00DA702B" w:rsidRPr="00DA702B" w:rsidRDefault="00DA702B" w:rsidP="00DA702B">
            <w:pPr>
              <w:rPr>
                <w:sz w:val="20"/>
                <w:szCs w:val="20"/>
              </w:rPr>
            </w:pPr>
          </w:p>
        </w:tc>
        <w:tc>
          <w:tcPr>
            <w:tcW w:w="1440" w:type="dxa"/>
          </w:tcPr>
          <w:p w14:paraId="7F7CB53B" w14:textId="77777777" w:rsidR="00DA702B" w:rsidRPr="00DA702B" w:rsidRDefault="00DA702B" w:rsidP="00DA702B">
            <w:pPr>
              <w:rPr>
                <w:sz w:val="20"/>
                <w:szCs w:val="20"/>
              </w:rPr>
            </w:pPr>
          </w:p>
        </w:tc>
      </w:tr>
      <w:tr w:rsidR="00DA702B" w:rsidRPr="00DA702B" w14:paraId="56F7991F" w14:textId="77777777" w:rsidTr="00247007">
        <w:trPr>
          <w:cantSplit/>
          <w:trHeight w:val="346"/>
          <w:tblHeader/>
        </w:trPr>
        <w:tc>
          <w:tcPr>
            <w:tcW w:w="1440" w:type="dxa"/>
          </w:tcPr>
          <w:p w14:paraId="65F3D21A" w14:textId="77777777" w:rsidR="00DA702B" w:rsidRPr="00DA702B" w:rsidRDefault="00DA702B" w:rsidP="00DA702B">
            <w:pPr>
              <w:rPr>
                <w:sz w:val="20"/>
                <w:szCs w:val="20"/>
              </w:rPr>
            </w:pPr>
          </w:p>
        </w:tc>
        <w:tc>
          <w:tcPr>
            <w:tcW w:w="1440" w:type="dxa"/>
          </w:tcPr>
          <w:p w14:paraId="55D009E2" w14:textId="77777777" w:rsidR="00DA702B" w:rsidRPr="00DA702B" w:rsidRDefault="00DA702B" w:rsidP="00DA702B">
            <w:pPr>
              <w:rPr>
                <w:sz w:val="20"/>
                <w:szCs w:val="20"/>
              </w:rPr>
            </w:pPr>
          </w:p>
        </w:tc>
        <w:tc>
          <w:tcPr>
            <w:tcW w:w="1440" w:type="dxa"/>
          </w:tcPr>
          <w:p w14:paraId="29180629" w14:textId="77777777" w:rsidR="00DA702B" w:rsidRPr="00DA702B" w:rsidRDefault="00DA702B" w:rsidP="00DA702B">
            <w:pPr>
              <w:rPr>
                <w:sz w:val="20"/>
                <w:szCs w:val="20"/>
              </w:rPr>
            </w:pPr>
          </w:p>
        </w:tc>
        <w:tc>
          <w:tcPr>
            <w:tcW w:w="1440" w:type="dxa"/>
          </w:tcPr>
          <w:p w14:paraId="19B10B51" w14:textId="77777777" w:rsidR="00DA702B" w:rsidRPr="00DA702B" w:rsidRDefault="00DA702B" w:rsidP="00DA702B">
            <w:pPr>
              <w:rPr>
                <w:sz w:val="20"/>
                <w:szCs w:val="20"/>
              </w:rPr>
            </w:pPr>
          </w:p>
        </w:tc>
        <w:tc>
          <w:tcPr>
            <w:tcW w:w="1440" w:type="dxa"/>
          </w:tcPr>
          <w:p w14:paraId="380BF3A6" w14:textId="77777777" w:rsidR="00DA702B" w:rsidRPr="00DA702B" w:rsidRDefault="00DA702B" w:rsidP="00DA702B">
            <w:pPr>
              <w:rPr>
                <w:sz w:val="20"/>
                <w:szCs w:val="20"/>
              </w:rPr>
            </w:pPr>
          </w:p>
        </w:tc>
        <w:tc>
          <w:tcPr>
            <w:tcW w:w="1440" w:type="dxa"/>
          </w:tcPr>
          <w:p w14:paraId="3D8EFD3F" w14:textId="77777777" w:rsidR="00DA702B" w:rsidRPr="00DA702B" w:rsidRDefault="00DA702B" w:rsidP="00DA702B">
            <w:pPr>
              <w:rPr>
                <w:sz w:val="20"/>
                <w:szCs w:val="20"/>
              </w:rPr>
            </w:pPr>
          </w:p>
        </w:tc>
        <w:tc>
          <w:tcPr>
            <w:tcW w:w="1440" w:type="dxa"/>
          </w:tcPr>
          <w:p w14:paraId="319640D7" w14:textId="77777777" w:rsidR="00DA702B" w:rsidRPr="00DA702B" w:rsidRDefault="00DA702B" w:rsidP="00DA702B">
            <w:pPr>
              <w:rPr>
                <w:sz w:val="20"/>
                <w:szCs w:val="20"/>
              </w:rPr>
            </w:pPr>
          </w:p>
        </w:tc>
        <w:tc>
          <w:tcPr>
            <w:tcW w:w="1440" w:type="dxa"/>
          </w:tcPr>
          <w:p w14:paraId="6C42419C" w14:textId="77777777" w:rsidR="00DA702B" w:rsidRPr="00DA702B" w:rsidRDefault="00DA702B" w:rsidP="00DA702B">
            <w:pPr>
              <w:rPr>
                <w:sz w:val="20"/>
                <w:szCs w:val="20"/>
              </w:rPr>
            </w:pPr>
          </w:p>
        </w:tc>
        <w:tc>
          <w:tcPr>
            <w:tcW w:w="1440" w:type="dxa"/>
          </w:tcPr>
          <w:p w14:paraId="44DBDEC7" w14:textId="77777777" w:rsidR="00DA702B" w:rsidRPr="00DA702B" w:rsidRDefault="00DA702B" w:rsidP="00DA702B">
            <w:pPr>
              <w:rPr>
                <w:sz w:val="20"/>
                <w:szCs w:val="20"/>
              </w:rPr>
            </w:pPr>
          </w:p>
        </w:tc>
        <w:tc>
          <w:tcPr>
            <w:tcW w:w="1440" w:type="dxa"/>
          </w:tcPr>
          <w:p w14:paraId="41FE61B8" w14:textId="77777777" w:rsidR="00DA702B" w:rsidRPr="00DA702B" w:rsidRDefault="00DA702B" w:rsidP="00DA702B">
            <w:pPr>
              <w:rPr>
                <w:sz w:val="20"/>
                <w:szCs w:val="20"/>
              </w:rPr>
            </w:pPr>
          </w:p>
        </w:tc>
      </w:tr>
      <w:tr w:rsidR="00DA702B" w:rsidRPr="00DA702B" w14:paraId="11C2EAB5" w14:textId="77777777" w:rsidTr="00247007">
        <w:trPr>
          <w:cantSplit/>
          <w:trHeight w:val="346"/>
          <w:tblHeader/>
        </w:trPr>
        <w:tc>
          <w:tcPr>
            <w:tcW w:w="1440" w:type="dxa"/>
          </w:tcPr>
          <w:p w14:paraId="73BA2CD3" w14:textId="77777777" w:rsidR="00DA702B" w:rsidRPr="00DA702B" w:rsidRDefault="00DA702B" w:rsidP="00DA702B">
            <w:pPr>
              <w:rPr>
                <w:sz w:val="20"/>
                <w:szCs w:val="20"/>
              </w:rPr>
            </w:pPr>
          </w:p>
        </w:tc>
        <w:tc>
          <w:tcPr>
            <w:tcW w:w="1440" w:type="dxa"/>
          </w:tcPr>
          <w:p w14:paraId="48569070" w14:textId="77777777" w:rsidR="00DA702B" w:rsidRPr="00DA702B" w:rsidRDefault="00DA702B" w:rsidP="00DA702B">
            <w:pPr>
              <w:rPr>
                <w:sz w:val="20"/>
                <w:szCs w:val="20"/>
              </w:rPr>
            </w:pPr>
          </w:p>
        </w:tc>
        <w:tc>
          <w:tcPr>
            <w:tcW w:w="1440" w:type="dxa"/>
          </w:tcPr>
          <w:p w14:paraId="3BF00735" w14:textId="77777777" w:rsidR="00DA702B" w:rsidRPr="00DA702B" w:rsidRDefault="00DA702B" w:rsidP="00DA702B">
            <w:pPr>
              <w:rPr>
                <w:sz w:val="20"/>
                <w:szCs w:val="20"/>
              </w:rPr>
            </w:pPr>
          </w:p>
        </w:tc>
        <w:tc>
          <w:tcPr>
            <w:tcW w:w="1440" w:type="dxa"/>
          </w:tcPr>
          <w:p w14:paraId="02515306" w14:textId="77777777" w:rsidR="00DA702B" w:rsidRPr="00DA702B" w:rsidRDefault="00DA702B" w:rsidP="00DA702B">
            <w:pPr>
              <w:rPr>
                <w:sz w:val="20"/>
                <w:szCs w:val="20"/>
              </w:rPr>
            </w:pPr>
          </w:p>
        </w:tc>
        <w:tc>
          <w:tcPr>
            <w:tcW w:w="1440" w:type="dxa"/>
          </w:tcPr>
          <w:p w14:paraId="04EACDB2" w14:textId="77777777" w:rsidR="00DA702B" w:rsidRPr="00DA702B" w:rsidRDefault="00DA702B" w:rsidP="00DA702B">
            <w:pPr>
              <w:rPr>
                <w:sz w:val="20"/>
                <w:szCs w:val="20"/>
              </w:rPr>
            </w:pPr>
          </w:p>
        </w:tc>
        <w:tc>
          <w:tcPr>
            <w:tcW w:w="1440" w:type="dxa"/>
          </w:tcPr>
          <w:p w14:paraId="3EE1E834" w14:textId="77777777" w:rsidR="00DA702B" w:rsidRPr="00DA702B" w:rsidRDefault="00DA702B" w:rsidP="00DA702B">
            <w:pPr>
              <w:rPr>
                <w:sz w:val="20"/>
                <w:szCs w:val="20"/>
              </w:rPr>
            </w:pPr>
          </w:p>
        </w:tc>
        <w:tc>
          <w:tcPr>
            <w:tcW w:w="1440" w:type="dxa"/>
          </w:tcPr>
          <w:p w14:paraId="7B95E8BF" w14:textId="77777777" w:rsidR="00DA702B" w:rsidRPr="00DA702B" w:rsidRDefault="00DA702B" w:rsidP="00DA702B">
            <w:pPr>
              <w:rPr>
                <w:sz w:val="20"/>
                <w:szCs w:val="20"/>
              </w:rPr>
            </w:pPr>
          </w:p>
        </w:tc>
        <w:tc>
          <w:tcPr>
            <w:tcW w:w="1440" w:type="dxa"/>
          </w:tcPr>
          <w:p w14:paraId="410EDE73" w14:textId="77777777" w:rsidR="00DA702B" w:rsidRPr="00DA702B" w:rsidRDefault="00DA702B" w:rsidP="00DA702B">
            <w:pPr>
              <w:rPr>
                <w:sz w:val="20"/>
                <w:szCs w:val="20"/>
              </w:rPr>
            </w:pPr>
          </w:p>
        </w:tc>
        <w:tc>
          <w:tcPr>
            <w:tcW w:w="1440" w:type="dxa"/>
          </w:tcPr>
          <w:p w14:paraId="7278AD61" w14:textId="77777777" w:rsidR="00DA702B" w:rsidRPr="00DA702B" w:rsidRDefault="00DA702B" w:rsidP="00DA702B">
            <w:pPr>
              <w:rPr>
                <w:sz w:val="20"/>
                <w:szCs w:val="20"/>
              </w:rPr>
            </w:pPr>
          </w:p>
        </w:tc>
        <w:tc>
          <w:tcPr>
            <w:tcW w:w="1440" w:type="dxa"/>
          </w:tcPr>
          <w:p w14:paraId="1AA046A5" w14:textId="77777777" w:rsidR="00DA702B" w:rsidRPr="00DA702B" w:rsidRDefault="00DA702B" w:rsidP="00DA702B">
            <w:pPr>
              <w:rPr>
                <w:sz w:val="20"/>
                <w:szCs w:val="20"/>
              </w:rPr>
            </w:pPr>
          </w:p>
        </w:tc>
      </w:tr>
      <w:tr w:rsidR="00DA702B" w:rsidRPr="00DA702B" w14:paraId="6CEFC051" w14:textId="77777777" w:rsidTr="00247007">
        <w:trPr>
          <w:cantSplit/>
          <w:trHeight w:val="346"/>
          <w:tblHeader/>
        </w:trPr>
        <w:tc>
          <w:tcPr>
            <w:tcW w:w="1440" w:type="dxa"/>
          </w:tcPr>
          <w:p w14:paraId="7DB2CF28" w14:textId="77777777" w:rsidR="00DA702B" w:rsidRPr="00DA702B" w:rsidRDefault="00DA702B" w:rsidP="00DA702B">
            <w:pPr>
              <w:rPr>
                <w:sz w:val="20"/>
                <w:szCs w:val="20"/>
              </w:rPr>
            </w:pPr>
          </w:p>
        </w:tc>
        <w:tc>
          <w:tcPr>
            <w:tcW w:w="1440" w:type="dxa"/>
          </w:tcPr>
          <w:p w14:paraId="4FC23495" w14:textId="77777777" w:rsidR="00DA702B" w:rsidRPr="00DA702B" w:rsidRDefault="00DA702B" w:rsidP="00DA702B">
            <w:pPr>
              <w:rPr>
                <w:sz w:val="20"/>
                <w:szCs w:val="20"/>
              </w:rPr>
            </w:pPr>
          </w:p>
        </w:tc>
        <w:tc>
          <w:tcPr>
            <w:tcW w:w="1440" w:type="dxa"/>
          </w:tcPr>
          <w:p w14:paraId="68680621" w14:textId="77777777" w:rsidR="00DA702B" w:rsidRPr="00DA702B" w:rsidRDefault="00DA702B" w:rsidP="00DA702B">
            <w:pPr>
              <w:rPr>
                <w:sz w:val="20"/>
                <w:szCs w:val="20"/>
              </w:rPr>
            </w:pPr>
          </w:p>
        </w:tc>
        <w:tc>
          <w:tcPr>
            <w:tcW w:w="1440" w:type="dxa"/>
          </w:tcPr>
          <w:p w14:paraId="79BFFD32" w14:textId="77777777" w:rsidR="00DA702B" w:rsidRPr="00DA702B" w:rsidRDefault="00DA702B" w:rsidP="00DA702B">
            <w:pPr>
              <w:rPr>
                <w:sz w:val="20"/>
                <w:szCs w:val="20"/>
              </w:rPr>
            </w:pPr>
          </w:p>
        </w:tc>
        <w:tc>
          <w:tcPr>
            <w:tcW w:w="1440" w:type="dxa"/>
          </w:tcPr>
          <w:p w14:paraId="556165DE" w14:textId="77777777" w:rsidR="00DA702B" w:rsidRPr="00DA702B" w:rsidRDefault="00DA702B" w:rsidP="00DA702B">
            <w:pPr>
              <w:rPr>
                <w:sz w:val="20"/>
                <w:szCs w:val="20"/>
              </w:rPr>
            </w:pPr>
          </w:p>
        </w:tc>
        <w:tc>
          <w:tcPr>
            <w:tcW w:w="1440" w:type="dxa"/>
          </w:tcPr>
          <w:p w14:paraId="148DD57C" w14:textId="77777777" w:rsidR="00DA702B" w:rsidRPr="00DA702B" w:rsidRDefault="00DA702B" w:rsidP="00DA702B">
            <w:pPr>
              <w:rPr>
                <w:sz w:val="20"/>
                <w:szCs w:val="20"/>
              </w:rPr>
            </w:pPr>
          </w:p>
        </w:tc>
        <w:tc>
          <w:tcPr>
            <w:tcW w:w="1440" w:type="dxa"/>
          </w:tcPr>
          <w:p w14:paraId="2043B5BD" w14:textId="77777777" w:rsidR="00DA702B" w:rsidRPr="00DA702B" w:rsidRDefault="00DA702B" w:rsidP="00DA702B">
            <w:pPr>
              <w:rPr>
                <w:sz w:val="20"/>
                <w:szCs w:val="20"/>
              </w:rPr>
            </w:pPr>
          </w:p>
        </w:tc>
        <w:tc>
          <w:tcPr>
            <w:tcW w:w="1440" w:type="dxa"/>
          </w:tcPr>
          <w:p w14:paraId="609FD645" w14:textId="77777777" w:rsidR="00DA702B" w:rsidRPr="00DA702B" w:rsidRDefault="00DA702B" w:rsidP="00DA702B">
            <w:pPr>
              <w:rPr>
                <w:sz w:val="20"/>
                <w:szCs w:val="20"/>
              </w:rPr>
            </w:pPr>
          </w:p>
        </w:tc>
        <w:tc>
          <w:tcPr>
            <w:tcW w:w="1440" w:type="dxa"/>
          </w:tcPr>
          <w:p w14:paraId="6EEC0143" w14:textId="77777777" w:rsidR="00DA702B" w:rsidRPr="00DA702B" w:rsidRDefault="00DA702B" w:rsidP="00DA702B">
            <w:pPr>
              <w:rPr>
                <w:sz w:val="20"/>
                <w:szCs w:val="20"/>
              </w:rPr>
            </w:pPr>
          </w:p>
        </w:tc>
        <w:tc>
          <w:tcPr>
            <w:tcW w:w="1440" w:type="dxa"/>
          </w:tcPr>
          <w:p w14:paraId="6EF94C44" w14:textId="77777777" w:rsidR="00DA702B" w:rsidRPr="00DA702B" w:rsidRDefault="00DA702B" w:rsidP="00DA702B">
            <w:pPr>
              <w:rPr>
                <w:sz w:val="20"/>
                <w:szCs w:val="20"/>
              </w:rPr>
            </w:pPr>
          </w:p>
        </w:tc>
      </w:tr>
      <w:tr w:rsidR="00DA702B" w:rsidRPr="00DA702B" w14:paraId="65B43A9C" w14:textId="77777777" w:rsidTr="00247007">
        <w:trPr>
          <w:cantSplit/>
          <w:trHeight w:val="346"/>
          <w:tblHeader/>
        </w:trPr>
        <w:tc>
          <w:tcPr>
            <w:tcW w:w="1440" w:type="dxa"/>
          </w:tcPr>
          <w:p w14:paraId="44B1C7C1" w14:textId="77777777" w:rsidR="00DA702B" w:rsidRPr="00DA702B" w:rsidRDefault="00DA702B" w:rsidP="00DA702B">
            <w:pPr>
              <w:rPr>
                <w:sz w:val="20"/>
                <w:szCs w:val="20"/>
              </w:rPr>
            </w:pPr>
          </w:p>
        </w:tc>
        <w:tc>
          <w:tcPr>
            <w:tcW w:w="1440" w:type="dxa"/>
          </w:tcPr>
          <w:p w14:paraId="73491957" w14:textId="77777777" w:rsidR="00DA702B" w:rsidRPr="00DA702B" w:rsidRDefault="00DA702B" w:rsidP="00DA702B">
            <w:pPr>
              <w:rPr>
                <w:sz w:val="20"/>
                <w:szCs w:val="20"/>
              </w:rPr>
            </w:pPr>
          </w:p>
        </w:tc>
        <w:tc>
          <w:tcPr>
            <w:tcW w:w="1440" w:type="dxa"/>
          </w:tcPr>
          <w:p w14:paraId="565E23D4" w14:textId="77777777" w:rsidR="00DA702B" w:rsidRPr="00DA702B" w:rsidRDefault="00DA702B" w:rsidP="00DA702B">
            <w:pPr>
              <w:rPr>
                <w:sz w:val="20"/>
                <w:szCs w:val="20"/>
              </w:rPr>
            </w:pPr>
          </w:p>
        </w:tc>
        <w:tc>
          <w:tcPr>
            <w:tcW w:w="1440" w:type="dxa"/>
          </w:tcPr>
          <w:p w14:paraId="7491545A" w14:textId="77777777" w:rsidR="00DA702B" w:rsidRPr="00DA702B" w:rsidRDefault="00DA702B" w:rsidP="00DA702B">
            <w:pPr>
              <w:rPr>
                <w:sz w:val="20"/>
                <w:szCs w:val="20"/>
              </w:rPr>
            </w:pPr>
          </w:p>
        </w:tc>
        <w:tc>
          <w:tcPr>
            <w:tcW w:w="1440" w:type="dxa"/>
          </w:tcPr>
          <w:p w14:paraId="065E06D2" w14:textId="77777777" w:rsidR="00DA702B" w:rsidRPr="00DA702B" w:rsidRDefault="00DA702B" w:rsidP="00DA702B">
            <w:pPr>
              <w:rPr>
                <w:sz w:val="20"/>
                <w:szCs w:val="20"/>
              </w:rPr>
            </w:pPr>
          </w:p>
        </w:tc>
        <w:tc>
          <w:tcPr>
            <w:tcW w:w="1440" w:type="dxa"/>
          </w:tcPr>
          <w:p w14:paraId="60385F28" w14:textId="77777777" w:rsidR="00DA702B" w:rsidRPr="00DA702B" w:rsidRDefault="00DA702B" w:rsidP="00DA702B">
            <w:pPr>
              <w:rPr>
                <w:sz w:val="20"/>
                <w:szCs w:val="20"/>
              </w:rPr>
            </w:pPr>
          </w:p>
        </w:tc>
        <w:tc>
          <w:tcPr>
            <w:tcW w:w="1440" w:type="dxa"/>
          </w:tcPr>
          <w:p w14:paraId="6DA77C90" w14:textId="77777777" w:rsidR="00DA702B" w:rsidRPr="00DA702B" w:rsidRDefault="00DA702B" w:rsidP="00DA702B">
            <w:pPr>
              <w:rPr>
                <w:sz w:val="20"/>
                <w:szCs w:val="20"/>
              </w:rPr>
            </w:pPr>
          </w:p>
        </w:tc>
        <w:tc>
          <w:tcPr>
            <w:tcW w:w="1440" w:type="dxa"/>
          </w:tcPr>
          <w:p w14:paraId="4D6283E4" w14:textId="77777777" w:rsidR="00DA702B" w:rsidRPr="00DA702B" w:rsidRDefault="00DA702B" w:rsidP="00DA702B">
            <w:pPr>
              <w:rPr>
                <w:sz w:val="20"/>
                <w:szCs w:val="20"/>
              </w:rPr>
            </w:pPr>
          </w:p>
        </w:tc>
        <w:tc>
          <w:tcPr>
            <w:tcW w:w="1440" w:type="dxa"/>
          </w:tcPr>
          <w:p w14:paraId="576AAB1A" w14:textId="77777777" w:rsidR="00DA702B" w:rsidRPr="00DA702B" w:rsidRDefault="00DA702B" w:rsidP="00DA702B">
            <w:pPr>
              <w:rPr>
                <w:sz w:val="20"/>
                <w:szCs w:val="20"/>
              </w:rPr>
            </w:pPr>
          </w:p>
        </w:tc>
        <w:tc>
          <w:tcPr>
            <w:tcW w:w="1440" w:type="dxa"/>
          </w:tcPr>
          <w:p w14:paraId="3232E627" w14:textId="77777777" w:rsidR="00DA702B" w:rsidRPr="00DA702B" w:rsidRDefault="00DA702B" w:rsidP="00DA702B">
            <w:pPr>
              <w:rPr>
                <w:sz w:val="20"/>
                <w:szCs w:val="20"/>
              </w:rPr>
            </w:pPr>
          </w:p>
        </w:tc>
      </w:tr>
      <w:tr w:rsidR="00DA702B" w:rsidRPr="00DA702B" w14:paraId="1F2CC815" w14:textId="77777777" w:rsidTr="00247007">
        <w:trPr>
          <w:cantSplit/>
          <w:trHeight w:val="346"/>
          <w:tblHeader/>
        </w:trPr>
        <w:tc>
          <w:tcPr>
            <w:tcW w:w="1440" w:type="dxa"/>
          </w:tcPr>
          <w:p w14:paraId="4E3967B6" w14:textId="77777777" w:rsidR="00DA702B" w:rsidRPr="00DA702B" w:rsidRDefault="00DA702B" w:rsidP="00DA702B">
            <w:pPr>
              <w:rPr>
                <w:sz w:val="20"/>
                <w:szCs w:val="20"/>
              </w:rPr>
            </w:pPr>
          </w:p>
        </w:tc>
        <w:tc>
          <w:tcPr>
            <w:tcW w:w="1440" w:type="dxa"/>
          </w:tcPr>
          <w:p w14:paraId="0B4C8052" w14:textId="77777777" w:rsidR="00DA702B" w:rsidRPr="00DA702B" w:rsidRDefault="00DA702B" w:rsidP="00DA702B">
            <w:pPr>
              <w:rPr>
                <w:sz w:val="20"/>
                <w:szCs w:val="20"/>
              </w:rPr>
            </w:pPr>
          </w:p>
        </w:tc>
        <w:tc>
          <w:tcPr>
            <w:tcW w:w="1440" w:type="dxa"/>
          </w:tcPr>
          <w:p w14:paraId="10E37D0B" w14:textId="77777777" w:rsidR="00DA702B" w:rsidRPr="00DA702B" w:rsidRDefault="00DA702B" w:rsidP="00DA702B">
            <w:pPr>
              <w:rPr>
                <w:sz w:val="20"/>
                <w:szCs w:val="20"/>
              </w:rPr>
            </w:pPr>
          </w:p>
        </w:tc>
        <w:tc>
          <w:tcPr>
            <w:tcW w:w="1440" w:type="dxa"/>
          </w:tcPr>
          <w:p w14:paraId="0240CBC4" w14:textId="77777777" w:rsidR="00DA702B" w:rsidRPr="00DA702B" w:rsidRDefault="00DA702B" w:rsidP="00DA702B">
            <w:pPr>
              <w:rPr>
                <w:sz w:val="20"/>
                <w:szCs w:val="20"/>
              </w:rPr>
            </w:pPr>
          </w:p>
        </w:tc>
        <w:tc>
          <w:tcPr>
            <w:tcW w:w="1440" w:type="dxa"/>
          </w:tcPr>
          <w:p w14:paraId="0AD5DD99" w14:textId="77777777" w:rsidR="00DA702B" w:rsidRPr="00DA702B" w:rsidRDefault="00DA702B" w:rsidP="00DA702B">
            <w:pPr>
              <w:rPr>
                <w:sz w:val="20"/>
                <w:szCs w:val="20"/>
              </w:rPr>
            </w:pPr>
          </w:p>
        </w:tc>
        <w:tc>
          <w:tcPr>
            <w:tcW w:w="1440" w:type="dxa"/>
          </w:tcPr>
          <w:p w14:paraId="49A2DD52" w14:textId="77777777" w:rsidR="00DA702B" w:rsidRPr="00DA702B" w:rsidRDefault="00DA702B" w:rsidP="00DA702B">
            <w:pPr>
              <w:rPr>
                <w:sz w:val="20"/>
                <w:szCs w:val="20"/>
              </w:rPr>
            </w:pPr>
          </w:p>
        </w:tc>
        <w:tc>
          <w:tcPr>
            <w:tcW w:w="1440" w:type="dxa"/>
          </w:tcPr>
          <w:p w14:paraId="0811801B" w14:textId="77777777" w:rsidR="00DA702B" w:rsidRPr="00DA702B" w:rsidRDefault="00DA702B" w:rsidP="00DA702B">
            <w:pPr>
              <w:rPr>
                <w:sz w:val="20"/>
                <w:szCs w:val="20"/>
              </w:rPr>
            </w:pPr>
          </w:p>
        </w:tc>
        <w:tc>
          <w:tcPr>
            <w:tcW w:w="1440" w:type="dxa"/>
          </w:tcPr>
          <w:p w14:paraId="226C3087" w14:textId="77777777" w:rsidR="00DA702B" w:rsidRPr="00DA702B" w:rsidRDefault="00DA702B" w:rsidP="00DA702B">
            <w:pPr>
              <w:rPr>
                <w:sz w:val="20"/>
                <w:szCs w:val="20"/>
              </w:rPr>
            </w:pPr>
          </w:p>
        </w:tc>
        <w:tc>
          <w:tcPr>
            <w:tcW w:w="1440" w:type="dxa"/>
          </w:tcPr>
          <w:p w14:paraId="2B8E5EAC" w14:textId="77777777" w:rsidR="00DA702B" w:rsidRPr="00DA702B" w:rsidRDefault="00DA702B" w:rsidP="00DA702B">
            <w:pPr>
              <w:rPr>
                <w:sz w:val="20"/>
                <w:szCs w:val="20"/>
              </w:rPr>
            </w:pPr>
          </w:p>
        </w:tc>
        <w:tc>
          <w:tcPr>
            <w:tcW w:w="1440" w:type="dxa"/>
          </w:tcPr>
          <w:p w14:paraId="0FD2A5BC" w14:textId="77777777" w:rsidR="00DA702B" w:rsidRPr="00DA702B" w:rsidRDefault="00DA702B" w:rsidP="00DA702B">
            <w:pPr>
              <w:rPr>
                <w:sz w:val="20"/>
                <w:szCs w:val="20"/>
              </w:rPr>
            </w:pPr>
          </w:p>
        </w:tc>
      </w:tr>
      <w:tr w:rsidR="00DA702B" w:rsidRPr="00DA702B" w14:paraId="7212C53B" w14:textId="77777777" w:rsidTr="00247007">
        <w:trPr>
          <w:cantSplit/>
          <w:trHeight w:val="346"/>
          <w:tblHeader/>
        </w:trPr>
        <w:tc>
          <w:tcPr>
            <w:tcW w:w="1440" w:type="dxa"/>
          </w:tcPr>
          <w:p w14:paraId="14049C9B" w14:textId="77777777" w:rsidR="00DA702B" w:rsidRPr="00DA702B" w:rsidRDefault="00DA702B" w:rsidP="00DA702B">
            <w:pPr>
              <w:rPr>
                <w:sz w:val="20"/>
                <w:szCs w:val="20"/>
              </w:rPr>
            </w:pPr>
          </w:p>
        </w:tc>
        <w:tc>
          <w:tcPr>
            <w:tcW w:w="1440" w:type="dxa"/>
          </w:tcPr>
          <w:p w14:paraId="0FF8AB05" w14:textId="77777777" w:rsidR="00DA702B" w:rsidRPr="00DA702B" w:rsidRDefault="00DA702B" w:rsidP="00DA702B">
            <w:pPr>
              <w:rPr>
                <w:sz w:val="20"/>
                <w:szCs w:val="20"/>
              </w:rPr>
            </w:pPr>
          </w:p>
        </w:tc>
        <w:tc>
          <w:tcPr>
            <w:tcW w:w="1440" w:type="dxa"/>
          </w:tcPr>
          <w:p w14:paraId="51C5A7F2" w14:textId="77777777" w:rsidR="00DA702B" w:rsidRPr="00DA702B" w:rsidRDefault="00DA702B" w:rsidP="00DA702B">
            <w:pPr>
              <w:rPr>
                <w:sz w:val="20"/>
                <w:szCs w:val="20"/>
              </w:rPr>
            </w:pPr>
          </w:p>
        </w:tc>
        <w:tc>
          <w:tcPr>
            <w:tcW w:w="1440" w:type="dxa"/>
          </w:tcPr>
          <w:p w14:paraId="26C8D38B" w14:textId="77777777" w:rsidR="00DA702B" w:rsidRPr="00DA702B" w:rsidRDefault="00DA702B" w:rsidP="00DA702B">
            <w:pPr>
              <w:rPr>
                <w:sz w:val="20"/>
                <w:szCs w:val="20"/>
              </w:rPr>
            </w:pPr>
          </w:p>
        </w:tc>
        <w:tc>
          <w:tcPr>
            <w:tcW w:w="1440" w:type="dxa"/>
          </w:tcPr>
          <w:p w14:paraId="0168532B" w14:textId="77777777" w:rsidR="00DA702B" w:rsidRPr="00DA702B" w:rsidRDefault="00DA702B" w:rsidP="00DA702B">
            <w:pPr>
              <w:rPr>
                <w:sz w:val="20"/>
                <w:szCs w:val="20"/>
              </w:rPr>
            </w:pPr>
          </w:p>
        </w:tc>
        <w:tc>
          <w:tcPr>
            <w:tcW w:w="1440" w:type="dxa"/>
          </w:tcPr>
          <w:p w14:paraId="1A4B39AB" w14:textId="77777777" w:rsidR="00DA702B" w:rsidRPr="00DA702B" w:rsidRDefault="00DA702B" w:rsidP="00DA702B">
            <w:pPr>
              <w:rPr>
                <w:sz w:val="20"/>
                <w:szCs w:val="20"/>
              </w:rPr>
            </w:pPr>
          </w:p>
        </w:tc>
        <w:tc>
          <w:tcPr>
            <w:tcW w:w="1440" w:type="dxa"/>
          </w:tcPr>
          <w:p w14:paraId="52F00C92" w14:textId="77777777" w:rsidR="00DA702B" w:rsidRPr="00DA702B" w:rsidRDefault="00DA702B" w:rsidP="00DA702B">
            <w:pPr>
              <w:rPr>
                <w:sz w:val="20"/>
                <w:szCs w:val="20"/>
              </w:rPr>
            </w:pPr>
          </w:p>
        </w:tc>
        <w:tc>
          <w:tcPr>
            <w:tcW w:w="1440" w:type="dxa"/>
          </w:tcPr>
          <w:p w14:paraId="5E1F0BE6" w14:textId="77777777" w:rsidR="00DA702B" w:rsidRPr="00DA702B" w:rsidRDefault="00DA702B" w:rsidP="00DA702B">
            <w:pPr>
              <w:rPr>
                <w:sz w:val="20"/>
                <w:szCs w:val="20"/>
              </w:rPr>
            </w:pPr>
          </w:p>
        </w:tc>
        <w:tc>
          <w:tcPr>
            <w:tcW w:w="1440" w:type="dxa"/>
          </w:tcPr>
          <w:p w14:paraId="68186A64" w14:textId="77777777" w:rsidR="00DA702B" w:rsidRPr="00DA702B" w:rsidRDefault="00DA702B" w:rsidP="00DA702B">
            <w:pPr>
              <w:rPr>
                <w:sz w:val="20"/>
                <w:szCs w:val="20"/>
              </w:rPr>
            </w:pPr>
          </w:p>
        </w:tc>
        <w:tc>
          <w:tcPr>
            <w:tcW w:w="1440" w:type="dxa"/>
          </w:tcPr>
          <w:p w14:paraId="0BB6777E" w14:textId="77777777" w:rsidR="00DA702B" w:rsidRPr="00DA702B" w:rsidRDefault="00DA702B" w:rsidP="00DA702B">
            <w:pPr>
              <w:rPr>
                <w:sz w:val="20"/>
                <w:szCs w:val="20"/>
              </w:rPr>
            </w:pPr>
          </w:p>
        </w:tc>
      </w:tr>
    </w:tbl>
    <w:p w14:paraId="17AA8146" w14:textId="77777777" w:rsidR="00DA702B" w:rsidRPr="00DA702B" w:rsidRDefault="00DA702B" w:rsidP="00DA702B">
      <w:r w:rsidRPr="00DA702B">
        <w:br w:type="page"/>
      </w:r>
    </w:p>
    <w:p w14:paraId="032E1EEB" w14:textId="77777777" w:rsidR="00DA702B" w:rsidRPr="00DA702B" w:rsidRDefault="00DA702B" w:rsidP="00ED4A58">
      <w:pPr>
        <w:contextualSpacing/>
        <w:jc w:val="center"/>
        <w:outlineLvl w:val="0"/>
        <w:rPr>
          <w:b/>
          <w:bCs/>
        </w:rPr>
      </w:pPr>
      <w:r w:rsidRPr="00DA702B">
        <w:rPr>
          <w:b/>
          <w:bCs/>
        </w:rPr>
        <w:lastRenderedPageBreak/>
        <w:t>Boiler/Steam Generator/Steam Generating Unit Attributes</w:t>
      </w:r>
    </w:p>
    <w:p w14:paraId="1B64D199" w14:textId="77777777" w:rsidR="00DA702B" w:rsidRPr="00DA702B" w:rsidRDefault="00DA702B" w:rsidP="00ED4A58">
      <w:pPr>
        <w:contextualSpacing/>
        <w:jc w:val="center"/>
        <w:outlineLvl w:val="0"/>
        <w:rPr>
          <w:b/>
          <w:bCs/>
        </w:rPr>
      </w:pPr>
      <w:r w:rsidRPr="00DA702B">
        <w:rPr>
          <w:b/>
          <w:bCs/>
        </w:rPr>
        <w:t>Form OP-UA6 (Page 14)</w:t>
      </w:r>
    </w:p>
    <w:p w14:paraId="05C9A538" w14:textId="77777777" w:rsidR="00DA702B" w:rsidRPr="00DA702B" w:rsidRDefault="00DA702B" w:rsidP="00ED4A58">
      <w:pPr>
        <w:contextualSpacing/>
        <w:jc w:val="center"/>
        <w:outlineLvl w:val="0"/>
        <w:rPr>
          <w:b/>
          <w:bCs/>
        </w:rPr>
      </w:pPr>
      <w:r w:rsidRPr="00DA702B">
        <w:rPr>
          <w:b/>
          <w:bCs/>
        </w:rPr>
        <w:t>Federal Operating Permit Program</w:t>
      </w:r>
    </w:p>
    <w:p w14:paraId="23D3F62A" w14:textId="77777777" w:rsidR="00DA702B" w:rsidRPr="00DA702B" w:rsidRDefault="00DA702B" w:rsidP="00ED4A58">
      <w:pPr>
        <w:contextualSpacing/>
        <w:jc w:val="center"/>
        <w:outlineLvl w:val="0"/>
        <w:rPr>
          <w:b/>
          <w:bCs/>
        </w:rPr>
      </w:pPr>
      <w:bookmarkStart w:id="176" w:name="TBL_5b"/>
      <w:r w:rsidRPr="00DA702B">
        <w:rPr>
          <w:b/>
          <w:bCs/>
        </w:rPr>
        <w:t>Table 5b</w:t>
      </w:r>
      <w:bookmarkEnd w:id="176"/>
      <w:r w:rsidRPr="00DA702B">
        <w:rPr>
          <w:b/>
          <w:bCs/>
        </w:rPr>
        <w:t>:  Title 30 Texas Administrative Code Chapter 117 (30 TAC Chapter 117)</w:t>
      </w:r>
    </w:p>
    <w:p w14:paraId="1597722A" w14:textId="77777777" w:rsidR="00DA702B" w:rsidRPr="00DA702B" w:rsidRDefault="00DA702B" w:rsidP="00ED4A58">
      <w:pPr>
        <w:contextualSpacing/>
        <w:jc w:val="center"/>
        <w:outlineLvl w:val="0"/>
        <w:rPr>
          <w:b/>
          <w:bCs/>
        </w:rPr>
      </w:pPr>
      <w:r w:rsidRPr="00DA702B">
        <w:rPr>
          <w:b/>
          <w:bCs/>
        </w:rPr>
        <w:t>Subpart B:  Combustion Control at Major Industrial, Commercial and Institutional Sources in Ozone Nonattainment Areas</w:t>
      </w:r>
    </w:p>
    <w:p w14:paraId="6E0384FB" w14:textId="77777777" w:rsidR="00DA702B" w:rsidRPr="00DA702B" w:rsidRDefault="00DA702B" w:rsidP="00ED4A58">
      <w:pPr>
        <w:contextualSpacing/>
        <w:jc w:val="center"/>
        <w:outlineLvl w:val="0"/>
        <w:rPr>
          <w:b/>
          <w:bCs/>
        </w:rPr>
      </w:pPr>
      <w:r w:rsidRPr="00DA702B">
        <w:rPr>
          <w:b/>
          <w:bCs/>
        </w:rPr>
        <w:t>Texas Commission on Environmental Quality</w:t>
      </w:r>
    </w:p>
    <w:p w14:paraId="18117537" w14:textId="77777777" w:rsidR="00DA702B" w:rsidRPr="00DA702B" w:rsidRDefault="00DA702B" w:rsidP="00DA702B">
      <w:pPr>
        <w:spacing w:before="48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5b:  Title 30 Texas Administrative Code Chapter 117 (30 TAC Chapter 117)&#10;Subpart B:  Combustion Control at Major Industrial, Commercial and &#10;Institutional Sources in Ozone Nonattainment Areas&#10;"/>
      </w:tblPr>
      <w:tblGrid>
        <w:gridCol w:w="4800"/>
        <w:gridCol w:w="4800"/>
        <w:gridCol w:w="4800"/>
      </w:tblGrid>
      <w:tr w:rsidR="00DA702B" w:rsidRPr="00DA702B" w14:paraId="452092B9" w14:textId="77777777" w:rsidTr="00247007">
        <w:trPr>
          <w:cantSplit/>
          <w:tblHeader/>
        </w:trPr>
        <w:tc>
          <w:tcPr>
            <w:tcW w:w="4800" w:type="dxa"/>
            <w:shd w:val="clear" w:color="auto" w:fill="D9D9D9" w:themeFill="background1" w:themeFillShade="D9"/>
          </w:tcPr>
          <w:p w14:paraId="70CA8556"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46A2396"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16E40856"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7F986A6F" w14:textId="77777777" w:rsidTr="00247007">
        <w:trPr>
          <w:cantSplit/>
          <w:tblHeader/>
        </w:trPr>
        <w:tc>
          <w:tcPr>
            <w:tcW w:w="4800" w:type="dxa"/>
          </w:tcPr>
          <w:p w14:paraId="0DA9A7FD" w14:textId="77777777" w:rsidR="00DA702B" w:rsidRPr="00DA702B" w:rsidRDefault="00DA702B" w:rsidP="00DA702B">
            <w:pPr>
              <w:rPr>
                <w:rFonts w:asciiTheme="majorHAnsi" w:hAnsiTheme="majorHAnsi" w:cstheme="majorHAnsi"/>
              </w:rPr>
            </w:pPr>
          </w:p>
        </w:tc>
        <w:tc>
          <w:tcPr>
            <w:tcW w:w="4800" w:type="dxa"/>
          </w:tcPr>
          <w:p w14:paraId="409E5426" w14:textId="77777777" w:rsidR="00DA702B" w:rsidRPr="00DA702B" w:rsidRDefault="00DA702B" w:rsidP="00DA702B">
            <w:pPr>
              <w:rPr>
                <w:rFonts w:asciiTheme="majorHAnsi" w:hAnsiTheme="majorHAnsi" w:cstheme="majorHAnsi"/>
              </w:rPr>
            </w:pPr>
          </w:p>
        </w:tc>
        <w:tc>
          <w:tcPr>
            <w:tcW w:w="4800" w:type="dxa"/>
          </w:tcPr>
          <w:p w14:paraId="150F1B56" w14:textId="77777777" w:rsidR="00DA702B" w:rsidRPr="00DA702B" w:rsidRDefault="00DA702B" w:rsidP="00DA702B">
            <w:pPr>
              <w:rPr>
                <w:rFonts w:asciiTheme="majorHAnsi" w:hAnsiTheme="majorHAnsi" w:cstheme="majorHAnsi"/>
              </w:rPr>
            </w:pPr>
          </w:p>
        </w:tc>
      </w:tr>
    </w:tbl>
    <w:p w14:paraId="15382D5F"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5b:  Title 30 Texas Administrative Code Chapter 117 (30 TAC Chapter 117)&#10;Subpart B:  Combustion Control at Major Industrial, Commercial and &#10;Institutional Sources in Ozone Nonattainment Areas&#10;"/>
      </w:tblPr>
      <w:tblGrid>
        <w:gridCol w:w="1440"/>
        <w:gridCol w:w="1440"/>
        <w:gridCol w:w="1440"/>
        <w:gridCol w:w="1440"/>
        <w:gridCol w:w="1440"/>
        <w:gridCol w:w="1440"/>
        <w:gridCol w:w="1440"/>
        <w:gridCol w:w="1440"/>
        <w:gridCol w:w="1440"/>
        <w:gridCol w:w="1440"/>
      </w:tblGrid>
      <w:tr w:rsidR="00DA702B" w:rsidRPr="00DA702B" w14:paraId="57ADD4D1" w14:textId="77777777" w:rsidTr="00247007">
        <w:trPr>
          <w:cantSplit/>
          <w:tblHeader/>
        </w:trPr>
        <w:tc>
          <w:tcPr>
            <w:tcW w:w="1440" w:type="dxa"/>
            <w:shd w:val="clear" w:color="auto" w:fill="D9D9D9" w:themeFill="background1" w:themeFillShade="D9"/>
            <w:vAlign w:val="bottom"/>
          </w:tcPr>
          <w:p w14:paraId="27315188" w14:textId="77777777" w:rsidR="00DA702B" w:rsidRPr="00DA702B" w:rsidRDefault="00DA702B" w:rsidP="00DA702B">
            <w:pPr>
              <w:jc w:val="center"/>
              <w:rPr>
                <w:sz w:val="20"/>
                <w:szCs w:val="20"/>
              </w:rPr>
            </w:pPr>
            <w:r w:rsidRPr="00DA702B">
              <w:rPr>
                <w:b/>
                <w:sz w:val="20"/>
                <w:szCs w:val="20"/>
              </w:rPr>
              <w:t>Unit ID No.</w:t>
            </w:r>
          </w:p>
        </w:tc>
        <w:tc>
          <w:tcPr>
            <w:tcW w:w="1440" w:type="dxa"/>
            <w:shd w:val="clear" w:color="auto" w:fill="D9D9D9" w:themeFill="background1" w:themeFillShade="D9"/>
            <w:vAlign w:val="bottom"/>
          </w:tcPr>
          <w:p w14:paraId="2A1194D7" w14:textId="77777777" w:rsidR="00DA702B" w:rsidRPr="00DA702B" w:rsidRDefault="00DA702B" w:rsidP="00DA702B">
            <w:pPr>
              <w:jc w:val="center"/>
              <w:rPr>
                <w:sz w:val="20"/>
                <w:szCs w:val="20"/>
              </w:rPr>
            </w:pPr>
            <w:r w:rsidRPr="00DA702B">
              <w:rPr>
                <w:b/>
                <w:sz w:val="20"/>
                <w:szCs w:val="20"/>
              </w:rPr>
              <w:t>SOP Index No.</w:t>
            </w:r>
          </w:p>
        </w:tc>
        <w:tc>
          <w:tcPr>
            <w:tcW w:w="1440" w:type="dxa"/>
            <w:shd w:val="clear" w:color="auto" w:fill="D9D9D9" w:themeFill="background1" w:themeFillShade="D9"/>
            <w:vAlign w:val="bottom"/>
          </w:tcPr>
          <w:p w14:paraId="7F87CC0D" w14:textId="77777777" w:rsidR="00DA702B" w:rsidRPr="00DA702B" w:rsidRDefault="00DA702B" w:rsidP="00DA702B">
            <w:pPr>
              <w:jc w:val="center"/>
              <w:rPr>
                <w:sz w:val="20"/>
                <w:szCs w:val="20"/>
              </w:rPr>
            </w:pPr>
            <w:r w:rsidRPr="00DA702B">
              <w:rPr>
                <w:b/>
                <w:sz w:val="20"/>
                <w:szCs w:val="20"/>
              </w:rPr>
              <w:t>NO</w:t>
            </w:r>
            <w:r w:rsidRPr="00DA702B">
              <w:rPr>
                <w:b/>
                <w:sz w:val="20"/>
                <w:szCs w:val="20"/>
                <w:vertAlign w:val="subscript"/>
              </w:rPr>
              <w:t>X</w:t>
            </w:r>
            <w:r w:rsidRPr="00DA702B">
              <w:rPr>
                <w:b/>
                <w:sz w:val="20"/>
                <w:szCs w:val="20"/>
              </w:rPr>
              <w:t xml:space="preserve"> Emission Limitation</w:t>
            </w:r>
          </w:p>
        </w:tc>
        <w:tc>
          <w:tcPr>
            <w:tcW w:w="1440" w:type="dxa"/>
            <w:shd w:val="clear" w:color="auto" w:fill="D9D9D9" w:themeFill="background1" w:themeFillShade="D9"/>
            <w:vAlign w:val="bottom"/>
          </w:tcPr>
          <w:p w14:paraId="17AC07A9" w14:textId="77777777" w:rsidR="00DA702B" w:rsidRPr="00DA702B" w:rsidRDefault="00DA702B" w:rsidP="00DA702B">
            <w:pPr>
              <w:jc w:val="center"/>
              <w:rPr>
                <w:sz w:val="20"/>
                <w:szCs w:val="20"/>
              </w:rPr>
            </w:pPr>
            <w:r w:rsidRPr="00DA702B">
              <w:rPr>
                <w:b/>
                <w:sz w:val="20"/>
                <w:szCs w:val="20"/>
              </w:rPr>
              <w:t>Opt-In Unit</w:t>
            </w:r>
          </w:p>
        </w:tc>
        <w:tc>
          <w:tcPr>
            <w:tcW w:w="1440" w:type="dxa"/>
            <w:shd w:val="clear" w:color="auto" w:fill="D9D9D9" w:themeFill="background1" w:themeFillShade="D9"/>
            <w:vAlign w:val="bottom"/>
          </w:tcPr>
          <w:p w14:paraId="3DAE9877" w14:textId="77777777" w:rsidR="00DA702B" w:rsidRPr="00DA702B" w:rsidRDefault="00DA702B" w:rsidP="00DA702B">
            <w:pPr>
              <w:jc w:val="center"/>
              <w:rPr>
                <w:sz w:val="20"/>
                <w:szCs w:val="20"/>
              </w:rPr>
            </w:pPr>
            <w:r w:rsidRPr="00DA702B">
              <w:rPr>
                <w:b/>
                <w:sz w:val="20"/>
                <w:szCs w:val="20"/>
              </w:rPr>
              <w:t>23C-Option</w:t>
            </w:r>
          </w:p>
        </w:tc>
        <w:tc>
          <w:tcPr>
            <w:tcW w:w="1440" w:type="dxa"/>
            <w:shd w:val="clear" w:color="auto" w:fill="D9D9D9" w:themeFill="background1" w:themeFillShade="D9"/>
            <w:vAlign w:val="bottom"/>
          </w:tcPr>
          <w:p w14:paraId="6E1BDE4D" w14:textId="77777777" w:rsidR="00DA702B" w:rsidRPr="00DA702B" w:rsidRDefault="00DA702B" w:rsidP="00DA702B">
            <w:pPr>
              <w:jc w:val="center"/>
              <w:rPr>
                <w:sz w:val="20"/>
                <w:szCs w:val="20"/>
              </w:rPr>
            </w:pPr>
            <w:r w:rsidRPr="00DA702B">
              <w:rPr>
                <w:b/>
                <w:sz w:val="20"/>
                <w:szCs w:val="20"/>
              </w:rPr>
              <w:t>Title 30 TAC Chapter 116 Permit Limit</w:t>
            </w:r>
          </w:p>
        </w:tc>
        <w:tc>
          <w:tcPr>
            <w:tcW w:w="1440" w:type="dxa"/>
            <w:shd w:val="clear" w:color="auto" w:fill="D9D9D9" w:themeFill="background1" w:themeFillShade="D9"/>
            <w:vAlign w:val="bottom"/>
          </w:tcPr>
          <w:p w14:paraId="3E2C1E58" w14:textId="77777777" w:rsidR="00DA702B" w:rsidRPr="00DA702B" w:rsidRDefault="00DA702B" w:rsidP="00DA702B">
            <w:pPr>
              <w:jc w:val="center"/>
              <w:rPr>
                <w:sz w:val="20"/>
                <w:szCs w:val="20"/>
              </w:rPr>
            </w:pPr>
            <w:r w:rsidRPr="00DA702B">
              <w:rPr>
                <w:b/>
                <w:sz w:val="20"/>
                <w:szCs w:val="20"/>
              </w:rPr>
              <w:t>EGF System Cap Unit</w:t>
            </w:r>
          </w:p>
        </w:tc>
        <w:tc>
          <w:tcPr>
            <w:tcW w:w="1440" w:type="dxa"/>
            <w:shd w:val="clear" w:color="auto" w:fill="D9D9D9" w:themeFill="background1" w:themeFillShade="D9"/>
            <w:vAlign w:val="bottom"/>
          </w:tcPr>
          <w:p w14:paraId="3D94DEE0" w14:textId="77777777" w:rsidR="00DA702B" w:rsidRPr="00DA702B" w:rsidRDefault="00DA702B" w:rsidP="00DA702B">
            <w:pPr>
              <w:jc w:val="center"/>
              <w:rPr>
                <w:sz w:val="20"/>
                <w:szCs w:val="20"/>
              </w:rPr>
            </w:pPr>
            <w:r w:rsidRPr="00DA702B">
              <w:rPr>
                <w:b/>
                <w:sz w:val="20"/>
                <w:szCs w:val="20"/>
              </w:rPr>
              <w:t>NO</w:t>
            </w:r>
            <w:r w:rsidRPr="00DA702B">
              <w:rPr>
                <w:b/>
                <w:sz w:val="20"/>
                <w:szCs w:val="20"/>
                <w:vertAlign w:val="subscript"/>
              </w:rPr>
              <w:t>X</w:t>
            </w:r>
            <w:r w:rsidRPr="00DA702B">
              <w:rPr>
                <w:b/>
                <w:sz w:val="20"/>
                <w:szCs w:val="20"/>
              </w:rPr>
              <w:t xml:space="preserve"> Emission Limit Average</w:t>
            </w:r>
          </w:p>
        </w:tc>
        <w:tc>
          <w:tcPr>
            <w:tcW w:w="1440" w:type="dxa"/>
            <w:shd w:val="clear" w:color="auto" w:fill="D9D9D9" w:themeFill="background1" w:themeFillShade="D9"/>
            <w:vAlign w:val="bottom"/>
          </w:tcPr>
          <w:p w14:paraId="1337071A" w14:textId="77777777" w:rsidR="00DA702B" w:rsidRPr="00DA702B" w:rsidRDefault="00DA702B" w:rsidP="00DA702B">
            <w:pPr>
              <w:jc w:val="center"/>
              <w:rPr>
                <w:sz w:val="20"/>
                <w:szCs w:val="20"/>
              </w:rPr>
            </w:pPr>
            <w:r w:rsidRPr="00DA702B">
              <w:rPr>
                <w:b/>
                <w:sz w:val="20"/>
                <w:szCs w:val="20"/>
              </w:rPr>
              <w:t>NO</w:t>
            </w:r>
            <w:r w:rsidRPr="00DA702B">
              <w:rPr>
                <w:b/>
                <w:sz w:val="20"/>
                <w:szCs w:val="20"/>
                <w:vertAlign w:val="subscript"/>
              </w:rPr>
              <w:t>X</w:t>
            </w:r>
            <w:r w:rsidRPr="00DA702B">
              <w:rPr>
                <w:b/>
                <w:sz w:val="20"/>
                <w:szCs w:val="20"/>
              </w:rPr>
              <w:t xml:space="preserve"> Reduction</w:t>
            </w:r>
          </w:p>
        </w:tc>
        <w:tc>
          <w:tcPr>
            <w:tcW w:w="1440" w:type="dxa"/>
            <w:shd w:val="clear" w:color="auto" w:fill="D9D9D9" w:themeFill="background1" w:themeFillShade="D9"/>
            <w:vAlign w:val="bottom"/>
          </w:tcPr>
          <w:p w14:paraId="41182E1D" w14:textId="77777777" w:rsidR="00DA702B" w:rsidRPr="00DA702B" w:rsidRDefault="00DA702B" w:rsidP="00DA702B">
            <w:pPr>
              <w:jc w:val="center"/>
              <w:rPr>
                <w:sz w:val="20"/>
                <w:szCs w:val="20"/>
              </w:rPr>
            </w:pPr>
            <w:r w:rsidRPr="00DA702B">
              <w:rPr>
                <w:b/>
                <w:sz w:val="20"/>
                <w:szCs w:val="20"/>
              </w:rPr>
              <w:t>Common Stack Combined</w:t>
            </w:r>
          </w:p>
        </w:tc>
      </w:tr>
      <w:tr w:rsidR="00DA702B" w:rsidRPr="00DA702B" w14:paraId="5A31616B" w14:textId="77777777" w:rsidTr="00247007">
        <w:trPr>
          <w:cantSplit/>
          <w:trHeight w:val="346"/>
          <w:tblHeader/>
        </w:trPr>
        <w:tc>
          <w:tcPr>
            <w:tcW w:w="1440" w:type="dxa"/>
          </w:tcPr>
          <w:p w14:paraId="42CA3E4D" w14:textId="77777777" w:rsidR="00DA702B" w:rsidRPr="00DA702B" w:rsidRDefault="00DA702B" w:rsidP="00DA702B">
            <w:pPr>
              <w:rPr>
                <w:sz w:val="20"/>
                <w:szCs w:val="20"/>
              </w:rPr>
            </w:pPr>
          </w:p>
        </w:tc>
        <w:tc>
          <w:tcPr>
            <w:tcW w:w="1440" w:type="dxa"/>
          </w:tcPr>
          <w:p w14:paraId="63C4EAC9" w14:textId="77777777" w:rsidR="00DA702B" w:rsidRPr="00DA702B" w:rsidRDefault="00DA702B" w:rsidP="00DA702B">
            <w:pPr>
              <w:rPr>
                <w:sz w:val="20"/>
                <w:szCs w:val="20"/>
              </w:rPr>
            </w:pPr>
          </w:p>
        </w:tc>
        <w:tc>
          <w:tcPr>
            <w:tcW w:w="1440" w:type="dxa"/>
          </w:tcPr>
          <w:p w14:paraId="1470008E" w14:textId="77777777" w:rsidR="00DA702B" w:rsidRPr="00DA702B" w:rsidRDefault="00DA702B" w:rsidP="00DA702B">
            <w:pPr>
              <w:rPr>
                <w:sz w:val="20"/>
                <w:szCs w:val="20"/>
              </w:rPr>
            </w:pPr>
          </w:p>
        </w:tc>
        <w:tc>
          <w:tcPr>
            <w:tcW w:w="1440" w:type="dxa"/>
          </w:tcPr>
          <w:p w14:paraId="27D211C4" w14:textId="77777777" w:rsidR="00DA702B" w:rsidRPr="00DA702B" w:rsidRDefault="00DA702B" w:rsidP="00DA702B">
            <w:pPr>
              <w:rPr>
                <w:sz w:val="20"/>
                <w:szCs w:val="20"/>
              </w:rPr>
            </w:pPr>
          </w:p>
        </w:tc>
        <w:tc>
          <w:tcPr>
            <w:tcW w:w="1440" w:type="dxa"/>
          </w:tcPr>
          <w:p w14:paraId="41005F4D" w14:textId="77777777" w:rsidR="00DA702B" w:rsidRPr="00DA702B" w:rsidRDefault="00DA702B" w:rsidP="00DA702B">
            <w:pPr>
              <w:rPr>
                <w:sz w:val="20"/>
                <w:szCs w:val="20"/>
              </w:rPr>
            </w:pPr>
          </w:p>
        </w:tc>
        <w:tc>
          <w:tcPr>
            <w:tcW w:w="1440" w:type="dxa"/>
          </w:tcPr>
          <w:p w14:paraId="4654D14F" w14:textId="77777777" w:rsidR="00DA702B" w:rsidRPr="00DA702B" w:rsidRDefault="00DA702B" w:rsidP="00DA702B">
            <w:pPr>
              <w:rPr>
                <w:sz w:val="20"/>
                <w:szCs w:val="20"/>
              </w:rPr>
            </w:pPr>
          </w:p>
        </w:tc>
        <w:tc>
          <w:tcPr>
            <w:tcW w:w="1440" w:type="dxa"/>
          </w:tcPr>
          <w:p w14:paraId="3EEE905A" w14:textId="77777777" w:rsidR="00DA702B" w:rsidRPr="00DA702B" w:rsidRDefault="00DA702B" w:rsidP="00DA702B">
            <w:pPr>
              <w:rPr>
                <w:sz w:val="20"/>
                <w:szCs w:val="20"/>
              </w:rPr>
            </w:pPr>
          </w:p>
        </w:tc>
        <w:tc>
          <w:tcPr>
            <w:tcW w:w="1440" w:type="dxa"/>
          </w:tcPr>
          <w:p w14:paraId="61249F90" w14:textId="77777777" w:rsidR="00DA702B" w:rsidRPr="00DA702B" w:rsidRDefault="00DA702B" w:rsidP="00DA702B">
            <w:pPr>
              <w:rPr>
                <w:sz w:val="20"/>
                <w:szCs w:val="20"/>
              </w:rPr>
            </w:pPr>
          </w:p>
        </w:tc>
        <w:tc>
          <w:tcPr>
            <w:tcW w:w="1440" w:type="dxa"/>
          </w:tcPr>
          <w:p w14:paraId="550A5378" w14:textId="77777777" w:rsidR="00DA702B" w:rsidRPr="00DA702B" w:rsidRDefault="00DA702B" w:rsidP="00DA702B">
            <w:pPr>
              <w:rPr>
                <w:sz w:val="20"/>
                <w:szCs w:val="20"/>
              </w:rPr>
            </w:pPr>
          </w:p>
        </w:tc>
        <w:tc>
          <w:tcPr>
            <w:tcW w:w="1440" w:type="dxa"/>
          </w:tcPr>
          <w:p w14:paraId="0830FB9D" w14:textId="77777777" w:rsidR="00DA702B" w:rsidRPr="00DA702B" w:rsidRDefault="00DA702B" w:rsidP="00DA702B">
            <w:pPr>
              <w:rPr>
                <w:sz w:val="20"/>
                <w:szCs w:val="20"/>
              </w:rPr>
            </w:pPr>
          </w:p>
        </w:tc>
      </w:tr>
      <w:tr w:rsidR="00DA702B" w:rsidRPr="00DA702B" w14:paraId="7E784E04" w14:textId="77777777" w:rsidTr="00247007">
        <w:trPr>
          <w:cantSplit/>
          <w:trHeight w:val="346"/>
          <w:tblHeader/>
        </w:trPr>
        <w:tc>
          <w:tcPr>
            <w:tcW w:w="1440" w:type="dxa"/>
          </w:tcPr>
          <w:p w14:paraId="3373263B" w14:textId="77777777" w:rsidR="00DA702B" w:rsidRPr="00DA702B" w:rsidRDefault="00DA702B" w:rsidP="00DA702B">
            <w:pPr>
              <w:rPr>
                <w:sz w:val="20"/>
                <w:szCs w:val="20"/>
              </w:rPr>
            </w:pPr>
          </w:p>
        </w:tc>
        <w:tc>
          <w:tcPr>
            <w:tcW w:w="1440" w:type="dxa"/>
          </w:tcPr>
          <w:p w14:paraId="638E6F89" w14:textId="77777777" w:rsidR="00DA702B" w:rsidRPr="00DA702B" w:rsidRDefault="00DA702B" w:rsidP="00DA702B">
            <w:pPr>
              <w:rPr>
                <w:sz w:val="20"/>
                <w:szCs w:val="20"/>
              </w:rPr>
            </w:pPr>
          </w:p>
        </w:tc>
        <w:tc>
          <w:tcPr>
            <w:tcW w:w="1440" w:type="dxa"/>
          </w:tcPr>
          <w:p w14:paraId="6A59CD42" w14:textId="77777777" w:rsidR="00DA702B" w:rsidRPr="00DA702B" w:rsidRDefault="00DA702B" w:rsidP="00DA702B">
            <w:pPr>
              <w:rPr>
                <w:sz w:val="20"/>
                <w:szCs w:val="20"/>
              </w:rPr>
            </w:pPr>
          </w:p>
        </w:tc>
        <w:tc>
          <w:tcPr>
            <w:tcW w:w="1440" w:type="dxa"/>
          </w:tcPr>
          <w:p w14:paraId="12244BCC" w14:textId="77777777" w:rsidR="00DA702B" w:rsidRPr="00DA702B" w:rsidRDefault="00DA702B" w:rsidP="00DA702B">
            <w:pPr>
              <w:rPr>
                <w:sz w:val="20"/>
                <w:szCs w:val="20"/>
              </w:rPr>
            </w:pPr>
          </w:p>
        </w:tc>
        <w:tc>
          <w:tcPr>
            <w:tcW w:w="1440" w:type="dxa"/>
          </w:tcPr>
          <w:p w14:paraId="157C9D64" w14:textId="77777777" w:rsidR="00DA702B" w:rsidRPr="00DA702B" w:rsidRDefault="00DA702B" w:rsidP="00DA702B">
            <w:pPr>
              <w:rPr>
                <w:sz w:val="20"/>
                <w:szCs w:val="20"/>
              </w:rPr>
            </w:pPr>
          </w:p>
        </w:tc>
        <w:tc>
          <w:tcPr>
            <w:tcW w:w="1440" w:type="dxa"/>
          </w:tcPr>
          <w:p w14:paraId="68AEB55B" w14:textId="77777777" w:rsidR="00DA702B" w:rsidRPr="00DA702B" w:rsidRDefault="00DA702B" w:rsidP="00DA702B">
            <w:pPr>
              <w:rPr>
                <w:sz w:val="20"/>
                <w:szCs w:val="20"/>
              </w:rPr>
            </w:pPr>
          </w:p>
        </w:tc>
        <w:tc>
          <w:tcPr>
            <w:tcW w:w="1440" w:type="dxa"/>
          </w:tcPr>
          <w:p w14:paraId="11704E76" w14:textId="77777777" w:rsidR="00DA702B" w:rsidRPr="00DA702B" w:rsidRDefault="00DA702B" w:rsidP="00DA702B">
            <w:pPr>
              <w:rPr>
                <w:sz w:val="20"/>
                <w:szCs w:val="20"/>
              </w:rPr>
            </w:pPr>
          </w:p>
        </w:tc>
        <w:tc>
          <w:tcPr>
            <w:tcW w:w="1440" w:type="dxa"/>
          </w:tcPr>
          <w:p w14:paraId="1C7EB5A6" w14:textId="77777777" w:rsidR="00DA702B" w:rsidRPr="00DA702B" w:rsidRDefault="00DA702B" w:rsidP="00DA702B">
            <w:pPr>
              <w:rPr>
                <w:sz w:val="20"/>
                <w:szCs w:val="20"/>
              </w:rPr>
            </w:pPr>
          </w:p>
        </w:tc>
        <w:tc>
          <w:tcPr>
            <w:tcW w:w="1440" w:type="dxa"/>
          </w:tcPr>
          <w:p w14:paraId="440B5E4C" w14:textId="77777777" w:rsidR="00DA702B" w:rsidRPr="00DA702B" w:rsidRDefault="00DA702B" w:rsidP="00DA702B">
            <w:pPr>
              <w:rPr>
                <w:sz w:val="20"/>
                <w:szCs w:val="20"/>
              </w:rPr>
            </w:pPr>
          </w:p>
        </w:tc>
        <w:tc>
          <w:tcPr>
            <w:tcW w:w="1440" w:type="dxa"/>
          </w:tcPr>
          <w:p w14:paraId="032D5DE8" w14:textId="77777777" w:rsidR="00DA702B" w:rsidRPr="00DA702B" w:rsidRDefault="00DA702B" w:rsidP="00DA702B">
            <w:pPr>
              <w:rPr>
                <w:sz w:val="20"/>
                <w:szCs w:val="20"/>
              </w:rPr>
            </w:pPr>
          </w:p>
        </w:tc>
      </w:tr>
      <w:tr w:rsidR="00DA702B" w:rsidRPr="00DA702B" w14:paraId="6E1E641F" w14:textId="77777777" w:rsidTr="00247007">
        <w:trPr>
          <w:cantSplit/>
          <w:trHeight w:val="346"/>
          <w:tblHeader/>
        </w:trPr>
        <w:tc>
          <w:tcPr>
            <w:tcW w:w="1440" w:type="dxa"/>
          </w:tcPr>
          <w:p w14:paraId="6855ED42" w14:textId="77777777" w:rsidR="00DA702B" w:rsidRPr="00DA702B" w:rsidRDefault="00DA702B" w:rsidP="00DA702B">
            <w:pPr>
              <w:rPr>
                <w:sz w:val="20"/>
                <w:szCs w:val="20"/>
              </w:rPr>
            </w:pPr>
          </w:p>
        </w:tc>
        <w:tc>
          <w:tcPr>
            <w:tcW w:w="1440" w:type="dxa"/>
          </w:tcPr>
          <w:p w14:paraId="437BECD8" w14:textId="77777777" w:rsidR="00DA702B" w:rsidRPr="00DA702B" w:rsidRDefault="00DA702B" w:rsidP="00DA702B">
            <w:pPr>
              <w:rPr>
                <w:sz w:val="20"/>
                <w:szCs w:val="20"/>
              </w:rPr>
            </w:pPr>
          </w:p>
        </w:tc>
        <w:tc>
          <w:tcPr>
            <w:tcW w:w="1440" w:type="dxa"/>
          </w:tcPr>
          <w:p w14:paraId="0439FB94" w14:textId="77777777" w:rsidR="00DA702B" w:rsidRPr="00DA702B" w:rsidRDefault="00DA702B" w:rsidP="00DA702B">
            <w:pPr>
              <w:rPr>
                <w:sz w:val="20"/>
                <w:szCs w:val="20"/>
              </w:rPr>
            </w:pPr>
          </w:p>
        </w:tc>
        <w:tc>
          <w:tcPr>
            <w:tcW w:w="1440" w:type="dxa"/>
          </w:tcPr>
          <w:p w14:paraId="3F751FD4" w14:textId="77777777" w:rsidR="00DA702B" w:rsidRPr="00DA702B" w:rsidRDefault="00DA702B" w:rsidP="00DA702B">
            <w:pPr>
              <w:rPr>
                <w:sz w:val="20"/>
                <w:szCs w:val="20"/>
              </w:rPr>
            </w:pPr>
          </w:p>
        </w:tc>
        <w:tc>
          <w:tcPr>
            <w:tcW w:w="1440" w:type="dxa"/>
          </w:tcPr>
          <w:p w14:paraId="0B52D14D" w14:textId="77777777" w:rsidR="00DA702B" w:rsidRPr="00DA702B" w:rsidRDefault="00DA702B" w:rsidP="00DA702B">
            <w:pPr>
              <w:rPr>
                <w:sz w:val="20"/>
                <w:szCs w:val="20"/>
              </w:rPr>
            </w:pPr>
          </w:p>
        </w:tc>
        <w:tc>
          <w:tcPr>
            <w:tcW w:w="1440" w:type="dxa"/>
          </w:tcPr>
          <w:p w14:paraId="03341CD1" w14:textId="77777777" w:rsidR="00DA702B" w:rsidRPr="00DA702B" w:rsidRDefault="00DA702B" w:rsidP="00DA702B">
            <w:pPr>
              <w:rPr>
                <w:sz w:val="20"/>
                <w:szCs w:val="20"/>
              </w:rPr>
            </w:pPr>
          </w:p>
        </w:tc>
        <w:tc>
          <w:tcPr>
            <w:tcW w:w="1440" w:type="dxa"/>
          </w:tcPr>
          <w:p w14:paraId="014226FE" w14:textId="77777777" w:rsidR="00DA702B" w:rsidRPr="00DA702B" w:rsidRDefault="00DA702B" w:rsidP="00DA702B">
            <w:pPr>
              <w:rPr>
                <w:sz w:val="20"/>
                <w:szCs w:val="20"/>
              </w:rPr>
            </w:pPr>
          </w:p>
        </w:tc>
        <w:tc>
          <w:tcPr>
            <w:tcW w:w="1440" w:type="dxa"/>
          </w:tcPr>
          <w:p w14:paraId="61DE8011" w14:textId="77777777" w:rsidR="00DA702B" w:rsidRPr="00DA702B" w:rsidRDefault="00DA702B" w:rsidP="00DA702B">
            <w:pPr>
              <w:rPr>
                <w:sz w:val="20"/>
                <w:szCs w:val="20"/>
              </w:rPr>
            </w:pPr>
          </w:p>
        </w:tc>
        <w:tc>
          <w:tcPr>
            <w:tcW w:w="1440" w:type="dxa"/>
          </w:tcPr>
          <w:p w14:paraId="2FE3F9F1" w14:textId="77777777" w:rsidR="00DA702B" w:rsidRPr="00DA702B" w:rsidRDefault="00DA702B" w:rsidP="00DA702B">
            <w:pPr>
              <w:rPr>
                <w:sz w:val="20"/>
                <w:szCs w:val="20"/>
              </w:rPr>
            </w:pPr>
          </w:p>
        </w:tc>
        <w:tc>
          <w:tcPr>
            <w:tcW w:w="1440" w:type="dxa"/>
          </w:tcPr>
          <w:p w14:paraId="57F85D41" w14:textId="77777777" w:rsidR="00DA702B" w:rsidRPr="00DA702B" w:rsidRDefault="00DA702B" w:rsidP="00DA702B">
            <w:pPr>
              <w:rPr>
                <w:sz w:val="20"/>
                <w:szCs w:val="20"/>
              </w:rPr>
            </w:pPr>
          </w:p>
        </w:tc>
      </w:tr>
      <w:tr w:rsidR="00DA702B" w:rsidRPr="00DA702B" w14:paraId="502DC21E" w14:textId="77777777" w:rsidTr="00247007">
        <w:trPr>
          <w:cantSplit/>
          <w:trHeight w:val="346"/>
          <w:tblHeader/>
        </w:trPr>
        <w:tc>
          <w:tcPr>
            <w:tcW w:w="1440" w:type="dxa"/>
          </w:tcPr>
          <w:p w14:paraId="1EF3ED7A" w14:textId="77777777" w:rsidR="00DA702B" w:rsidRPr="00DA702B" w:rsidRDefault="00DA702B" w:rsidP="00DA702B">
            <w:pPr>
              <w:rPr>
                <w:sz w:val="20"/>
                <w:szCs w:val="20"/>
              </w:rPr>
            </w:pPr>
          </w:p>
        </w:tc>
        <w:tc>
          <w:tcPr>
            <w:tcW w:w="1440" w:type="dxa"/>
          </w:tcPr>
          <w:p w14:paraId="0EEA30AC" w14:textId="77777777" w:rsidR="00DA702B" w:rsidRPr="00DA702B" w:rsidRDefault="00DA702B" w:rsidP="00DA702B">
            <w:pPr>
              <w:rPr>
                <w:sz w:val="20"/>
                <w:szCs w:val="20"/>
              </w:rPr>
            </w:pPr>
          </w:p>
        </w:tc>
        <w:tc>
          <w:tcPr>
            <w:tcW w:w="1440" w:type="dxa"/>
          </w:tcPr>
          <w:p w14:paraId="4959F7AC" w14:textId="77777777" w:rsidR="00DA702B" w:rsidRPr="00DA702B" w:rsidRDefault="00DA702B" w:rsidP="00DA702B">
            <w:pPr>
              <w:rPr>
                <w:sz w:val="20"/>
                <w:szCs w:val="20"/>
              </w:rPr>
            </w:pPr>
          </w:p>
        </w:tc>
        <w:tc>
          <w:tcPr>
            <w:tcW w:w="1440" w:type="dxa"/>
          </w:tcPr>
          <w:p w14:paraId="1B7F5C60" w14:textId="77777777" w:rsidR="00DA702B" w:rsidRPr="00DA702B" w:rsidRDefault="00DA702B" w:rsidP="00DA702B">
            <w:pPr>
              <w:rPr>
                <w:sz w:val="20"/>
                <w:szCs w:val="20"/>
              </w:rPr>
            </w:pPr>
          </w:p>
        </w:tc>
        <w:tc>
          <w:tcPr>
            <w:tcW w:w="1440" w:type="dxa"/>
          </w:tcPr>
          <w:p w14:paraId="00078F05" w14:textId="77777777" w:rsidR="00DA702B" w:rsidRPr="00DA702B" w:rsidRDefault="00DA702B" w:rsidP="00DA702B">
            <w:pPr>
              <w:rPr>
                <w:sz w:val="20"/>
                <w:szCs w:val="20"/>
              </w:rPr>
            </w:pPr>
          </w:p>
        </w:tc>
        <w:tc>
          <w:tcPr>
            <w:tcW w:w="1440" w:type="dxa"/>
          </w:tcPr>
          <w:p w14:paraId="3D065283" w14:textId="77777777" w:rsidR="00DA702B" w:rsidRPr="00DA702B" w:rsidRDefault="00DA702B" w:rsidP="00DA702B">
            <w:pPr>
              <w:rPr>
                <w:sz w:val="20"/>
                <w:szCs w:val="20"/>
              </w:rPr>
            </w:pPr>
          </w:p>
        </w:tc>
        <w:tc>
          <w:tcPr>
            <w:tcW w:w="1440" w:type="dxa"/>
          </w:tcPr>
          <w:p w14:paraId="36983F10" w14:textId="77777777" w:rsidR="00DA702B" w:rsidRPr="00DA702B" w:rsidRDefault="00DA702B" w:rsidP="00DA702B">
            <w:pPr>
              <w:rPr>
                <w:sz w:val="20"/>
                <w:szCs w:val="20"/>
              </w:rPr>
            </w:pPr>
          </w:p>
        </w:tc>
        <w:tc>
          <w:tcPr>
            <w:tcW w:w="1440" w:type="dxa"/>
          </w:tcPr>
          <w:p w14:paraId="09B81744" w14:textId="77777777" w:rsidR="00DA702B" w:rsidRPr="00DA702B" w:rsidRDefault="00DA702B" w:rsidP="00DA702B">
            <w:pPr>
              <w:rPr>
                <w:sz w:val="20"/>
                <w:szCs w:val="20"/>
              </w:rPr>
            </w:pPr>
          </w:p>
        </w:tc>
        <w:tc>
          <w:tcPr>
            <w:tcW w:w="1440" w:type="dxa"/>
          </w:tcPr>
          <w:p w14:paraId="766145FF" w14:textId="77777777" w:rsidR="00DA702B" w:rsidRPr="00DA702B" w:rsidRDefault="00DA702B" w:rsidP="00DA702B">
            <w:pPr>
              <w:rPr>
                <w:sz w:val="20"/>
                <w:szCs w:val="20"/>
              </w:rPr>
            </w:pPr>
          </w:p>
        </w:tc>
        <w:tc>
          <w:tcPr>
            <w:tcW w:w="1440" w:type="dxa"/>
          </w:tcPr>
          <w:p w14:paraId="0CC72D9E" w14:textId="77777777" w:rsidR="00DA702B" w:rsidRPr="00DA702B" w:rsidRDefault="00DA702B" w:rsidP="00DA702B">
            <w:pPr>
              <w:rPr>
                <w:sz w:val="20"/>
                <w:szCs w:val="20"/>
              </w:rPr>
            </w:pPr>
          </w:p>
        </w:tc>
      </w:tr>
      <w:tr w:rsidR="00DA702B" w:rsidRPr="00DA702B" w14:paraId="2106D1F2" w14:textId="77777777" w:rsidTr="00247007">
        <w:trPr>
          <w:cantSplit/>
          <w:trHeight w:val="346"/>
          <w:tblHeader/>
        </w:trPr>
        <w:tc>
          <w:tcPr>
            <w:tcW w:w="1440" w:type="dxa"/>
          </w:tcPr>
          <w:p w14:paraId="067CC9D3" w14:textId="77777777" w:rsidR="00DA702B" w:rsidRPr="00DA702B" w:rsidRDefault="00DA702B" w:rsidP="00DA702B">
            <w:pPr>
              <w:rPr>
                <w:sz w:val="20"/>
                <w:szCs w:val="20"/>
              </w:rPr>
            </w:pPr>
          </w:p>
        </w:tc>
        <w:tc>
          <w:tcPr>
            <w:tcW w:w="1440" w:type="dxa"/>
          </w:tcPr>
          <w:p w14:paraId="7C575DB8" w14:textId="77777777" w:rsidR="00DA702B" w:rsidRPr="00DA702B" w:rsidRDefault="00DA702B" w:rsidP="00DA702B">
            <w:pPr>
              <w:rPr>
                <w:sz w:val="20"/>
                <w:szCs w:val="20"/>
              </w:rPr>
            </w:pPr>
          </w:p>
        </w:tc>
        <w:tc>
          <w:tcPr>
            <w:tcW w:w="1440" w:type="dxa"/>
          </w:tcPr>
          <w:p w14:paraId="3EB35348" w14:textId="77777777" w:rsidR="00DA702B" w:rsidRPr="00DA702B" w:rsidRDefault="00DA702B" w:rsidP="00DA702B">
            <w:pPr>
              <w:rPr>
                <w:sz w:val="20"/>
                <w:szCs w:val="20"/>
              </w:rPr>
            </w:pPr>
          </w:p>
        </w:tc>
        <w:tc>
          <w:tcPr>
            <w:tcW w:w="1440" w:type="dxa"/>
          </w:tcPr>
          <w:p w14:paraId="008EB951" w14:textId="77777777" w:rsidR="00DA702B" w:rsidRPr="00DA702B" w:rsidRDefault="00DA702B" w:rsidP="00DA702B">
            <w:pPr>
              <w:rPr>
                <w:sz w:val="20"/>
                <w:szCs w:val="20"/>
              </w:rPr>
            </w:pPr>
          </w:p>
        </w:tc>
        <w:tc>
          <w:tcPr>
            <w:tcW w:w="1440" w:type="dxa"/>
          </w:tcPr>
          <w:p w14:paraId="7E6808D3" w14:textId="77777777" w:rsidR="00DA702B" w:rsidRPr="00DA702B" w:rsidRDefault="00DA702B" w:rsidP="00DA702B">
            <w:pPr>
              <w:rPr>
                <w:sz w:val="20"/>
                <w:szCs w:val="20"/>
              </w:rPr>
            </w:pPr>
          </w:p>
        </w:tc>
        <w:tc>
          <w:tcPr>
            <w:tcW w:w="1440" w:type="dxa"/>
          </w:tcPr>
          <w:p w14:paraId="782793E4" w14:textId="77777777" w:rsidR="00DA702B" w:rsidRPr="00DA702B" w:rsidRDefault="00DA702B" w:rsidP="00DA702B">
            <w:pPr>
              <w:rPr>
                <w:sz w:val="20"/>
                <w:szCs w:val="20"/>
              </w:rPr>
            </w:pPr>
          </w:p>
        </w:tc>
        <w:tc>
          <w:tcPr>
            <w:tcW w:w="1440" w:type="dxa"/>
          </w:tcPr>
          <w:p w14:paraId="21618658" w14:textId="77777777" w:rsidR="00DA702B" w:rsidRPr="00DA702B" w:rsidRDefault="00DA702B" w:rsidP="00DA702B">
            <w:pPr>
              <w:rPr>
                <w:sz w:val="20"/>
                <w:szCs w:val="20"/>
              </w:rPr>
            </w:pPr>
          </w:p>
        </w:tc>
        <w:tc>
          <w:tcPr>
            <w:tcW w:w="1440" w:type="dxa"/>
          </w:tcPr>
          <w:p w14:paraId="356BA2D4" w14:textId="77777777" w:rsidR="00DA702B" w:rsidRPr="00DA702B" w:rsidRDefault="00DA702B" w:rsidP="00DA702B">
            <w:pPr>
              <w:rPr>
                <w:sz w:val="20"/>
                <w:szCs w:val="20"/>
              </w:rPr>
            </w:pPr>
          </w:p>
        </w:tc>
        <w:tc>
          <w:tcPr>
            <w:tcW w:w="1440" w:type="dxa"/>
          </w:tcPr>
          <w:p w14:paraId="7D527614" w14:textId="77777777" w:rsidR="00DA702B" w:rsidRPr="00DA702B" w:rsidRDefault="00DA702B" w:rsidP="00DA702B">
            <w:pPr>
              <w:rPr>
                <w:sz w:val="20"/>
                <w:szCs w:val="20"/>
              </w:rPr>
            </w:pPr>
          </w:p>
        </w:tc>
        <w:tc>
          <w:tcPr>
            <w:tcW w:w="1440" w:type="dxa"/>
          </w:tcPr>
          <w:p w14:paraId="5F88E004" w14:textId="77777777" w:rsidR="00DA702B" w:rsidRPr="00DA702B" w:rsidRDefault="00DA702B" w:rsidP="00DA702B">
            <w:pPr>
              <w:rPr>
                <w:sz w:val="20"/>
                <w:szCs w:val="20"/>
              </w:rPr>
            </w:pPr>
          </w:p>
        </w:tc>
      </w:tr>
      <w:tr w:rsidR="00DA702B" w:rsidRPr="00DA702B" w14:paraId="1E83067B" w14:textId="77777777" w:rsidTr="00247007">
        <w:trPr>
          <w:cantSplit/>
          <w:trHeight w:val="346"/>
          <w:tblHeader/>
        </w:trPr>
        <w:tc>
          <w:tcPr>
            <w:tcW w:w="1440" w:type="dxa"/>
          </w:tcPr>
          <w:p w14:paraId="1DB0F840" w14:textId="77777777" w:rsidR="00DA702B" w:rsidRPr="00DA702B" w:rsidRDefault="00DA702B" w:rsidP="00DA702B">
            <w:pPr>
              <w:rPr>
                <w:sz w:val="20"/>
                <w:szCs w:val="20"/>
              </w:rPr>
            </w:pPr>
          </w:p>
        </w:tc>
        <w:tc>
          <w:tcPr>
            <w:tcW w:w="1440" w:type="dxa"/>
          </w:tcPr>
          <w:p w14:paraId="29305FBB" w14:textId="77777777" w:rsidR="00DA702B" w:rsidRPr="00DA702B" w:rsidRDefault="00DA702B" w:rsidP="00DA702B">
            <w:pPr>
              <w:rPr>
                <w:sz w:val="20"/>
                <w:szCs w:val="20"/>
              </w:rPr>
            </w:pPr>
          </w:p>
        </w:tc>
        <w:tc>
          <w:tcPr>
            <w:tcW w:w="1440" w:type="dxa"/>
          </w:tcPr>
          <w:p w14:paraId="3FD5506A" w14:textId="77777777" w:rsidR="00DA702B" w:rsidRPr="00DA702B" w:rsidRDefault="00DA702B" w:rsidP="00DA702B">
            <w:pPr>
              <w:rPr>
                <w:sz w:val="20"/>
                <w:szCs w:val="20"/>
              </w:rPr>
            </w:pPr>
          </w:p>
        </w:tc>
        <w:tc>
          <w:tcPr>
            <w:tcW w:w="1440" w:type="dxa"/>
          </w:tcPr>
          <w:p w14:paraId="757AD749" w14:textId="77777777" w:rsidR="00DA702B" w:rsidRPr="00DA702B" w:rsidRDefault="00DA702B" w:rsidP="00DA702B">
            <w:pPr>
              <w:rPr>
                <w:sz w:val="20"/>
                <w:szCs w:val="20"/>
              </w:rPr>
            </w:pPr>
          </w:p>
        </w:tc>
        <w:tc>
          <w:tcPr>
            <w:tcW w:w="1440" w:type="dxa"/>
          </w:tcPr>
          <w:p w14:paraId="04A1F120" w14:textId="77777777" w:rsidR="00DA702B" w:rsidRPr="00DA702B" w:rsidRDefault="00DA702B" w:rsidP="00DA702B">
            <w:pPr>
              <w:rPr>
                <w:sz w:val="20"/>
                <w:szCs w:val="20"/>
              </w:rPr>
            </w:pPr>
          </w:p>
        </w:tc>
        <w:tc>
          <w:tcPr>
            <w:tcW w:w="1440" w:type="dxa"/>
          </w:tcPr>
          <w:p w14:paraId="53AC17CA" w14:textId="77777777" w:rsidR="00DA702B" w:rsidRPr="00DA702B" w:rsidRDefault="00DA702B" w:rsidP="00DA702B">
            <w:pPr>
              <w:rPr>
                <w:sz w:val="20"/>
                <w:szCs w:val="20"/>
              </w:rPr>
            </w:pPr>
          </w:p>
        </w:tc>
        <w:tc>
          <w:tcPr>
            <w:tcW w:w="1440" w:type="dxa"/>
          </w:tcPr>
          <w:p w14:paraId="0C197EF2" w14:textId="77777777" w:rsidR="00DA702B" w:rsidRPr="00DA702B" w:rsidRDefault="00DA702B" w:rsidP="00DA702B">
            <w:pPr>
              <w:rPr>
                <w:sz w:val="20"/>
                <w:szCs w:val="20"/>
              </w:rPr>
            </w:pPr>
          </w:p>
        </w:tc>
        <w:tc>
          <w:tcPr>
            <w:tcW w:w="1440" w:type="dxa"/>
          </w:tcPr>
          <w:p w14:paraId="4927C63B" w14:textId="77777777" w:rsidR="00DA702B" w:rsidRPr="00DA702B" w:rsidRDefault="00DA702B" w:rsidP="00DA702B">
            <w:pPr>
              <w:rPr>
                <w:sz w:val="20"/>
                <w:szCs w:val="20"/>
              </w:rPr>
            </w:pPr>
          </w:p>
        </w:tc>
        <w:tc>
          <w:tcPr>
            <w:tcW w:w="1440" w:type="dxa"/>
          </w:tcPr>
          <w:p w14:paraId="15ECA7BE" w14:textId="77777777" w:rsidR="00DA702B" w:rsidRPr="00DA702B" w:rsidRDefault="00DA702B" w:rsidP="00DA702B">
            <w:pPr>
              <w:rPr>
                <w:sz w:val="20"/>
                <w:szCs w:val="20"/>
              </w:rPr>
            </w:pPr>
          </w:p>
        </w:tc>
        <w:tc>
          <w:tcPr>
            <w:tcW w:w="1440" w:type="dxa"/>
          </w:tcPr>
          <w:p w14:paraId="32EBE37D" w14:textId="77777777" w:rsidR="00DA702B" w:rsidRPr="00DA702B" w:rsidRDefault="00DA702B" w:rsidP="00DA702B">
            <w:pPr>
              <w:rPr>
                <w:sz w:val="20"/>
                <w:szCs w:val="20"/>
              </w:rPr>
            </w:pPr>
          </w:p>
        </w:tc>
      </w:tr>
      <w:tr w:rsidR="00DA702B" w:rsidRPr="00DA702B" w14:paraId="3ADA70AF" w14:textId="77777777" w:rsidTr="00247007">
        <w:trPr>
          <w:cantSplit/>
          <w:trHeight w:val="346"/>
          <w:tblHeader/>
        </w:trPr>
        <w:tc>
          <w:tcPr>
            <w:tcW w:w="1440" w:type="dxa"/>
          </w:tcPr>
          <w:p w14:paraId="239C6EE2" w14:textId="77777777" w:rsidR="00DA702B" w:rsidRPr="00DA702B" w:rsidRDefault="00DA702B" w:rsidP="00DA702B">
            <w:pPr>
              <w:rPr>
                <w:sz w:val="20"/>
                <w:szCs w:val="20"/>
              </w:rPr>
            </w:pPr>
          </w:p>
        </w:tc>
        <w:tc>
          <w:tcPr>
            <w:tcW w:w="1440" w:type="dxa"/>
          </w:tcPr>
          <w:p w14:paraId="4356918B" w14:textId="77777777" w:rsidR="00DA702B" w:rsidRPr="00DA702B" w:rsidRDefault="00DA702B" w:rsidP="00DA702B">
            <w:pPr>
              <w:rPr>
                <w:sz w:val="20"/>
                <w:szCs w:val="20"/>
              </w:rPr>
            </w:pPr>
          </w:p>
        </w:tc>
        <w:tc>
          <w:tcPr>
            <w:tcW w:w="1440" w:type="dxa"/>
          </w:tcPr>
          <w:p w14:paraId="6B1A593C" w14:textId="77777777" w:rsidR="00DA702B" w:rsidRPr="00DA702B" w:rsidRDefault="00DA702B" w:rsidP="00DA702B">
            <w:pPr>
              <w:rPr>
                <w:sz w:val="20"/>
                <w:szCs w:val="20"/>
              </w:rPr>
            </w:pPr>
          </w:p>
        </w:tc>
        <w:tc>
          <w:tcPr>
            <w:tcW w:w="1440" w:type="dxa"/>
          </w:tcPr>
          <w:p w14:paraId="6CDE4788" w14:textId="77777777" w:rsidR="00DA702B" w:rsidRPr="00DA702B" w:rsidRDefault="00DA702B" w:rsidP="00DA702B">
            <w:pPr>
              <w:rPr>
                <w:sz w:val="20"/>
                <w:szCs w:val="20"/>
              </w:rPr>
            </w:pPr>
          </w:p>
        </w:tc>
        <w:tc>
          <w:tcPr>
            <w:tcW w:w="1440" w:type="dxa"/>
          </w:tcPr>
          <w:p w14:paraId="266B2C9C" w14:textId="77777777" w:rsidR="00DA702B" w:rsidRPr="00DA702B" w:rsidRDefault="00DA702B" w:rsidP="00DA702B">
            <w:pPr>
              <w:rPr>
                <w:sz w:val="20"/>
                <w:szCs w:val="20"/>
              </w:rPr>
            </w:pPr>
          </w:p>
        </w:tc>
        <w:tc>
          <w:tcPr>
            <w:tcW w:w="1440" w:type="dxa"/>
          </w:tcPr>
          <w:p w14:paraId="789B2E6A" w14:textId="77777777" w:rsidR="00DA702B" w:rsidRPr="00DA702B" w:rsidRDefault="00DA702B" w:rsidP="00DA702B">
            <w:pPr>
              <w:rPr>
                <w:sz w:val="20"/>
                <w:szCs w:val="20"/>
              </w:rPr>
            </w:pPr>
          </w:p>
        </w:tc>
        <w:tc>
          <w:tcPr>
            <w:tcW w:w="1440" w:type="dxa"/>
          </w:tcPr>
          <w:p w14:paraId="74509F3A" w14:textId="77777777" w:rsidR="00DA702B" w:rsidRPr="00DA702B" w:rsidRDefault="00DA702B" w:rsidP="00DA702B">
            <w:pPr>
              <w:rPr>
                <w:sz w:val="20"/>
                <w:szCs w:val="20"/>
              </w:rPr>
            </w:pPr>
          </w:p>
        </w:tc>
        <w:tc>
          <w:tcPr>
            <w:tcW w:w="1440" w:type="dxa"/>
          </w:tcPr>
          <w:p w14:paraId="53F964B0" w14:textId="77777777" w:rsidR="00DA702B" w:rsidRPr="00DA702B" w:rsidRDefault="00DA702B" w:rsidP="00DA702B">
            <w:pPr>
              <w:rPr>
                <w:sz w:val="20"/>
                <w:szCs w:val="20"/>
              </w:rPr>
            </w:pPr>
          </w:p>
        </w:tc>
        <w:tc>
          <w:tcPr>
            <w:tcW w:w="1440" w:type="dxa"/>
          </w:tcPr>
          <w:p w14:paraId="21988E14" w14:textId="77777777" w:rsidR="00DA702B" w:rsidRPr="00DA702B" w:rsidRDefault="00DA702B" w:rsidP="00DA702B">
            <w:pPr>
              <w:rPr>
                <w:sz w:val="20"/>
                <w:szCs w:val="20"/>
              </w:rPr>
            </w:pPr>
          </w:p>
        </w:tc>
        <w:tc>
          <w:tcPr>
            <w:tcW w:w="1440" w:type="dxa"/>
          </w:tcPr>
          <w:p w14:paraId="748F5C72" w14:textId="77777777" w:rsidR="00DA702B" w:rsidRPr="00DA702B" w:rsidRDefault="00DA702B" w:rsidP="00DA702B">
            <w:pPr>
              <w:rPr>
                <w:sz w:val="20"/>
                <w:szCs w:val="20"/>
              </w:rPr>
            </w:pPr>
          </w:p>
        </w:tc>
      </w:tr>
      <w:tr w:rsidR="00DA702B" w:rsidRPr="00DA702B" w14:paraId="4632F8CD" w14:textId="77777777" w:rsidTr="00247007">
        <w:trPr>
          <w:cantSplit/>
          <w:trHeight w:val="346"/>
          <w:tblHeader/>
        </w:trPr>
        <w:tc>
          <w:tcPr>
            <w:tcW w:w="1440" w:type="dxa"/>
          </w:tcPr>
          <w:p w14:paraId="6921B95F" w14:textId="77777777" w:rsidR="00DA702B" w:rsidRPr="00DA702B" w:rsidRDefault="00DA702B" w:rsidP="00DA702B">
            <w:pPr>
              <w:rPr>
                <w:sz w:val="20"/>
                <w:szCs w:val="20"/>
              </w:rPr>
            </w:pPr>
          </w:p>
        </w:tc>
        <w:tc>
          <w:tcPr>
            <w:tcW w:w="1440" w:type="dxa"/>
          </w:tcPr>
          <w:p w14:paraId="4DD15C82" w14:textId="77777777" w:rsidR="00DA702B" w:rsidRPr="00DA702B" w:rsidRDefault="00DA702B" w:rsidP="00DA702B">
            <w:pPr>
              <w:rPr>
                <w:sz w:val="20"/>
                <w:szCs w:val="20"/>
              </w:rPr>
            </w:pPr>
          </w:p>
        </w:tc>
        <w:tc>
          <w:tcPr>
            <w:tcW w:w="1440" w:type="dxa"/>
          </w:tcPr>
          <w:p w14:paraId="73D6CFC0" w14:textId="77777777" w:rsidR="00DA702B" w:rsidRPr="00DA702B" w:rsidRDefault="00DA702B" w:rsidP="00DA702B">
            <w:pPr>
              <w:rPr>
                <w:sz w:val="20"/>
                <w:szCs w:val="20"/>
              </w:rPr>
            </w:pPr>
          </w:p>
        </w:tc>
        <w:tc>
          <w:tcPr>
            <w:tcW w:w="1440" w:type="dxa"/>
          </w:tcPr>
          <w:p w14:paraId="12ECE181" w14:textId="77777777" w:rsidR="00DA702B" w:rsidRPr="00DA702B" w:rsidRDefault="00DA702B" w:rsidP="00DA702B">
            <w:pPr>
              <w:rPr>
                <w:sz w:val="20"/>
                <w:szCs w:val="20"/>
              </w:rPr>
            </w:pPr>
          </w:p>
        </w:tc>
        <w:tc>
          <w:tcPr>
            <w:tcW w:w="1440" w:type="dxa"/>
          </w:tcPr>
          <w:p w14:paraId="2493C2F1" w14:textId="77777777" w:rsidR="00DA702B" w:rsidRPr="00DA702B" w:rsidRDefault="00DA702B" w:rsidP="00DA702B">
            <w:pPr>
              <w:rPr>
                <w:sz w:val="20"/>
                <w:szCs w:val="20"/>
              </w:rPr>
            </w:pPr>
          </w:p>
        </w:tc>
        <w:tc>
          <w:tcPr>
            <w:tcW w:w="1440" w:type="dxa"/>
          </w:tcPr>
          <w:p w14:paraId="53AA706A" w14:textId="77777777" w:rsidR="00DA702B" w:rsidRPr="00DA702B" w:rsidRDefault="00DA702B" w:rsidP="00DA702B">
            <w:pPr>
              <w:rPr>
                <w:sz w:val="20"/>
                <w:szCs w:val="20"/>
              </w:rPr>
            </w:pPr>
          </w:p>
        </w:tc>
        <w:tc>
          <w:tcPr>
            <w:tcW w:w="1440" w:type="dxa"/>
          </w:tcPr>
          <w:p w14:paraId="4CA77CAE" w14:textId="77777777" w:rsidR="00DA702B" w:rsidRPr="00DA702B" w:rsidRDefault="00DA702B" w:rsidP="00DA702B">
            <w:pPr>
              <w:rPr>
                <w:sz w:val="20"/>
                <w:szCs w:val="20"/>
              </w:rPr>
            </w:pPr>
          </w:p>
        </w:tc>
        <w:tc>
          <w:tcPr>
            <w:tcW w:w="1440" w:type="dxa"/>
          </w:tcPr>
          <w:p w14:paraId="506707CF" w14:textId="77777777" w:rsidR="00DA702B" w:rsidRPr="00DA702B" w:rsidRDefault="00DA702B" w:rsidP="00DA702B">
            <w:pPr>
              <w:rPr>
                <w:sz w:val="20"/>
                <w:szCs w:val="20"/>
              </w:rPr>
            </w:pPr>
          </w:p>
        </w:tc>
        <w:tc>
          <w:tcPr>
            <w:tcW w:w="1440" w:type="dxa"/>
          </w:tcPr>
          <w:p w14:paraId="1BA37FEB" w14:textId="77777777" w:rsidR="00DA702B" w:rsidRPr="00DA702B" w:rsidRDefault="00DA702B" w:rsidP="00DA702B">
            <w:pPr>
              <w:rPr>
                <w:sz w:val="20"/>
                <w:szCs w:val="20"/>
              </w:rPr>
            </w:pPr>
          </w:p>
        </w:tc>
        <w:tc>
          <w:tcPr>
            <w:tcW w:w="1440" w:type="dxa"/>
          </w:tcPr>
          <w:p w14:paraId="6A6F2D8A" w14:textId="77777777" w:rsidR="00DA702B" w:rsidRPr="00DA702B" w:rsidRDefault="00DA702B" w:rsidP="00DA702B">
            <w:pPr>
              <w:rPr>
                <w:sz w:val="20"/>
                <w:szCs w:val="20"/>
              </w:rPr>
            </w:pPr>
          </w:p>
        </w:tc>
      </w:tr>
      <w:tr w:rsidR="00DA702B" w:rsidRPr="00DA702B" w14:paraId="3BD4C53B" w14:textId="77777777" w:rsidTr="00247007">
        <w:trPr>
          <w:cantSplit/>
          <w:trHeight w:val="346"/>
          <w:tblHeader/>
        </w:trPr>
        <w:tc>
          <w:tcPr>
            <w:tcW w:w="1440" w:type="dxa"/>
          </w:tcPr>
          <w:p w14:paraId="2C7F9901" w14:textId="77777777" w:rsidR="00DA702B" w:rsidRPr="00DA702B" w:rsidRDefault="00DA702B" w:rsidP="00DA702B">
            <w:pPr>
              <w:rPr>
                <w:sz w:val="20"/>
                <w:szCs w:val="20"/>
              </w:rPr>
            </w:pPr>
          </w:p>
        </w:tc>
        <w:tc>
          <w:tcPr>
            <w:tcW w:w="1440" w:type="dxa"/>
          </w:tcPr>
          <w:p w14:paraId="361D8E9C" w14:textId="77777777" w:rsidR="00DA702B" w:rsidRPr="00DA702B" w:rsidRDefault="00DA702B" w:rsidP="00DA702B">
            <w:pPr>
              <w:rPr>
                <w:sz w:val="20"/>
                <w:szCs w:val="20"/>
              </w:rPr>
            </w:pPr>
          </w:p>
        </w:tc>
        <w:tc>
          <w:tcPr>
            <w:tcW w:w="1440" w:type="dxa"/>
          </w:tcPr>
          <w:p w14:paraId="26F4C8F2" w14:textId="77777777" w:rsidR="00DA702B" w:rsidRPr="00DA702B" w:rsidRDefault="00DA702B" w:rsidP="00DA702B">
            <w:pPr>
              <w:rPr>
                <w:sz w:val="20"/>
                <w:szCs w:val="20"/>
              </w:rPr>
            </w:pPr>
          </w:p>
        </w:tc>
        <w:tc>
          <w:tcPr>
            <w:tcW w:w="1440" w:type="dxa"/>
          </w:tcPr>
          <w:p w14:paraId="17CDB054" w14:textId="77777777" w:rsidR="00DA702B" w:rsidRPr="00DA702B" w:rsidRDefault="00DA702B" w:rsidP="00DA702B">
            <w:pPr>
              <w:rPr>
                <w:sz w:val="20"/>
                <w:szCs w:val="20"/>
              </w:rPr>
            </w:pPr>
          </w:p>
        </w:tc>
        <w:tc>
          <w:tcPr>
            <w:tcW w:w="1440" w:type="dxa"/>
          </w:tcPr>
          <w:p w14:paraId="48F233C6" w14:textId="77777777" w:rsidR="00DA702B" w:rsidRPr="00DA702B" w:rsidRDefault="00DA702B" w:rsidP="00DA702B">
            <w:pPr>
              <w:rPr>
                <w:sz w:val="20"/>
                <w:szCs w:val="20"/>
              </w:rPr>
            </w:pPr>
          </w:p>
        </w:tc>
        <w:tc>
          <w:tcPr>
            <w:tcW w:w="1440" w:type="dxa"/>
          </w:tcPr>
          <w:p w14:paraId="0EB901AF" w14:textId="77777777" w:rsidR="00DA702B" w:rsidRPr="00DA702B" w:rsidRDefault="00DA702B" w:rsidP="00DA702B">
            <w:pPr>
              <w:rPr>
                <w:sz w:val="20"/>
                <w:szCs w:val="20"/>
              </w:rPr>
            </w:pPr>
          </w:p>
        </w:tc>
        <w:tc>
          <w:tcPr>
            <w:tcW w:w="1440" w:type="dxa"/>
          </w:tcPr>
          <w:p w14:paraId="6A824660" w14:textId="77777777" w:rsidR="00DA702B" w:rsidRPr="00DA702B" w:rsidRDefault="00DA702B" w:rsidP="00DA702B">
            <w:pPr>
              <w:rPr>
                <w:sz w:val="20"/>
                <w:szCs w:val="20"/>
              </w:rPr>
            </w:pPr>
          </w:p>
        </w:tc>
        <w:tc>
          <w:tcPr>
            <w:tcW w:w="1440" w:type="dxa"/>
          </w:tcPr>
          <w:p w14:paraId="22D2CCBC" w14:textId="77777777" w:rsidR="00DA702B" w:rsidRPr="00DA702B" w:rsidRDefault="00DA702B" w:rsidP="00DA702B">
            <w:pPr>
              <w:rPr>
                <w:sz w:val="20"/>
                <w:szCs w:val="20"/>
              </w:rPr>
            </w:pPr>
          </w:p>
        </w:tc>
        <w:tc>
          <w:tcPr>
            <w:tcW w:w="1440" w:type="dxa"/>
          </w:tcPr>
          <w:p w14:paraId="0C050571" w14:textId="77777777" w:rsidR="00DA702B" w:rsidRPr="00DA702B" w:rsidRDefault="00DA702B" w:rsidP="00DA702B">
            <w:pPr>
              <w:rPr>
                <w:sz w:val="20"/>
                <w:szCs w:val="20"/>
              </w:rPr>
            </w:pPr>
          </w:p>
        </w:tc>
        <w:tc>
          <w:tcPr>
            <w:tcW w:w="1440" w:type="dxa"/>
          </w:tcPr>
          <w:p w14:paraId="37AE7BEB" w14:textId="77777777" w:rsidR="00DA702B" w:rsidRPr="00DA702B" w:rsidRDefault="00DA702B" w:rsidP="00DA702B">
            <w:pPr>
              <w:rPr>
                <w:sz w:val="20"/>
                <w:szCs w:val="20"/>
              </w:rPr>
            </w:pPr>
          </w:p>
        </w:tc>
      </w:tr>
      <w:tr w:rsidR="00DA702B" w:rsidRPr="00DA702B" w14:paraId="16F21C77" w14:textId="77777777" w:rsidTr="00247007">
        <w:trPr>
          <w:cantSplit/>
          <w:trHeight w:val="346"/>
          <w:tblHeader/>
        </w:trPr>
        <w:tc>
          <w:tcPr>
            <w:tcW w:w="1440" w:type="dxa"/>
          </w:tcPr>
          <w:p w14:paraId="6C9F409F" w14:textId="77777777" w:rsidR="00DA702B" w:rsidRPr="00DA702B" w:rsidRDefault="00DA702B" w:rsidP="00DA702B">
            <w:pPr>
              <w:rPr>
                <w:sz w:val="20"/>
                <w:szCs w:val="20"/>
              </w:rPr>
            </w:pPr>
          </w:p>
        </w:tc>
        <w:tc>
          <w:tcPr>
            <w:tcW w:w="1440" w:type="dxa"/>
          </w:tcPr>
          <w:p w14:paraId="347F0BF3" w14:textId="77777777" w:rsidR="00DA702B" w:rsidRPr="00DA702B" w:rsidRDefault="00DA702B" w:rsidP="00DA702B">
            <w:pPr>
              <w:rPr>
                <w:sz w:val="20"/>
                <w:szCs w:val="20"/>
              </w:rPr>
            </w:pPr>
          </w:p>
        </w:tc>
        <w:tc>
          <w:tcPr>
            <w:tcW w:w="1440" w:type="dxa"/>
          </w:tcPr>
          <w:p w14:paraId="08FA2A3E" w14:textId="77777777" w:rsidR="00DA702B" w:rsidRPr="00DA702B" w:rsidRDefault="00DA702B" w:rsidP="00DA702B">
            <w:pPr>
              <w:rPr>
                <w:sz w:val="20"/>
                <w:szCs w:val="20"/>
              </w:rPr>
            </w:pPr>
          </w:p>
        </w:tc>
        <w:tc>
          <w:tcPr>
            <w:tcW w:w="1440" w:type="dxa"/>
          </w:tcPr>
          <w:p w14:paraId="00335283" w14:textId="77777777" w:rsidR="00DA702B" w:rsidRPr="00DA702B" w:rsidRDefault="00DA702B" w:rsidP="00DA702B">
            <w:pPr>
              <w:rPr>
                <w:sz w:val="20"/>
                <w:szCs w:val="20"/>
              </w:rPr>
            </w:pPr>
          </w:p>
        </w:tc>
        <w:tc>
          <w:tcPr>
            <w:tcW w:w="1440" w:type="dxa"/>
          </w:tcPr>
          <w:p w14:paraId="4BF111BA" w14:textId="77777777" w:rsidR="00DA702B" w:rsidRPr="00DA702B" w:rsidRDefault="00DA702B" w:rsidP="00DA702B">
            <w:pPr>
              <w:rPr>
                <w:sz w:val="20"/>
                <w:szCs w:val="20"/>
              </w:rPr>
            </w:pPr>
          </w:p>
        </w:tc>
        <w:tc>
          <w:tcPr>
            <w:tcW w:w="1440" w:type="dxa"/>
          </w:tcPr>
          <w:p w14:paraId="7A41F7DE" w14:textId="77777777" w:rsidR="00DA702B" w:rsidRPr="00DA702B" w:rsidRDefault="00DA702B" w:rsidP="00DA702B">
            <w:pPr>
              <w:rPr>
                <w:sz w:val="20"/>
                <w:szCs w:val="20"/>
              </w:rPr>
            </w:pPr>
          </w:p>
        </w:tc>
        <w:tc>
          <w:tcPr>
            <w:tcW w:w="1440" w:type="dxa"/>
          </w:tcPr>
          <w:p w14:paraId="4FCEEC12" w14:textId="77777777" w:rsidR="00DA702B" w:rsidRPr="00DA702B" w:rsidRDefault="00DA702B" w:rsidP="00DA702B">
            <w:pPr>
              <w:rPr>
                <w:sz w:val="20"/>
                <w:szCs w:val="20"/>
              </w:rPr>
            </w:pPr>
          </w:p>
        </w:tc>
        <w:tc>
          <w:tcPr>
            <w:tcW w:w="1440" w:type="dxa"/>
          </w:tcPr>
          <w:p w14:paraId="50434215" w14:textId="77777777" w:rsidR="00DA702B" w:rsidRPr="00DA702B" w:rsidRDefault="00DA702B" w:rsidP="00DA702B">
            <w:pPr>
              <w:rPr>
                <w:sz w:val="20"/>
                <w:szCs w:val="20"/>
              </w:rPr>
            </w:pPr>
          </w:p>
        </w:tc>
        <w:tc>
          <w:tcPr>
            <w:tcW w:w="1440" w:type="dxa"/>
          </w:tcPr>
          <w:p w14:paraId="3F4B0DC6" w14:textId="77777777" w:rsidR="00DA702B" w:rsidRPr="00DA702B" w:rsidRDefault="00DA702B" w:rsidP="00DA702B">
            <w:pPr>
              <w:rPr>
                <w:sz w:val="20"/>
                <w:szCs w:val="20"/>
              </w:rPr>
            </w:pPr>
          </w:p>
        </w:tc>
        <w:tc>
          <w:tcPr>
            <w:tcW w:w="1440" w:type="dxa"/>
          </w:tcPr>
          <w:p w14:paraId="3D5C3F38" w14:textId="77777777" w:rsidR="00DA702B" w:rsidRPr="00DA702B" w:rsidRDefault="00DA702B" w:rsidP="00DA702B">
            <w:pPr>
              <w:rPr>
                <w:sz w:val="20"/>
                <w:szCs w:val="20"/>
              </w:rPr>
            </w:pPr>
          </w:p>
        </w:tc>
      </w:tr>
    </w:tbl>
    <w:p w14:paraId="262D3EAB" w14:textId="77777777" w:rsidR="00DA702B" w:rsidRPr="00DA702B" w:rsidRDefault="00DA702B" w:rsidP="00DA702B">
      <w:r w:rsidRPr="00DA702B">
        <w:br w:type="page"/>
      </w:r>
    </w:p>
    <w:p w14:paraId="30C9DCBF" w14:textId="77777777" w:rsidR="00DA702B" w:rsidRPr="00DA702B" w:rsidRDefault="00DA702B" w:rsidP="00B97482">
      <w:pPr>
        <w:widowControl w:val="0"/>
        <w:jc w:val="center"/>
        <w:rPr>
          <w:rFonts w:eastAsiaTheme="majorEastAsia"/>
          <w:b/>
          <w:bCs/>
        </w:rPr>
      </w:pPr>
      <w:r w:rsidRPr="00DA702B">
        <w:rPr>
          <w:rFonts w:eastAsiaTheme="majorEastAsia"/>
          <w:b/>
          <w:bCs/>
        </w:rPr>
        <w:lastRenderedPageBreak/>
        <w:t>Boiler/Steam Generator/Steam Generating Unit Attributes</w:t>
      </w:r>
    </w:p>
    <w:p w14:paraId="4B264ED2" w14:textId="77777777" w:rsidR="00DA702B" w:rsidRPr="00DA702B" w:rsidRDefault="00DA702B" w:rsidP="00B97482">
      <w:pPr>
        <w:widowControl w:val="0"/>
        <w:jc w:val="center"/>
        <w:rPr>
          <w:rFonts w:eastAsiaTheme="majorEastAsia"/>
          <w:b/>
          <w:bCs/>
        </w:rPr>
      </w:pPr>
      <w:r w:rsidRPr="00DA702B">
        <w:rPr>
          <w:rFonts w:eastAsiaTheme="majorEastAsia"/>
          <w:b/>
          <w:bCs/>
        </w:rPr>
        <w:t>Form OP-UA6 (Page 15)</w:t>
      </w:r>
    </w:p>
    <w:p w14:paraId="17AABA6A" w14:textId="77777777" w:rsidR="00DA702B" w:rsidRPr="00DA702B" w:rsidRDefault="00DA702B" w:rsidP="00B97482">
      <w:pPr>
        <w:widowControl w:val="0"/>
        <w:jc w:val="center"/>
        <w:rPr>
          <w:rFonts w:eastAsiaTheme="majorEastAsia"/>
          <w:b/>
          <w:bCs/>
        </w:rPr>
      </w:pPr>
      <w:r w:rsidRPr="00DA702B">
        <w:rPr>
          <w:rFonts w:eastAsiaTheme="majorEastAsia"/>
          <w:b/>
          <w:bCs/>
        </w:rPr>
        <w:t>Federal Operating Permit Program</w:t>
      </w:r>
    </w:p>
    <w:p w14:paraId="0BBE2C1C" w14:textId="77777777" w:rsidR="00DA702B" w:rsidRPr="00DA702B" w:rsidRDefault="00DA702B" w:rsidP="00B97482">
      <w:pPr>
        <w:widowControl w:val="0"/>
        <w:jc w:val="center"/>
        <w:rPr>
          <w:rFonts w:eastAsiaTheme="majorEastAsia"/>
          <w:b/>
          <w:bCs/>
        </w:rPr>
      </w:pPr>
      <w:bookmarkStart w:id="177" w:name="TBL_5c"/>
      <w:r w:rsidRPr="00DA702B">
        <w:rPr>
          <w:rFonts w:eastAsiaTheme="majorEastAsia"/>
          <w:b/>
          <w:bCs/>
        </w:rPr>
        <w:t>Table 5c</w:t>
      </w:r>
      <w:bookmarkEnd w:id="177"/>
      <w:r w:rsidRPr="00DA702B">
        <w:rPr>
          <w:rFonts w:eastAsiaTheme="majorEastAsia"/>
          <w:b/>
          <w:bCs/>
        </w:rPr>
        <w:t>:  Title 30 Texas Administrative Code Chapter 117 (30 TAC Chapter 117)</w:t>
      </w:r>
    </w:p>
    <w:p w14:paraId="19AED91C" w14:textId="77777777" w:rsidR="00DA702B" w:rsidRPr="00DA702B" w:rsidRDefault="00DA702B" w:rsidP="00B97482">
      <w:pPr>
        <w:widowControl w:val="0"/>
        <w:jc w:val="center"/>
        <w:rPr>
          <w:rFonts w:eastAsiaTheme="majorEastAsia"/>
          <w:b/>
          <w:bCs/>
        </w:rPr>
      </w:pPr>
      <w:r w:rsidRPr="00DA702B">
        <w:rPr>
          <w:rFonts w:eastAsiaTheme="majorEastAsia"/>
          <w:b/>
          <w:bCs/>
        </w:rPr>
        <w:t>Subpart B:  Combustion Control at Major Industrial, Commercial and Institutional Sources in Ozone Nonattainment Areas</w:t>
      </w:r>
    </w:p>
    <w:p w14:paraId="63CBBDB8" w14:textId="77777777" w:rsidR="00DA702B" w:rsidRPr="00DA702B" w:rsidRDefault="00DA702B" w:rsidP="00B97482">
      <w:pPr>
        <w:widowControl w:val="0"/>
        <w:jc w:val="center"/>
        <w:rPr>
          <w:rFonts w:eastAsiaTheme="majorEastAsia"/>
          <w:b/>
          <w:bCs/>
        </w:rPr>
      </w:pPr>
      <w:r w:rsidRPr="00DA702B">
        <w:rPr>
          <w:rFonts w:eastAsiaTheme="majorEastAsia"/>
          <w:b/>
          <w:bCs/>
        </w:rPr>
        <w:t>Texas Commission on Environmental Quality</w:t>
      </w:r>
    </w:p>
    <w:p w14:paraId="1A3A1EAD"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able 5c:  Title 30 Texas Administrative Code Chapter 117 (30 TAC Chapter 117)&#10;Subpart B:  Combustion Control at Major Industrial, Commercial and &#10;Institutional Sources in Ozone Nonattainment Areas&#10;"/>
      </w:tblPr>
      <w:tblGrid>
        <w:gridCol w:w="4800"/>
        <w:gridCol w:w="4800"/>
        <w:gridCol w:w="4800"/>
      </w:tblGrid>
      <w:tr w:rsidR="00DA702B" w:rsidRPr="00DA702B" w14:paraId="793E5FD8" w14:textId="77777777" w:rsidTr="00247007">
        <w:trPr>
          <w:cantSplit/>
          <w:tblHeader/>
        </w:trPr>
        <w:tc>
          <w:tcPr>
            <w:tcW w:w="4800" w:type="dxa"/>
            <w:shd w:val="clear" w:color="auto" w:fill="D9D9D9" w:themeFill="background1" w:themeFillShade="D9"/>
          </w:tcPr>
          <w:p w14:paraId="42B79CBA"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19046929"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5942F859"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71CD9B00" w14:textId="77777777" w:rsidTr="00247007">
        <w:trPr>
          <w:cantSplit/>
          <w:tblHeader/>
        </w:trPr>
        <w:tc>
          <w:tcPr>
            <w:tcW w:w="4800" w:type="dxa"/>
          </w:tcPr>
          <w:p w14:paraId="68EFE8C9" w14:textId="77777777" w:rsidR="00DA702B" w:rsidRPr="00DA702B" w:rsidRDefault="00DA702B" w:rsidP="00DA702B">
            <w:pPr>
              <w:rPr>
                <w:rFonts w:asciiTheme="majorHAnsi" w:hAnsiTheme="majorHAnsi" w:cstheme="majorHAnsi"/>
              </w:rPr>
            </w:pPr>
          </w:p>
        </w:tc>
        <w:tc>
          <w:tcPr>
            <w:tcW w:w="4800" w:type="dxa"/>
          </w:tcPr>
          <w:p w14:paraId="56C26905" w14:textId="77777777" w:rsidR="00DA702B" w:rsidRPr="00DA702B" w:rsidRDefault="00DA702B" w:rsidP="00DA702B">
            <w:pPr>
              <w:rPr>
                <w:rFonts w:asciiTheme="majorHAnsi" w:hAnsiTheme="majorHAnsi" w:cstheme="majorHAnsi"/>
              </w:rPr>
            </w:pPr>
          </w:p>
        </w:tc>
        <w:tc>
          <w:tcPr>
            <w:tcW w:w="4800" w:type="dxa"/>
          </w:tcPr>
          <w:p w14:paraId="7B43C446" w14:textId="77777777" w:rsidR="00DA702B" w:rsidRPr="00DA702B" w:rsidRDefault="00DA702B" w:rsidP="00DA702B">
            <w:pPr>
              <w:rPr>
                <w:rFonts w:asciiTheme="majorHAnsi" w:hAnsiTheme="majorHAnsi" w:cstheme="majorHAnsi"/>
              </w:rPr>
            </w:pPr>
          </w:p>
        </w:tc>
      </w:tr>
    </w:tbl>
    <w:p w14:paraId="77C04CA7"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able 5c:  Title 30 Texas Administrative Code Chapter 117 (30 TAC Chapter 117)&#10;Subpart B:  Combustion Control at Major Industrial, Commercial and &#10;Institutional Sources in Ozone Nonattainment Areas&#10;"/>
      </w:tblPr>
      <w:tblGrid>
        <w:gridCol w:w="1600"/>
        <w:gridCol w:w="1600"/>
        <w:gridCol w:w="1600"/>
        <w:gridCol w:w="1600"/>
        <w:gridCol w:w="1600"/>
        <w:gridCol w:w="1600"/>
        <w:gridCol w:w="1600"/>
        <w:gridCol w:w="1600"/>
        <w:gridCol w:w="1600"/>
      </w:tblGrid>
      <w:tr w:rsidR="00DA702B" w:rsidRPr="00DA702B" w14:paraId="3FF9033B" w14:textId="77777777" w:rsidTr="00247007">
        <w:trPr>
          <w:cantSplit/>
          <w:tblHeader/>
        </w:trPr>
        <w:tc>
          <w:tcPr>
            <w:tcW w:w="1600" w:type="dxa"/>
            <w:shd w:val="clear" w:color="auto" w:fill="D9D9D9" w:themeFill="background1" w:themeFillShade="D9"/>
            <w:vAlign w:val="center"/>
          </w:tcPr>
          <w:p w14:paraId="27499409" w14:textId="77777777" w:rsidR="00DA702B" w:rsidRPr="00DA702B" w:rsidRDefault="00DA702B" w:rsidP="00DA702B">
            <w:pPr>
              <w:jc w:val="center"/>
              <w:rPr>
                <w:sz w:val="20"/>
                <w:szCs w:val="20"/>
              </w:rPr>
            </w:pPr>
            <w:r w:rsidRPr="00DA702B">
              <w:rPr>
                <w:b/>
                <w:sz w:val="20"/>
                <w:szCs w:val="20"/>
              </w:rPr>
              <w:t>Unit ID No.</w:t>
            </w:r>
          </w:p>
        </w:tc>
        <w:tc>
          <w:tcPr>
            <w:tcW w:w="1600" w:type="dxa"/>
            <w:shd w:val="clear" w:color="auto" w:fill="D9D9D9" w:themeFill="background1" w:themeFillShade="D9"/>
            <w:vAlign w:val="center"/>
          </w:tcPr>
          <w:p w14:paraId="4CC0F05D" w14:textId="77777777" w:rsidR="00DA702B" w:rsidRPr="00DA702B" w:rsidRDefault="00DA702B" w:rsidP="00DA702B">
            <w:pPr>
              <w:jc w:val="center"/>
              <w:rPr>
                <w:sz w:val="20"/>
                <w:szCs w:val="20"/>
              </w:rPr>
            </w:pPr>
            <w:r w:rsidRPr="00DA702B">
              <w:rPr>
                <w:b/>
                <w:sz w:val="20"/>
                <w:szCs w:val="20"/>
              </w:rPr>
              <w:t>SOP Index No.</w:t>
            </w:r>
          </w:p>
        </w:tc>
        <w:tc>
          <w:tcPr>
            <w:tcW w:w="1600" w:type="dxa"/>
            <w:shd w:val="clear" w:color="auto" w:fill="D9D9D9" w:themeFill="background1" w:themeFillShade="D9"/>
            <w:vAlign w:val="center"/>
          </w:tcPr>
          <w:p w14:paraId="20D20A7C" w14:textId="77777777" w:rsidR="00DA702B" w:rsidRPr="00DA702B" w:rsidRDefault="00DA702B" w:rsidP="00DA702B">
            <w:pPr>
              <w:jc w:val="center"/>
              <w:rPr>
                <w:sz w:val="20"/>
                <w:szCs w:val="20"/>
              </w:rPr>
            </w:pPr>
            <w:r w:rsidRPr="00DA702B">
              <w:rPr>
                <w:b/>
                <w:sz w:val="20"/>
                <w:szCs w:val="20"/>
              </w:rPr>
              <w:t>Fuel Type Heat Input</w:t>
            </w:r>
          </w:p>
        </w:tc>
        <w:tc>
          <w:tcPr>
            <w:tcW w:w="1600" w:type="dxa"/>
            <w:shd w:val="clear" w:color="auto" w:fill="D9D9D9" w:themeFill="background1" w:themeFillShade="D9"/>
            <w:vAlign w:val="center"/>
          </w:tcPr>
          <w:p w14:paraId="34E903B3" w14:textId="77777777" w:rsidR="00DA702B" w:rsidRPr="00DA702B" w:rsidRDefault="00DA702B" w:rsidP="00DA702B">
            <w:pPr>
              <w:jc w:val="center"/>
              <w:rPr>
                <w:sz w:val="20"/>
                <w:szCs w:val="20"/>
              </w:rPr>
            </w:pPr>
            <w:r w:rsidRPr="00DA702B">
              <w:rPr>
                <w:b/>
                <w:sz w:val="20"/>
                <w:szCs w:val="20"/>
              </w:rPr>
              <w:t>NO</w:t>
            </w:r>
            <w:r w:rsidRPr="00DA702B">
              <w:rPr>
                <w:b/>
                <w:sz w:val="20"/>
                <w:szCs w:val="20"/>
                <w:vertAlign w:val="subscript"/>
              </w:rPr>
              <w:t>X</w:t>
            </w:r>
            <w:r w:rsidRPr="00DA702B">
              <w:rPr>
                <w:b/>
                <w:sz w:val="20"/>
                <w:szCs w:val="20"/>
              </w:rPr>
              <w:t xml:space="preserve"> Monitoring System</w:t>
            </w:r>
          </w:p>
        </w:tc>
        <w:tc>
          <w:tcPr>
            <w:tcW w:w="1600" w:type="dxa"/>
            <w:shd w:val="clear" w:color="auto" w:fill="D9D9D9" w:themeFill="background1" w:themeFillShade="D9"/>
            <w:vAlign w:val="center"/>
          </w:tcPr>
          <w:p w14:paraId="6A3FBCE5" w14:textId="77777777" w:rsidR="00DA702B" w:rsidRPr="00DA702B" w:rsidRDefault="00DA702B" w:rsidP="00DA702B">
            <w:pPr>
              <w:jc w:val="center"/>
              <w:rPr>
                <w:sz w:val="20"/>
                <w:szCs w:val="20"/>
              </w:rPr>
            </w:pPr>
            <w:r w:rsidRPr="00DA702B">
              <w:rPr>
                <w:b/>
                <w:sz w:val="20"/>
                <w:szCs w:val="20"/>
              </w:rPr>
              <w:t>Fuel Flow Monitoring</w:t>
            </w:r>
          </w:p>
        </w:tc>
        <w:tc>
          <w:tcPr>
            <w:tcW w:w="1600" w:type="dxa"/>
            <w:shd w:val="clear" w:color="auto" w:fill="D9D9D9" w:themeFill="background1" w:themeFillShade="D9"/>
            <w:vAlign w:val="center"/>
          </w:tcPr>
          <w:p w14:paraId="2A3E9959" w14:textId="77777777" w:rsidR="00DA702B" w:rsidRPr="00DA702B" w:rsidRDefault="00DA702B" w:rsidP="00DA702B">
            <w:pPr>
              <w:jc w:val="center"/>
              <w:rPr>
                <w:sz w:val="20"/>
                <w:szCs w:val="20"/>
              </w:rPr>
            </w:pPr>
            <w:r w:rsidRPr="00DA702B">
              <w:rPr>
                <w:b/>
                <w:sz w:val="20"/>
                <w:szCs w:val="20"/>
              </w:rPr>
              <w:t>CO Emission Limitation</w:t>
            </w:r>
          </w:p>
        </w:tc>
        <w:tc>
          <w:tcPr>
            <w:tcW w:w="1600" w:type="dxa"/>
            <w:shd w:val="clear" w:color="auto" w:fill="D9D9D9" w:themeFill="background1" w:themeFillShade="D9"/>
            <w:vAlign w:val="center"/>
          </w:tcPr>
          <w:p w14:paraId="3E8DC459" w14:textId="77777777" w:rsidR="00DA702B" w:rsidRPr="00DA702B" w:rsidRDefault="00DA702B" w:rsidP="00DA702B">
            <w:pPr>
              <w:jc w:val="center"/>
              <w:rPr>
                <w:sz w:val="20"/>
                <w:szCs w:val="20"/>
              </w:rPr>
            </w:pPr>
            <w:r w:rsidRPr="00DA702B">
              <w:rPr>
                <w:b/>
                <w:sz w:val="20"/>
                <w:szCs w:val="20"/>
              </w:rPr>
              <w:t>CO Monitoring System</w:t>
            </w:r>
          </w:p>
        </w:tc>
        <w:tc>
          <w:tcPr>
            <w:tcW w:w="1600" w:type="dxa"/>
            <w:shd w:val="clear" w:color="auto" w:fill="D9D9D9" w:themeFill="background1" w:themeFillShade="D9"/>
            <w:vAlign w:val="center"/>
          </w:tcPr>
          <w:p w14:paraId="5FB25C14" w14:textId="77777777" w:rsidR="00DA702B" w:rsidRPr="00DA702B" w:rsidRDefault="00DA702B" w:rsidP="00DA702B">
            <w:pPr>
              <w:jc w:val="center"/>
              <w:rPr>
                <w:sz w:val="20"/>
                <w:szCs w:val="20"/>
              </w:rPr>
            </w:pPr>
            <w:r w:rsidRPr="00DA702B">
              <w:rPr>
                <w:b/>
                <w:sz w:val="20"/>
                <w:szCs w:val="20"/>
              </w:rPr>
              <w:t>NH</w:t>
            </w:r>
            <w:r w:rsidRPr="00DA702B">
              <w:rPr>
                <w:b/>
                <w:sz w:val="20"/>
                <w:szCs w:val="20"/>
                <w:vertAlign w:val="subscript"/>
              </w:rPr>
              <w:t>3</w:t>
            </w:r>
            <w:r w:rsidRPr="00DA702B">
              <w:rPr>
                <w:b/>
                <w:sz w:val="20"/>
                <w:szCs w:val="20"/>
              </w:rPr>
              <w:t xml:space="preserve"> Emission Limitation</w:t>
            </w:r>
          </w:p>
        </w:tc>
        <w:tc>
          <w:tcPr>
            <w:tcW w:w="1600" w:type="dxa"/>
            <w:shd w:val="clear" w:color="auto" w:fill="D9D9D9" w:themeFill="background1" w:themeFillShade="D9"/>
            <w:vAlign w:val="center"/>
          </w:tcPr>
          <w:p w14:paraId="58834B9F" w14:textId="77777777" w:rsidR="00DA702B" w:rsidRPr="00DA702B" w:rsidRDefault="00DA702B" w:rsidP="00DA702B">
            <w:pPr>
              <w:jc w:val="center"/>
              <w:rPr>
                <w:sz w:val="20"/>
                <w:szCs w:val="20"/>
              </w:rPr>
            </w:pPr>
            <w:r w:rsidRPr="00DA702B">
              <w:rPr>
                <w:b/>
                <w:sz w:val="20"/>
                <w:szCs w:val="20"/>
              </w:rPr>
              <w:t>NH</w:t>
            </w:r>
            <w:r w:rsidRPr="00DA702B">
              <w:rPr>
                <w:b/>
                <w:sz w:val="20"/>
                <w:szCs w:val="20"/>
                <w:vertAlign w:val="subscript"/>
              </w:rPr>
              <w:t>3</w:t>
            </w:r>
            <w:r w:rsidRPr="00DA702B">
              <w:rPr>
                <w:b/>
                <w:sz w:val="20"/>
                <w:szCs w:val="20"/>
              </w:rPr>
              <w:t xml:space="preserve"> Emission Monitoring</w:t>
            </w:r>
          </w:p>
        </w:tc>
      </w:tr>
      <w:tr w:rsidR="00DA702B" w:rsidRPr="00DA702B" w14:paraId="2881E409" w14:textId="77777777" w:rsidTr="00247007">
        <w:trPr>
          <w:cantSplit/>
          <w:trHeight w:val="346"/>
          <w:tblHeader/>
        </w:trPr>
        <w:tc>
          <w:tcPr>
            <w:tcW w:w="1600" w:type="dxa"/>
          </w:tcPr>
          <w:p w14:paraId="4EFDBA8F" w14:textId="77777777" w:rsidR="00DA702B" w:rsidRPr="00DA702B" w:rsidRDefault="00DA702B" w:rsidP="00DA702B">
            <w:pPr>
              <w:rPr>
                <w:sz w:val="20"/>
                <w:szCs w:val="20"/>
              </w:rPr>
            </w:pPr>
          </w:p>
        </w:tc>
        <w:tc>
          <w:tcPr>
            <w:tcW w:w="1600" w:type="dxa"/>
          </w:tcPr>
          <w:p w14:paraId="76EAEEC4" w14:textId="77777777" w:rsidR="00DA702B" w:rsidRPr="00DA702B" w:rsidRDefault="00DA702B" w:rsidP="00DA702B">
            <w:pPr>
              <w:rPr>
                <w:sz w:val="20"/>
                <w:szCs w:val="20"/>
              </w:rPr>
            </w:pPr>
          </w:p>
        </w:tc>
        <w:tc>
          <w:tcPr>
            <w:tcW w:w="1600" w:type="dxa"/>
          </w:tcPr>
          <w:p w14:paraId="2DD6C7D8" w14:textId="77777777" w:rsidR="00DA702B" w:rsidRPr="00DA702B" w:rsidRDefault="00DA702B" w:rsidP="00DA702B">
            <w:pPr>
              <w:rPr>
                <w:sz w:val="20"/>
                <w:szCs w:val="20"/>
              </w:rPr>
            </w:pPr>
          </w:p>
        </w:tc>
        <w:tc>
          <w:tcPr>
            <w:tcW w:w="1600" w:type="dxa"/>
          </w:tcPr>
          <w:p w14:paraId="23BD8003" w14:textId="77777777" w:rsidR="00DA702B" w:rsidRPr="00DA702B" w:rsidRDefault="00DA702B" w:rsidP="00DA702B">
            <w:pPr>
              <w:rPr>
                <w:sz w:val="20"/>
                <w:szCs w:val="20"/>
              </w:rPr>
            </w:pPr>
          </w:p>
        </w:tc>
        <w:tc>
          <w:tcPr>
            <w:tcW w:w="1600" w:type="dxa"/>
          </w:tcPr>
          <w:p w14:paraId="37E4C510" w14:textId="77777777" w:rsidR="00DA702B" w:rsidRPr="00DA702B" w:rsidRDefault="00DA702B" w:rsidP="00DA702B">
            <w:pPr>
              <w:rPr>
                <w:sz w:val="20"/>
                <w:szCs w:val="20"/>
              </w:rPr>
            </w:pPr>
          </w:p>
        </w:tc>
        <w:tc>
          <w:tcPr>
            <w:tcW w:w="1600" w:type="dxa"/>
          </w:tcPr>
          <w:p w14:paraId="5E68C5B6" w14:textId="77777777" w:rsidR="00DA702B" w:rsidRPr="00DA702B" w:rsidRDefault="00DA702B" w:rsidP="00DA702B">
            <w:pPr>
              <w:rPr>
                <w:sz w:val="20"/>
                <w:szCs w:val="20"/>
              </w:rPr>
            </w:pPr>
          </w:p>
        </w:tc>
        <w:tc>
          <w:tcPr>
            <w:tcW w:w="1600" w:type="dxa"/>
          </w:tcPr>
          <w:p w14:paraId="7475BB38" w14:textId="77777777" w:rsidR="00DA702B" w:rsidRPr="00DA702B" w:rsidRDefault="00DA702B" w:rsidP="00DA702B">
            <w:pPr>
              <w:rPr>
                <w:sz w:val="20"/>
                <w:szCs w:val="20"/>
              </w:rPr>
            </w:pPr>
          </w:p>
        </w:tc>
        <w:tc>
          <w:tcPr>
            <w:tcW w:w="1600" w:type="dxa"/>
          </w:tcPr>
          <w:p w14:paraId="639C46F5" w14:textId="77777777" w:rsidR="00DA702B" w:rsidRPr="00DA702B" w:rsidRDefault="00DA702B" w:rsidP="00DA702B">
            <w:pPr>
              <w:rPr>
                <w:sz w:val="20"/>
                <w:szCs w:val="20"/>
              </w:rPr>
            </w:pPr>
          </w:p>
        </w:tc>
        <w:tc>
          <w:tcPr>
            <w:tcW w:w="1600" w:type="dxa"/>
          </w:tcPr>
          <w:p w14:paraId="7D5B0954" w14:textId="77777777" w:rsidR="00DA702B" w:rsidRPr="00DA702B" w:rsidRDefault="00DA702B" w:rsidP="00DA702B">
            <w:pPr>
              <w:rPr>
                <w:sz w:val="20"/>
                <w:szCs w:val="20"/>
              </w:rPr>
            </w:pPr>
          </w:p>
        </w:tc>
      </w:tr>
      <w:tr w:rsidR="00DA702B" w:rsidRPr="00DA702B" w14:paraId="08521950" w14:textId="77777777" w:rsidTr="00247007">
        <w:trPr>
          <w:cantSplit/>
          <w:trHeight w:val="346"/>
          <w:tblHeader/>
        </w:trPr>
        <w:tc>
          <w:tcPr>
            <w:tcW w:w="1600" w:type="dxa"/>
          </w:tcPr>
          <w:p w14:paraId="1A160550" w14:textId="77777777" w:rsidR="00DA702B" w:rsidRPr="00DA702B" w:rsidRDefault="00DA702B" w:rsidP="00DA702B">
            <w:pPr>
              <w:rPr>
                <w:sz w:val="20"/>
                <w:szCs w:val="20"/>
              </w:rPr>
            </w:pPr>
          </w:p>
        </w:tc>
        <w:tc>
          <w:tcPr>
            <w:tcW w:w="1600" w:type="dxa"/>
          </w:tcPr>
          <w:p w14:paraId="59D691F2" w14:textId="77777777" w:rsidR="00DA702B" w:rsidRPr="00DA702B" w:rsidRDefault="00DA702B" w:rsidP="00DA702B">
            <w:pPr>
              <w:rPr>
                <w:sz w:val="20"/>
                <w:szCs w:val="20"/>
              </w:rPr>
            </w:pPr>
          </w:p>
        </w:tc>
        <w:tc>
          <w:tcPr>
            <w:tcW w:w="1600" w:type="dxa"/>
          </w:tcPr>
          <w:p w14:paraId="17A9E07C" w14:textId="77777777" w:rsidR="00DA702B" w:rsidRPr="00DA702B" w:rsidRDefault="00DA702B" w:rsidP="00DA702B">
            <w:pPr>
              <w:rPr>
                <w:sz w:val="20"/>
                <w:szCs w:val="20"/>
              </w:rPr>
            </w:pPr>
          </w:p>
        </w:tc>
        <w:tc>
          <w:tcPr>
            <w:tcW w:w="1600" w:type="dxa"/>
          </w:tcPr>
          <w:p w14:paraId="6B15BA47" w14:textId="77777777" w:rsidR="00DA702B" w:rsidRPr="00DA702B" w:rsidRDefault="00DA702B" w:rsidP="00DA702B">
            <w:pPr>
              <w:rPr>
                <w:sz w:val="20"/>
                <w:szCs w:val="20"/>
              </w:rPr>
            </w:pPr>
          </w:p>
        </w:tc>
        <w:tc>
          <w:tcPr>
            <w:tcW w:w="1600" w:type="dxa"/>
          </w:tcPr>
          <w:p w14:paraId="3B982FB4" w14:textId="77777777" w:rsidR="00DA702B" w:rsidRPr="00DA702B" w:rsidRDefault="00DA702B" w:rsidP="00DA702B">
            <w:pPr>
              <w:rPr>
                <w:sz w:val="20"/>
                <w:szCs w:val="20"/>
              </w:rPr>
            </w:pPr>
          </w:p>
        </w:tc>
        <w:tc>
          <w:tcPr>
            <w:tcW w:w="1600" w:type="dxa"/>
          </w:tcPr>
          <w:p w14:paraId="586AD43F" w14:textId="77777777" w:rsidR="00DA702B" w:rsidRPr="00DA702B" w:rsidRDefault="00DA702B" w:rsidP="00DA702B">
            <w:pPr>
              <w:rPr>
                <w:sz w:val="20"/>
                <w:szCs w:val="20"/>
              </w:rPr>
            </w:pPr>
          </w:p>
        </w:tc>
        <w:tc>
          <w:tcPr>
            <w:tcW w:w="1600" w:type="dxa"/>
          </w:tcPr>
          <w:p w14:paraId="155D5626" w14:textId="77777777" w:rsidR="00DA702B" w:rsidRPr="00DA702B" w:rsidRDefault="00DA702B" w:rsidP="00DA702B">
            <w:pPr>
              <w:rPr>
                <w:sz w:val="20"/>
                <w:szCs w:val="20"/>
              </w:rPr>
            </w:pPr>
          </w:p>
        </w:tc>
        <w:tc>
          <w:tcPr>
            <w:tcW w:w="1600" w:type="dxa"/>
          </w:tcPr>
          <w:p w14:paraId="38BE9A71" w14:textId="77777777" w:rsidR="00DA702B" w:rsidRPr="00DA702B" w:rsidRDefault="00DA702B" w:rsidP="00DA702B">
            <w:pPr>
              <w:rPr>
                <w:sz w:val="20"/>
                <w:szCs w:val="20"/>
              </w:rPr>
            </w:pPr>
          </w:p>
        </w:tc>
        <w:tc>
          <w:tcPr>
            <w:tcW w:w="1600" w:type="dxa"/>
          </w:tcPr>
          <w:p w14:paraId="0337A218" w14:textId="77777777" w:rsidR="00DA702B" w:rsidRPr="00DA702B" w:rsidRDefault="00DA702B" w:rsidP="00DA702B">
            <w:pPr>
              <w:rPr>
                <w:sz w:val="20"/>
                <w:szCs w:val="20"/>
              </w:rPr>
            </w:pPr>
          </w:p>
        </w:tc>
      </w:tr>
      <w:tr w:rsidR="00DA702B" w:rsidRPr="00DA702B" w14:paraId="7DFCB4A6" w14:textId="77777777" w:rsidTr="00247007">
        <w:trPr>
          <w:cantSplit/>
          <w:trHeight w:val="346"/>
          <w:tblHeader/>
        </w:trPr>
        <w:tc>
          <w:tcPr>
            <w:tcW w:w="1600" w:type="dxa"/>
          </w:tcPr>
          <w:p w14:paraId="50A1B415" w14:textId="77777777" w:rsidR="00DA702B" w:rsidRPr="00DA702B" w:rsidRDefault="00DA702B" w:rsidP="00DA702B">
            <w:pPr>
              <w:rPr>
                <w:sz w:val="20"/>
                <w:szCs w:val="20"/>
              </w:rPr>
            </w:pPr>
          </w:p>
        </w:tc>
        <w:tc>
          <w:tcPr>
            <w:tcW w:w="1600" w:type="dxa"/>
          </w:tcPr>
          <w:p w14:paraId="668665EE" w14:textId="77777777" w:rsidR="00DA702B" w:rsidRPr="00DA702B" w:rsidRDefault="00DA702B" w:rsidP="00DA702B">
            <w:pPr>
              <w:rPr>
                <w:sz w:val="20"/>
                <w:szCs w:val="20"/>
              </w:rPr>
            </w:pPr>
          </w:p>
        </w:tc>
        <w:tc>
          <w:tcPr>
            <w:tcW w:w="1600" w:type="dxa"/>
          </w:tcPr>
          <w:p w14:paraId="4D0143FC" w14:textId="77777777" w:rsidR="00DA702B" w:rsidRPr="00DA702B" w:rsidRDefault="00DA702B" w:rsidP="00DA702B">
            <w:pPr>
              <w:rPr>
                <w:sz w:val="20"/>
                <w:szCs w:val="20"/>
              </w:rPr>
            </w:pPr>
          </w:p>
        </w:tc>
        <w:tc>
          <w:tcPr>
            <w:tcW w:w="1600" w:type="dxa"/>
          </w:tcPr>
          <w:p w14:paraId="449A034C" w14:textId="77777777" w:rsidR="00DA702B" w:rsidRPr="00DA702B" w:rsidRDefault="00DA702B" w:rsidP="00DA702B">
            <w:pPr>
              <w:rPr>
                <w:sz w:val="20"/>
                <w:szCs w:val="20"/>
              </w:rPr>
            </w:pPr>
          </w:p>
        </w:tc>
        <w:tc>
          <w:tcPr>
            <w:tcW w:w="1600" w:type="dxa"/>
          </w:tcPr>
          <w:p w14:paraId="637D51E6" w14:textId="77777777" w:rsidR="00DA702B" w:rsidRPr="00DA702B" w:rsidRDefault="00DA702B" w:rsidP="00DA702B">
            <w:pPr>
              <w:rPr>
                <w:sz w:val="20"/>
                <w:szCs w:val="20"/>
              </w:rPr>
            </w:pPr>
          </w:p>
        </w:tc>
        <w:tc>
          <w:tcPr>
            <w:tcW w:w="1600" w:type="dxa"/>
          </w:tcPr>
          <w:p w14:paraId="59BBD5D8" w14:textId="77777777" w:rsidR="00DA702B" w:rsidRPr="00DA702B" w:rsidRDefault="00DA702B" w:rsidP="00DA702B">
            <w:pPr>
              <w:rPr>
                <w:sz w:val="20"/>
                <w:szCs w:val="20"/>
              </w:rPr>
            </w:pPr>
          </w:p>
        </w:tc>
        <w:tc>
          <w:tcPr>
            <w:tcW w:w="1600" w:type="dxa"/>
          </w:tcPr>
          <w:p w14:paraId="1607B1E3" w14:textId="77777777" w:rsidR="00DA702B" w:rsidRPr="00DA702B" w:rsidRDefault="00DA702B" w:rsidP="00DA702B">
            <w:pPr>
              <w:rPr>
                <w:sz w:val="20"/>
                <w:szCs w:val="20"/>
              </w:rPr>
            </w:pPr>
          </w:p>
        </w:tc>
        <w:tc>
          <w:tcPr>
            <w:tcW w:w="1600" w:type="dxa"/>
          </w:tcPr>
          <w:p w14:paraId="404012F4" w14:textId="77777777" w:rsidR="00DA702B" w:rsidRPr="00DA702B" w:rsidRDefault="00DA702B" w:rsidP="00DA702B">
            <w:pPr>
              <w:rPr>
                <w:sz w:val="20"/>
                <w:szCs w:val="20"/>
              </w:rPr>
            </w:pPr>
          </w:p>
        </w:tc>
        <w:tc>
          <w:tcPr>
            <w:tcW w:w="1600" w:type="dxa"/>
          </w:tcPr>
          <w:p w14:paraId="7523EB09" w14:textId="77777777" w:rsidR="00DA702B" w:rsidRPr="00DA702B" w:rsidRDefault="00DA702B" w:rsidP="00DA702B">
            <w:pPr>
              <w:rPr>
                <w:sz w:val="20"/>
                <w:szCs w:val="20"/>
              </w:rPr>
            </w:pPr>
          </w:p>
        </w:tc>
      </w:tr>
      <w:tr w:rsidR="00DA702B" w:rsidRPr="00DA702B" w14:paraId="3C5FF9F3" w14:textId="77777777" w:rsidTr="00247007">
        <w:trPr>
          <w:cantSplit/>
          <w:trHeight w:val="346"/>
          <w:tblHeader/>
        </w:trPr>
        <w:tc>
          <w:tcPr>
            <w:tcW w:w="1600" w:type="dxa"/>
          </w:tcPr>
          <w:p w14:paraId="62AB3239" w14:textId="77777777" w:rsidR="00DA702B" w:rsidRPr="00DA702B" w:rsidRDefault="00DA702B" w:rsidP="00DA702B">
            <w:pPr>
              <w:rPr>
                <w:sz w:val="20"/>
                <w:szCs w:val="20"/>
              </w:rPr>
            </w:pPr>
          </w:p>
        </w:tc>
        <w:tc>
          <w:tcPr>
            <w:tcW w:w="1600" w:type="dxa"/>
          </w:tcPr>
          <w:p w14:paraId="5CB2A087" w14:textId="77777777" w:rsidR="00DA702B" w:rsidRPr="00DA702B" w:rsidRDefault="00DA702B" w:rsidP="00DA702B">
            <w:pPr>
              <w:rPr>
                <w:sz w:val="20"/>
                <w:szCs w:val="20"/>
              </w:rPr>
            </w:pPr>
          </w:p>
        </w:tc>
        <w:tc>
          <w:tcPr>
            <w:tcW w:w="1600" w:type="dxa"/>
          </w:tcPr>
          <w:p w14:paraId="4BC5437E" w14:textId="77777777" w:rsidR="00DA702B" w:rsidRPr="00DA702B" w:rsidRDefault="00DA702B" w:rsidP="00DA702B">
            <w:pPr>
              <w:rPr>
                <w:sz w:val="20"/>
                <w:szCs w:val="20"/>
              </w:rPr>
            </w:pPr>
          </w:p>
        </w:tc>
        <w:tc>
          <w:tcPr>
            <w:tcW w:w="1600" w:type="dxa"/>
          </w:tcPr>
          <w:p w14:paraId="69BB1A8D" w14:textId="77777777" w:rsidR="00DA702B" w:rsidRPr="00DA702B" w:rsidRDefault="00DA702B" w:rsidP="00DA702B">
            <w:pPr>
              <w:rPr>
                <w:sz w:val="20"/>
                <w:szCs w:val="20"/>
              </w:rPr>
            </w:pPr>
          </w:p>
        </w:tc>
        <w:tc>
          <w:tcPr>
            <w:tcW w:w="1600" w:type="dxa"/>
          </w:tcPr>
          <w:p w14:paraId="49F69500" w14:textId="77777777" w:rsidR="00DA702B" w:rsidRPr="00DA702B" w:rsidRDefault="00DA702B" w:rsidP="00DA702B">
            <w:pPr>
              <w:rPr>
                <w:sz w:val="20"/>
                <w:szCs w:val="20"/>
              </w:rPr>
            </w:pPr>
          </w:p>
        </w:tc>
        <w:tc>
          <w:tcPr>
            <w:tcW w:w="1600" w:type="dxa"/>
          </w:tcPr>
          <w:p w14:paraId="13BEEB8F" w14:textId="77777777" w:rsidR="00DA702B" w:rsidRPr="00DA702B" w:rsidRDefault="00DA702B" w:rsidP="00DA702B">
            <w:pPr>
              <w:rPr>
                <w:sz w:val="20"/>
                <w:szCs w:val="20"/>
              </w:rPr>
            </w:pPr>
          </w:p>
        </w:tc>
        <w:tc>
          <w:tcPr>
            <w:tcW w:w="1600" w:type="dxa"/>
          </w:tcPr>
          <w:p w14:paraId="1E5F762A" w14:textId="77777777" w:rsidR="00DA702B" w:rsidRPr="00DA702B" w:rsidRDefault="00DA702B" w:rsidP="00DA702B">
            <w:pPr>
              <w:rPr>
                <w:sz w:val="20"/>
                <w:szCs w:val="20"/>
              </w:rPr>
            </w:pPr>
          </w:p>
        </w:tc>
        <w:tc>
          <w:tcPr>
            <w:tcW w:w="1600" w:type="dxa"/>
          </w:tcPr>
          <w:p w14:paraId="4F44D8FD" w14:textId="77777777" w:rsidR="00DA702B" w:rsidRPr="00DA702B" w:rsidRDefault="00DA702B" w:rsidP="00DA702B">
            <w:pPr>
              <w:rPr>
                <w:sz w:val="20"/>
                <w:szCs w:val="20"/>
              </w:rPr>
            </w:pPr>
          </w:p>
        </w:tc>
        <w:tc>
          <w:tcPr>
            <w:tcW w:w="1600" w:type="dxa"/>
          </w:tcPr>
          <w:p w14:paraId="1F453070" w14:textId="77777777" w:rsidR="00DA702B" w:rsidRPr="00DA702B" w:rsidRDefault="00DA702B" w:rsidP="00DA702B">
            <w:pPr>
              <w:rPr>
                <w:sz w:val="20"/>
                <w:szCs w:val="20"/>
              </w:rPr>
            </w:pPr>
          </w:p>
        </w:tc>
      </w:tr>
      <w:tr w:rsidR="00DA702B" w:rsidRPr="00DA702B" w14:paraId="67FDE281" w14:textId="77777777" w:rsidTr="00247007">
        <w:trPr>
          <w:cantSplit/>
          <w:trHeight w:val="346"/>
          <w:tblHeader/>
        </w:trPr>
        <w:tc>
          <w:tcPr>
            <w:tcW w:w="1600" w:type="dxa"/>
          </w:tcPr>
          <w:p w14:paraId="4904C122" w14:textId="77777777" w:rsidR="00DA702B" w:rsidRPr="00DA702B" w:rsidRDefault="00DA702B" w:rsidP="00DA702B">
            <w:pPr>
              <w:rPr>
                <w:sz w:val="20"/>
                <w:szCs w:val="20"/>
              </w:rPr>
            </w:pPr>
          </w:p>
        </w:tc>
        <w:tc>
          <w:tcPr>
            <w:tcW w:w="1600" w:type="dxa"/>
          </w:tcPr>
          <w:p w14:paraId="567217BB" w14:textId="77777777" w:rsidR="00DA702B" w:rsidRPr="00DA702B" w:rsidRDefault="00DA702B" w:rsidP="00DA702B">
            <w:pPr>
              <w:rPr>
                <w:sz w:val="20"/>
                <w:szCs w:val="20"/>
              </w:rPr>
            </w:pPr>
          </w:p>
        </w:tc>
        <w:tc>
          <w:tcPr>
            <w:tcW w:w="1600" w:type="dxa"/>
          </w:tcPr>
          <w:p w14:paraId="72054DBA" w14:textId="77777777" w:rsidR="00DA702B" w:rsidRPr="00DA702B" w:rsidRDefault="00DA702B" w:rsidP="00DA702B">
            <w:pPr>
              <w:rPr>
                <w:sz w:val="20"/>
                <w:szCs w:val="20"/>
              </w:rPr>
            </w:pPr>
          </w:p>
        </w:tc>
        <w:tc>
          <w:tcPr>
            <w:tcW w:w="1600" w:type="dxa"/>
          </w:tcPr>
          <w:p w14:paraId="5083CEE2" w14:textId="77777777" w:rsidR="00DA702B" w:rsidRPr="00DA702B" w:rsidRDefault="00DA702B" w:rsidP="00DA702B">
            <w:pPr>
              <w:rPr>
                <w:sz w:val="20"/>
                <w:szCs w:val="20"/>
              </w:rPr>
            </w:pPr>
          </w:p>
        </w:tc>
        <w:tc>
          <w:tcPr>
            <w:tcW w:w="1600" w:type="dxa"/>
          </w:tcPr>
          <w:p w14:paraId="6BA486BF" w14:textId="77777777" w:rsidR="00DA702B" w:rsidRPr="00DA702B" w:rsidRDefault="00DA702B" w:rsidP="00DA702B">
            <w:pPr>
              <w:rPr>
                <w:sz w:val="20"/>
                <w:szCs w:val="20"/>
              </w:rPr>
            </w:pPr>
          </w:p>
        </w:tc>
        <w:tc>
          <w:tcPr>
            <w:tcW w:w="1600" w:type="dxa"/>
          </w:tcPr>
          <w:p w14:paraId="21D234A4" w14:textId="77777777" w:rsidR="00DA702B" w:rsidRPr="00DA702B" w:rsidRDefault="00DA702B" w:rsidP="00DA702B">
            <w:pPr>
              <w:rPr>
                <w:sz w:val="20"/>
                <w:szCs w:val="20"/>
              </w:rPr>
            </w:pPr>
          </w:p>
        </w:tc>
        <w:tc>
          <w:tcPr>
            <w:tcW w:w="1600" w:type="dxa"/>
          </w:tcPr>
          <w:p w14:paraId="183A36BF" w14:textId="77777777" w:rsidR="00DA702B" w:rsidRPr="00DA702B" w:rsidRDefault="00DA702B" w:rsidP="00DA702B">
            <w:pPr>
              <w:rPr>
                <w:sz w:val="20"/>
                <w:szCs w:val="20"/>
              </w:rPr>
            </w:pPr>
          </w:p>
        </w:tc>
        <w:tc>
          <w:tcPr>
            <w:tcW w:w="1600" w:type="dxa"/>
          </w:tcPr>
          <w:p w14:paraId="0C52F596" w14:textId="77777777" w:rsidR="00DA702B" w:rsidRPr="00DA702B" w:rsidRDefault="00DA702B" w:rsidP="00DA702B">
            <w:pPr>
              <w:rPr>
                <w:sz w:val="20"/>
                <w:szCs w:val="20"/>
              </w:rPr>
            </w:pPr>
          </w:p>
        </w:tc>
        <w:tc>
          <w:tcPr>
            <w:tcW w:w="1600" w:type="dxa"/>
          </w:tcPr>
          <w:p w14:paraId="65A437CF" w14:textId="77777777" w:rsidR="00DA702B" w:rsidRPr="00DA702B" w:rsidRDefault="00DA702B" w:rsidP="00DA702B">
            <w:pPr>
              <w:rPr>
                <w:sz w:val="20"/>
                <w:szCs w:val="20"/>
              </w:rPr>
            </w:pPr>
          </w:p>
        </w:tc>
      </w:tr>
      <w:tr w:rsidR="00DA702B" w:rsidRPr="00DA702B" w14:paraId="5E6B20A8" w14:textId="77777777" w:rsidTr="00247007">
        <w:trPr>
          <w:cantSplit/>
          <w:trHeight w:val="346"/>
          <w:tblHeader/>
        </w:trPr>
        <w:tc>
          <w:tcPr>
            <w:tcW w:w="1600" w:type="dxa"/>
          </w:tcPr>
          <w:p w14:paraId="11E754B2" w14:textId="77777777" w:rsidR="00DA702B" w:rsidRPr="00DA702B" w:rsidRDefault="00DA702B" w:rsidP="00DA702B">
            <w:pPr>
              <w:rPr>
                <w:sz w:val="20"/>
                <w:szCs w:val="20"/>
              </w:rPr>
            </w:pPr>
          </w:p>
        </w:tc>
        <w:tc>
          <w:tcPr>
            <w:tcW w:w="1600" w:type="dxa"/>
          </w:tcPr>
          <w:p w14:paraId="72A8DE5E" w14:textId="77777777" w:rsidR="00DA702B" w:rsidRPr="00DA702B" w:rsidRDefault="00DA702B" w:rsidP="00DA702B">
            <w:pPr>
              <w:rPr>
                <w:sz w:val="20"/>
                <w:szCs w:val="20"/>
              </w:rPr>
            </w:pPr>
          </w:p>
        </w:tc>
        <w:tc>
          <w:tcPr>
            <w:tcW w:w="1600" w:type="dxa"/>
          </w:tcPr>
          <w:p w14:paraId="5367B4B5" w14:textId="77777777" w:rsidR="00DA702B" w:rsidRPr="00DA702B" w:rsidRDefault="00DA702B" w:rsidP="00DA702B">
            <w:pPr>
              <w:rPr>
                <w:sz w:val="20"/>
                <w:szCs w:val="20"/>
              </w:rPr>
            </w:pPr>
          </w:p>
        </w:tc>
        <w:tc>
          <w:tcPr>
            <w:tcW w:w="1600" w:type="dxa"/>
          </w:tcPr>
          <w:p w14:paraId="4C8C67A2" w14:textId="77777777" w:rsidR="00DA702B" w:rsidRPr="00DA702B" w:rsidRDefault="00DA702B" w:rsidP="00DA702B">
            <w:pPr>
              <w:rPr>
                <w:sz w:val="20"/>
                <w:szCs w:val="20"/>
              </w:rPr>
            </w:pPr>
          </w:p>
        </w:tc>
        <w:tc>
          <w:tcPr>
            <w:tcW w:w="1600" w:type="dxa"/>
          </w:tcPr>
          <w:p w14:paraId="41709090" w14:textId="77777777" w:rsidR="00DA702B" w:rsidRPr="00DA702B" w:rsidRDefault="00DA702B" w:rsidP="00DA702B">
            <w:pPr>
              <w:rPr>
                <w:sz w:val="20"/>
                <w:szCs w:val="20"/>
              </w:rPr>
            </w:pPr>
          </w:p>
        </w:tc>
        <w:tc>
          <w:tcPr>
            <w:tcW w:w="1600" w:type="dxa"/>
          </w:tcPr>
          <w:p w14:paraId="1666AE92" w14:textId="77777777" w:rsidR="00DA702B" w:rsidRPr="00DA702B" w:rsidRDefault="00DA702B" w:rsidP="00DA702B">
            <w:pPr>
              <w:rPr>
                <w:sz w:val="20"/>
                <w:szCs w:val="20"/>
              </w:rPr>
            </w:pPr>
          </w:p>
        </w:tc>
        <w:tc>
          <w:tcPr>
            <w:tcW w:w="1600" w:type="dxa"/>
          </w:tcPr>
          <w:p w14:paraId="7C43CABC" w14:textId="77777777" w:rsidR="00DA702B" w:rsidRPr="00DA702B" w:rsidRDefault="00DA702B" w:rsidP="00DA702B">
            <w:pPr>
              <w:rPr>
                <w:sz w:val="20"/>
                <w:szCs w:val="20"/>
              </w:rPr>
            </w:pPr>
          </w:p>
        </w:tc>
        <w:tc>
          <w:tcPr>
            <w:tcW w:w="1600" w:type="dxa"/>
          </w:tcPr>
          <w:p w14:paraId="4FC59B3D" w14:textId="77777777" w:rsidR="00DA702B" w:rsidRPr="00DA702B" w:rsidRDefault="00DA702B" w:rsidP="00DA702B">
            <w:pPr>
              <w:rPr>
                <w:sz w:val="20"/>
                <w:szCs w:val="20"/>
              </w:rPr>
            </w:pPr>
          </w:p>
        </w:tc>
        <w:tc>
          <w:tcPr>
            <w:tcW w:w="1600" w:type="dxa"/>
          </w:tcPr>
          <w:p w14:paraId="6AE14042" w14:textId="77777777" w:rsidR="00DA702B" w:rsidRPr="00DA702B" w:rsidRDefault="00DA702B" w:rsidP="00DA702B">
            <w:pPr>
              <w:rPr>
                <w:sz w:val="20"/>
                <w:szCs w:val="20"/>
              </w:rPr>
            </w:pPr>
          </w:p>
        </w:tc>
      </w:tr>
      <w:tr w:rsidR="00DA702B" w:rsidRPr="00DA702B" w14:paraId="7B6814D1" w14:textId="77777777" w:rsidTr="00247007">
        <w:trPr>
          <w:cantSplit/>
          <w:trHeight w:val="346"/>
          <w:tblHeader/>
        </w:trPr>
        <w:tc>
          <w:tcPr>
            <w:tcW w:w="1600" w:type="dxa"/>
          </w:tcPr>
          <w:p w14:paraId="4ED0B076" w14:textId="77777777" w:rsidR="00DA702B" w:rsidRPr="00DA702B" w:rsidRDefault="00DA702B" w:rsidP="00DA702B">
            <w:pPr>
              <w:rPr>
                <w:sz w:val="20"/>
                <w:szCs w:val="20"/>
              </w:rPr>
            </w:pPr>
          </w:p>
        </w:tc>
        <w:tc>
          <w:tcPr>
            <w:tcW w:w="1600" w:type="dxa"/>
          </w:tcPr>
          <w:p w14:paraId="370E7A21" w14:textId="77777777" w:rsidR="00DA702B" w:rsidRPr="00DA702B" w:rsidRDefault="00DA702B" w:rsidP="00DA702B">
            <w:pPr>
              <w:rPr>
                <w:sz w:val="20"/>
                <w:szCs w:val="20"/>
              </w:rPr>
            </w:pPr>
          </w:p>
        </w:tc>
        <w:tc>
          <w:tcPr>
            <w:tcW w:w="1600" w:type="dxa"/>
          </w:tcPr>
          <w:p w14:paraId="417026F8" w14:textId="77777777" w:rsidR="00DA702B" w:rsidRPr="00DA702B" w:rsidRDefault="00DA702B" w:rsidP="00DA702B">
            <w:pPr>
              <w:rPr>
                <w:sz w:val="20"/>
                <w:szCs w:val="20"/>
              </w:rPr>
            </w:pPr>
          </w:p>
        </w:tc>
        <w:tc>
          <w:tcPr>
            <w:tcW w:w="1600" w:type="dxa"/>
          </w:tcPr>
          <w:p w14:paraId="0693CFEA" w14:textId="77777777" w:rsidR="00DA702B" w:rsidRPr="00DA702B" w:rsidRDefault="00DA702B" w:rsidP="00DA702B">
            <w:pPr>
              <w:rPr>
                <w:sz w:val="20"/>
                <w:szCs w:val="20"/>
              </w:rPr>
            </w:pPr>
          </w:p>
        </w:tc>
        <w:tc>
          <w:tcPr>
            <w:tcW w:w="1600" w:type="dxa"/>
          </w:tcPr>
          <w:p w14:paraId="6F9BF2FC" w14:textId="77777777" w:rsidR="00DA702B" w:rsidRPr="00DA702B" w:rsidRDefault="00DA702B" w:rsidP="00DA702B">
            <w:pPr>
              <w:rPr>
                <w:sz w:val="20"/>
                <w:szCs w:val="20"/>
              </w:rPr>
            </w:pPr>
          </w:p>
        </w:tc>
        <w:tc>
          <w:tcPr>
            <w:tcW w:w="1600" w:type="dxa"/>
          </w:tcPr>
          <w:p w14:paraId="4CC5A97A" w14:textId="77777777" w:rsidR="00DA702B" w:rsidRPr="00DA702B" w:rsidRDefault="00DA702B" w:rsidP="00DA702B">
            <w:pPr>
              <w:rPr>
                <w:sz w:val="20"/>
                <w:szCs w:val="20"/>
              </w:rPr>
            </w:pPr>
          </w:p>
        </w:tc>
        <w:tc>
          <w:tcPr>
            <w:tcW w:w="1600" w:type="dxa"/>
          </w:tcPr>
          <w:p w14:paraId="560397F1" w14:textId="77777777" w:rsidR="00DA702B" w:rsidRPr="00DA702B" w:rsidRDefault="00DA702B" w:rsidP="00DA702B">
            <w:pPr>
              <w:rPr>
                <w:sz w:val="20"/>
                <w:szCs w:val="20"/>
              </w:rPr>
            </w:pPr>
          </w:p>
        </w:tc>
        <w:tc>
          <w:tcPr>
            <w:tcW w:w="1600" w:type="dxa"/>
          </w:tcPr>
          <w:p w14:paraId="62E8E498" w14:textId="77777777" w:rsidR="00DA702B" w:rsidRPr="00DA702B" w:rsidRDefault="00DA702B" w:rsidP="00DA702B">
            <w:pPr>
              <w:rPr>
                <w:sz w:val="20"/>
                <w:szCs w:val="20"/>
              </w:rPr>
            </w:pPr>
          </w:p>
        </w:tc>
        <w:tc>
          <w:tcPr>
            <w:tcW w:w="1600" w:type="dxa"/>
          </w:tcPr>
          <w:p w14:paraId="1B969894" w14:textId="77777777" w:rsidR="00DA702B" w:rsidRPr="00DA702B" w:rsidRDefault="00DA702B" w:rsidP="00DA702B">
            <w:pPr>
              <w:rPr>
                <w:sz w:val="20"/>
                <w:szCs w:val="20"/>
              </w:rPr>
            </w:pPr>
          </w:p>
        </w:tc>
      </w:tr>
      <w:tr w:rsidR="00DA702B" w:rsidRPr="00DA702B" w14:paraId="052FB57D" w14:textId="77777777" w:rsidTr="00247007">
        <w:trPr>
          <w:cantSplit/>
          <w:trHeight w:val="346"/>
          <w:tblHeader/>
        </w:trPr>
        <w:tc>
          <w:tcPr>
            <w:tcW w:w="1600" w:type="dxa"/>
          </w:tcPr>
          <w:p w14:paraId="62F398D3" w14:textId="77777777" w:rsidR="00DA702B" w:rsidRPr="00DA702B" w:rsidRDefault="00DA702B" w:rsidP="00DA702B">
            <w:pPr>
              <w:rPr>
                <w:sz w:val="20"/>
                <w:szCs w:val="20"/>
              </w:rPr>
            </w:pPr>
          </w:p>
        </w:tc>
        <w:tc>
          <w:tcPr>
            <w:tcW w:w="1600" w:type="dxa"/>
          </w:tcPr>
          <w:p w14:paraId="363ABD15" w14:textId="77777777" w:rsidR="00DA702B" w:rsidRPr="00DA702B" w:rsidRDefault="00DA702B" w:rsidP="00DA702B">
            <w:pPr>
              <w:rPr>
                <w:sz w:val="20"/>
                <w:szCs w:val="20"/>
              </w:rPr>
            </w:pPr>
          </w:p>
        </w:tc>
        <w:tc>
          <w:tcPr>
            <w:tcW w:w="1600" w:type="dxa"/>
          </w:tcPr>
          <w:p w14:paraId="06748DB9" w14:textId="77777777" w:rsidR="00DA702B" w:rsidRPr="00DA702B" w:rsidRDefault="00DA702B" w:rsidP="00DA702B">
            <w:pPr>
              <w:rPr>
                <w:sz w:val="20"/>
                <w:szCs w:val="20"/>
              </w:rPr>
            </w:pPr>
          </w:p>
        </w:tc>
        <w:tc>
          <w:tcPr>
            <w:tcW w:w="1600" w:type="dxa"/>
          </w:tcPr>
          <w:p w14:paraId="406DA36F" w14:textId="77777777" w:rsidR="00DA702B" w:rsidRPr="00DA702B" w:rsidRDefault="00DA702B" w:rsidP="00DA702B">
            <w:pPr>
              <w:rPr>
                <w:sz w:val="20"/>
                <w:szCs w:val="20"/>
              </w:rPr>
            </w:pPr>
          </w:p>
        </w:tc>
        <w:tc>
          <w:tcPr>
            <w:tcW w:w="1600" w:type="dxa"/>
          </w:tcPr>
          <w:p w14:paraId="4923C020" w14:textId="77777777" w:rsidR="00DA702B" w:rsidRPr="00DA702B" w:rsidRDefault="00DA702B" w:rsidP="00DA702B">
            <w:pPr>
              <w:rPr>
                <w:sz w:val="20"/>
                <w:szCs w:val="20"/>
              </w:rPr>
            </w:pPr>
          </w:p>
        </w:tc>
        <w:tc>
          <w:tcPr>
            <w:tcW w:w="1600" w:type="dxa"/>
          </w:tcPr>
          <w:p w14:paraId="7B8E6D8E" w14:textId="77777777" w:rsidR="00DA702B" w:rsidRPr="00DA702B" w:rsidRDefault="00DA702B" w:rsidP="00DA702B">
            <w:pPr>
              <w:rPr>
                <w:sz w:val="20"/>
                <w:szCs w:val="20"/>
              </w:rPr>
            </w:pPr>
          </w:p>
        </w:tc>
        <w:tc>
          <w:tcPr>
            <w:tcW w:w="1600" w:type="dxa"/>
          </w:tcPr>
          <w:p w14:paraId="220DC9F0" w14:textId="77777777" w:rsidR="00DA702B" w:rsidRPr="00DA702B" w:rsidRDefault="00DA702B" w:rsidP="00DA702B">
            <w:pPr>
              <w:rPr>
                <w:sz w:val="20"/>
                <w:szCs w:val="20"/>
              </w:rPr>
            </w:pPr>
          </w:p>
        </w:tc>
        <w:tc>
          <w:tcPr>
            <w:tcW w:w="1600" w:type="dxa"/>
          </w:tcPr>
          <w:p w14:paraId="0608BEA7" w14:textId="77777777" w:rsidR="00DA702B" w:rsidRPr="00DA702B" w:rsidRDefault="00DA702B" w:rsidP="00DA702B">
            <w:pPr>
              <w:rPr>
                <w:sz w:val="20"/>
                <w:szCs w:val="20"/>
              </w:rPr>
            </w:pPr>
          </w:p>
        </w:tc>
        <w:tc>
          <w:tcPr>
            <w:tcW w:w="1600" w:type="dxa"/>
          </w:tcPr>
          <w:p w14:paraId="1886C491" w14:textId="77777777" w:rsidR="00DA702B" w:rsidRPr="00DA702B" w:rsidRDefault="00DA702B" w:rsidP="00DA702B">
            <w:pPr>
              <w:rPr>
                <w:sz w:val="20"/>
                <w:szCs w:val="20"/>
              </w:rPr>
            </w:pPr>
          </w:p>
        </w:tc>
      </w:tr>
      <w:tr w:rsidR="00DA702B" w:rsidRPr="00DA702B" w14:paraId="1C8F48A3" w14:textId="77777777" w:rsidTr="00247007">
        <w:trPr>
          <w:cantSplit/>
          <w:trHeight w:val="346"/>
          <w:tblHeader/>
        </w:trPr>
        <w:tc>
          <w:tcPr>
            <w:tcW w:w="1600" w:type="dxa"/>
          </w:tcPr>
          <w:p w14:paraId="1252227A" w14:textId="77777777" w:rsidR="00DA702B" w:rsidRPr="00DA702B" w:rsidRDefault="00DA702B" w:rsidP="00DA702B">
            <w:pPr>
              <w:rPr>
                <w:sz w:val="20"/>
                <w:szCs w:val="20"/>
              </w:rPr>
            </w:pPr>
          </w:p>
        </w:tc>
        <w:tc>
          <w:tcPr>
            <w:tcW w:w="1600" w:type="dxa"/>
          </w:tcPr>
          <w:p w14:paraId="74016048" w14:textId="77777777" w:rsidR="00DA702B" w:rsidRPr="00DA702B" w:rsidRDefault="00DA702B" w:rsidP="00DA702B">
            <w:pPr>
              <w:rPr>
                <w:sz w:val="20"/>
                <w:szCs w:val="20"/>
              </w:rPr>
            </w:pPr>
          </w:p>
        </w:tc>
        <w:tc>
          <w:tcPr>
            <w:tcW w:w="1600" w:type="dxa"/>
          </w:tcPr>
          <w:p w14:paraId="73D7B2AC" w14:textId="77777777" w:rsidR="00DA702B" w:rsidRPr="00DA702B" w:rsidRDefault="00DA702B" w:rsidP="00DA702B">
            <w:pPr>
              <w:rPr>
                <w:sz w:val="20"/>
                <w:szCs w:val="20"/>
              </w:rPr>
            </w:pPr>
          </w:p>
        </w:tc>
        <w:tc>
          <w:tcPr>
            <w:tcW w:w="1600" w:type="dxa"/>
          </w:tcPr>
          <w:p w14:paraId="34EE6EE4" w14:textId="77777777" w:rsidR="00DA702B" w:rsidRPr="00DA702B" w:rsidRDefault="00DA702B" w:rsidP="00DA702B">
            <w:pPr>
              <w:rPr>
                <w:sz w:val="20"/>
                <w:szCs w:val="20"/>
              </w:rPr>
            </w:pPr>
          </w:p>
        </w:tc>
        <w:tc>
          <w:tcPr>
            <w:tcW w:w="1600" w:type="dxa"/>
          </w:tcPr>
          <w:p w14:paraId="3A20E4CA" w14:textId="77777777" w:rsidR="00DA702B" w:rsidRPr="00DA702B" w:rsidRDefault="00DA702B" w:rsidP="00DA702B">
            <w:pPr>
              <w:rPr>
                <w:sz w:val="20"/>
                <w:szCs w:val="20"/>
              </w:rPr>
            </w:pPr>
          </w:p>
        </w:tc>
        <w:tc>
          <w:tcPr>
            <w:tcW w:w="1600" w:type="dxa"/>
          </w:tcPr>
          <w:p w14:paraId="1AF5E98F" w14:textId="77777777" w:rsidR="00DA702B" w:rsidRPr="00DA702B" w:rsidRDefault="00DA702B" w:rsidP="00DA702B">
            <w:pPr>
              <w:rPr>
                <w:sz w:val="20"/>
                <w:szCs w:val="20"/>
              </w:rPr>
            </w:pPr>
          </w:p>
        </w:tc>
        <w:tc>
          <w:tcPr>
            <w:tcW w:w="1600" w:type="dxa"/>
          </w:tcPr>
          <w:p w14:paraId="670DD40F" w14:textId="77777777" w:rsidR="00DA702B" w:rsidRPr="00DA702B" w:rsidRDefault="00DA702B" w:rsidP="00DA702B">
            <w:pPr>
              <w:rPr>
                <w:sz w:val="20"/>
                <w:szCs w:val="20"/>
              </w:rPr>
            </w:pPr>
          </w:p>
        </w:tc>
        <w:tc>
          <w:tcPr>
            <w:tcW w:w="1600" w:type="dxa"/>
          </w:tcPr>
          <w:p w14:paraId="188D3DBC" w14:textId="77777777" w:rsidR="00DA702B" w:rsidRPr="00DA702B" w:rsidRDefault="00DA702B" w:rsidP="00DA702B">
            <w:pPr>
              <w:rPr>
                <w:sz w:val="20"/>
                <w:szCs w:val="20"/>
              </w:rPr>
            </w:pPr>
          </w:p>
        </w:tc>
        <w:tc>
          <w:tcPr>
            <w:tcW w:w="1600" w:type="dxa"/>
          </w:tcPr>
          <w:p w14:paraId="7D86198E" w14:textId="77777777" w:rsidR="00DA702B" w:rsidRPr="00DA702B" w:rsidRDefault="00DA702B" w:rsidP="00DA702B">
            <w:pPr>
              <w:rPr>
                <w:sz w:val="20"/>
                <w:szCs w:val="20"/>
              </w:rPr>
            </w:pPr>
          </w:p>
        </w:tc>
      </w:tr>
      <w:tr w:rsidR="00DA702B" w:rsidRPr="00DA702B" w14:paraId="43CFCA64" w14:textId="77777777" w:rsidTr="00247007">
        <w:trPr>
          <w:cantSplit/>
          <w:trHeight w:val="346"/>
          <w:tblHeader/>
        </w:trPr>
        <w:tc>
          <w:tcPr>
            <w:tcW w:w="1600" w:type="dxa"/>
          </w:tcPr>
          <w:p w14:paraId="3FE245FE" w14:textId="77777777" w:rsidR="00DA702B" w:rsidRPr="00DA702B" w:rsidRDefault="00DA702B" w:rsidP="00DA702B">
            <w:pPr>
              <w:rPr>
                <w:sz w:val="20"/>
                <w:szCs w:val="20"/>
              </w:rPr>
            </w:pPr>
          </w:p>
        </w:tc>
        <w:tc>
          <w:tcPr>
            <w:tcW w:w="1600" w:type="dxa"/>
          </w:tcPr>
          <w:p w14:paraId="66A404A0" w14:textId="77777777" w:rsidR="00DA702B" w:rsidRPr="00DA702B" w:rsidRDefault="00DA702B" w:rsidP="00DA702B">
            <w:pPr>
              <w:rPr>
                <w:sz w:val="20"/>
                <w:szCs w:val="20"/>
              </w:rPr>
            </w:pPr>
          </w:p>
        </w:tc>
        <w:tc>
          <w:tcPr>
            <w:tcW w:w="1600" w:type="dxa"/>
          </w:tcPr>
          <w:p w14:paraId="3D5268C8" w14:textId="77777777" w:rsidR="00DA702B" w:rsidRPr="00DA702B" w:rsidRDefault="00DA702B" w:rsidP="00DA702B">
            <w:pPr>
              <w:rPr>
                <w:sz w:val="20"/>
                <w:szCs w:val="20"/>
              </w:rPr>
            </w:pPr>
          </w:p>
        </w:tc>
        <w:tc>
          <w:tcPr>
            <w:tcW w:w="1600" w:type="dxa"/>
          </w:tcPr>
          <w:p w14:paraId="1D8AA7C3" w14:textId="77777777" w:rsidR="00DA702B" w:rsidRPr="00DA702B" w:rsidRDefault="00DA702B" w:rsidP="00DA702B">
            <w:pPr>
              <w:rPr>
                <w:sz w:val="20"/>
                <w:szCs w:val="20"/>
              </w:rPr>
            </w:pPr>
          </w:p>
        </w:tc>
        <w:tc>
          <w:tcPr>
            <w:tcW w:w="1600" w:type="dxa"/>
          </w:tcPr>
          <w:p w14:paraId="6B5294EA" w14:textId="77777777" w:rsidR="00DA702B" w:rsidRPr="00DA702B" w:rsidRDefault="00DA702B" w:rsidP="00DA702B">
            <w:pPr>
              <w:rPr>
                <w:sz w:val="20"/>
                <w:szCs w:val="20"/>
              </w:rPr>
            </w:pPr>
          </w:p>
        </w:tc>
        <w:tc>
          <w:tcPr>
            <w:tcW w:w="1600" w:type="dxa"/>
          </w:tcPr>
          <w:p w14:paraId="5A27D43C" w14:textId="77777777" w:rsidR="00DA702B" w:rsidRPr="00DA702B" w:rsidRDefault="00DA702B" w:rsidP="00DA702B">
            <w:pPr>
              <w:rPr>
                <w:sz w:val="20"/>
                <w:szCs w:val="20"/>
              </w:rPr>
            </w:pPr>
          </w:p>
        </w:tc>
        <w:tc>
          <w:tcPr>
            <w:tcW w:w="1600" w:type="dxa"/>
          </w:tcPr>
          <w:p w14:paraId="4505EC1F" w14:textId="77777777" w:rsidR="00DA702B" w:rsidRPr="00DA702B" w:rsidRDefault="00DA702B" w:rsidP="00DA702B">
            <w:pPr>
              <w:rPr>
                <w:sz w:val="20"/>
                <w:szCs w:val="20"/>
              </w:rPr>
            </w:pPr>
          </w:p>
        </w:tc>
        <w:tc>
          <w:tcPr>
            <w:tcW w:w="1600" w:type="dxa"/>
          </w:tcPr>
          <w:p w14:paraId="0F403170" w14:textId="77777777" w:rsidR="00DA702B" w:rsidRPr="00DA702B" w:rsidRDefault="00DA702B" w:rsidP="00DA702B">
            <w:pPr>
              <w:rPr>
                <w:sz w:val="20"/>
                <w:szCs w:val="20"/>
              </w:rPr>
            </w:pPr>
          </w:p>
        </w:tc>
        <w:tc>
          <w:tcPr>
            <w:tcW w:w="1600" w:type="dxa"/>
          </w:tcPr>
          <w:p w14:paraId="2CB556CD" w14:textId="77777777" w:rsidR="00DA702B" w:rsidRPr="00DA702B" w:rsidRDefault="00DA702B" w:rsidP="00DA702B">
            <w:pPr>
              <w:rPr>
                <w:sz w:val="20"/>
                <w:szCs w:val="20"/>
              </w:rPr>
            </w:pPr>
          </w:p>
        </w:tc>
      </w:tr>
    </w:tbl>
    <w:p w14:paraId="159448F4" w14:textId="041EC54E" w:rsidR="007123B4" w:rsidRDefault="007123B4" w:rsidP="00DA702B">
      <w:pPr>
        <w:rPr>
          <w:sz w:val="20"/>
          <w:szCs w:val="20"/>
        </w:rPr>
      </w:pPr>
      <w:r>
        <w:rPr>
          <w:sz w:val="20"/>
          <w:szCs w:val="20"/>
        </w:rPr>
        <w:br w:type="page"/>
      </w:r>
    </w:p>
    <w:p w14:paraId="402B19EF" w14:textId="77777777" w:rsidR="00DA702B" w:rsidRPr="00DA702B" w:rsidRDefault="00DA702B" w:rsidP="00256A48">
      <w:pPr>
        <w:widowControl w:val="0"/>
        <w:jc w:val="center"/>
        <w:rPr>
          <w:rFonts w:eastAsiaTheme="majorEastAsia"/>
          <w:b/>
          <w:bCs/>
        </w:rPr>
      </w:pPr>
      <w:r w:rsidRPr="00DA702B">
        <w:rPr>
          <w:rFonts w:eastAsiaTheme="majorEastAsia"/>
          <w:b/>
          <w:bCs/>
        </w:rPr>
        <w:lastRenderedPageBreak/>
        <w:t>Boiler/Steam Generator/Steam Generating Unit Attributes</w:t>
      </w:r>
    </w:p>
    <w:p w14:paraId="508EC967" w14:textId="77777777" w:rsidR="00DA702B" w:rsidRPr="00DA702B" w:rsidRDefault="00DA702B" w:rsidP="00256A48">
      <w:pPr>
        <w:widowControl w:val="0"/>
        <w:jc w:val="center"/>
        <w:rPr>
          <w:rFonts w:eastAsiaTheme="majorEastAsia"/>
          <w:b/>
          <w:bCs/>
        </w:rPr>
      </w:pPr>
      <w:r w:rsidRPr="00DA702B">
        <w:rPr>
          <w:rFonts w:eastAsiaTheme="majorEastAsia"/>
          <w:b/>
          <w:bCs/>
        </w:rPr>
        <w:t>Form OP-UA6 (Page 16)</w:t>
      </w:r>
    </w:p>
    <w:p w14:paraId="10D15D9F" w14:textId="77777777" w:rsidR="00DA702B" w:rsidRPr="00DA702B" w:rsidRDefault="00DA702B" w:rsidP="00256A48">
      <w:pPr>
        <w:widowControl w:val="0"/>
        <w:jc w:val="center"/>
        <w:rPr>
          <w:rFonts w:eastAsiaTheme="majorEastAsia"/>
          <w:b/>
          <w:bCs/>
        </w:rPr>
      </w:pPr>
      <w:r w:rsidRPr="00DA702B">
        <w:rPr>
          <w:rFonts w:eastAsiaTheme="majorEastAsia"/>
          <w:b/>
          <w:bCs/>
        </w:rPr>
        <w:t>Federal Operating Permit Program</w:t>
      </w:r>
    </w:p>
    <w:p w14:paraId="4B015123" w14:textId="77777777" w:rsidR="00DA702B" w:rsidRPr="00DA702B" w:rsidRDefault="00DA702B" w:rsidP="00256A48">
      <w:pPr>
        <w:widowControl w:val="0"/>
        <w:jc w:val="center"/>
        <w:rPr>
          <w:rFonts w:eastAsiaTheme="majorEastAsia"/>
          <w:b/>
          <w:bCs/>
        </w:rPr>
      </w:pPr>
      <w:bookmarkStart w:id="178" w:name="TBL_6a"/>
      <w:r w:rsidRPr="00DA702B">
        <w:rPr>
          <w:rFonts w:eastAsiaTheme="majorEastAsia"/>
          <w:b/>
          <w:bCs/>
        </w:rPr>
        <w:t>Table 6a</w:t>
      </w:r>
      <w:bookmarkEnd w:id="178"/>
      <w:r w:rsidRPr="00DA702B">
        <w:rPr>
          <w:rFonts w:eastAsiaTheme="majorEastAsia"/>
          <w:b/>
          <w:bCs/>
        </w:rPr>
        <w:t>:  Title 30 Texas Administrative Code Chapter 117 (30 TAC Chapter 117)</w:t>
      </w:r>
    </w:p>
    <w:p w14:paraId="0C928449" w14:textId="77777777" w:rsidR="00DA702B" w:rsidRPr="00DA702B" w:rsidRDefault="00DA702B" w:rsidP="00256A48">
      <w:pPr>
        <w:widowControl w:val="0"/>
        <w:jc w:val="center"/>
        <w:rPr>
          <w:rFonts w:eastAsiaTheme="majorEastAsia"/>
          <w:b/>
          <w:bCs/>
        </w:rPr>
      </w:pPr>
      <w:r w:rsidRPr="00DA702B">
        <w:rPr>
          <w:rFonts w:eastAsiaTheme="majorEastAsia"/>
          <w:b/>
          <w:bCs/>
        </w:rPr>
        <w:t>Subpart C:  Combustion Control at Major Utility Electric Generation Sources in Ozone Nonattainment Areas</w:t>
      </w:r>
    </w:p>
    <w:p w14:paraId="79BE3739" w14:textId="0886C1FB" w:rsidR="00DA702B" w:rsidRPr="00DA702B" w:rsidRDefault="00DA702B" w:rsidP="00256A48">
      <w:pPr>
        <w:widowControl w:val="0"/>
        <w:spacing w:after="360"/>
        <w:jc w:val="center"/>
        <w:rPr>
          <w:sz w:val="20"/>
          <w:szCs w:val="20"/>
        </w:rPr>
      </w:pPr>
      <w:r w:rsidRPr="00DA702B">
        <w:rPr>
          <w:rFonts w:eastAsiaTheme="majorEastAsia"/>
          <w:b/>
          <w:bCs/>
        </w:rPr>
        <w:t>Texas Commission on Environmental Quality</w:t>
      </w: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6a:  Title 30 Texas Administrative Code Chapter 117 (30 TAC Chapter 117)&#10;Subpart C:  Combustion Control at Major Utility Electric Generation &#10;Sources in Ozone Nonattainment Areas&#10;"/>
      </w:tblPr>
      <w:tblGrid>
        <w:gridCol w:w="4800"/>
        <w:gridCol w:w="4800"/>
        <w:gridCol w:w="4800"/>
      </w:tblGrid>
      <w:tr w:rsidR="00DA702B" w:rsidRPr="00DA702B" w14:paraId="3F511A61" w14:textId="77777777" w:rsidTr="00247007">
        <w:trPr>
          <w:cantSplit/>
          <w:tblHeader/>
        </w:trPr>
        <w:tc>
          <w:tcPr>
            <w:tcW w:w="4800" w:type="dxa"/>
            <w:shd w:val="clear" w:color="auto" w:fill="D9D9D9" w:themeFill="background1" w:themeFillShade="D9"/>
          </w:tcPr>
          <w:p w14:paraId="115973EE"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FC12C6E"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20D24FEE"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487DB347" w14:textId="77777777" w:rsidTr="00247007">
        <w:trPr>
          <w:cantSplit/>
          <w:tblHeader/>
        </w:trPr>
        <w:tc>
          <w:tcPr>
            <w:tcW w:w="4800" w:type="dxa"/>
          </w:tcPr>
          <w:p w14:paraId="256DC891" w14:textId="77777777" w:rsidR="00DA702B" w:rsidRPr="00DA702B" w:rsidRDefault="00DA702B" w:rsidP="00DA702B">
            <w:pPr>
              <w:rPr>
                <w:rFonts w:asciiTheme="majorHAnsi" w:hAnsiTheme="majorHAnsi" w:cstheme="majorHAnsi"/>
              </w:rPr>
            </w:pPr>
          </w:p>
        </w:tc>
        <w:tc>
          <w:tcPr>
            <w:tcW w:w="4800" w:type="dxa"/>
          </w:tcPr>
          <w:p w14:paraId="7FB42788" w14:textId="77777777" w:rsidR="00DA702B" w:rsidRPr="00DA702B" w:rsidRDefault="00DA702B" w:rsidP="00DA702B">
            <w:pPr>
              <w:rPr>
                <w:rFonts w:asciiTheme="majorHAnsi" w:hAnsiTheme="majorHAnsi" w:cstheme="majorHAnsi"/>
              </w:rPr>
            </w:pPr>
          </w:p>
        </w:tc>
        <w:tc>
          <w:tcPr>
            <w:tcW w:w="4800" w:type="dxa"/>
          </w:tcPr>
          <w:p w14:paraId="3D5D89D6" w14:textId="77777777" w:rsidR="00DA702B" w:rsidRPr="00DA702B" w:rsidRDefault="00DA702B" w:rsidP="00DA702B">
            <w:pPr>
              <w:rPr>
                <w:rFonts w:asciiTheme="majorHAnsi" w:hAnsiTheme="majorHAnsi" w:cstheme="majorHAnsi"/>
              </w:rPr>
            </w:pPr>
          </w:p>
        </w:tc>
      </w:tr>
    </w:tbl>
    <w:p w14:paraId="19539126"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6a:  Title 30 Texas Administrative Code Chapter 117 (30 TAC Chapter 117)&#10;Subpart C:  Combustion Control at Major Utility Electric Generation &#10;Sources in Ozone Nonattainment Areas&#10;"/>
      </w:tblPr>
      <w:tblGrid>
        <w:gridCol w:w="1199"/>
        <w:gridCol w:w="1199"/>
        <w:gridCol w:w="1200"/>
        <w:gridCol w:w="1239"/>
        <w:gridCol w:w="1161"/>
        <w:gridCol w:w="1200"/>
        <w:gridCol w:w="1200"/>
        <w:gridCol w:w="1200"/>
        <w:gridCol w:w="1200"/>
        <w:gridCol w:w="1200"/>
        <w:gridCol w:w="1201"/>
        <w:gridCol w:w="1201"/>
      </w:tblGrid>
      <w:tr w:rsidR="00DA702B" w:rsidRPr="00DA702B" w14:paraId="3C280B61" w14:textId="77777777" w:rsidTr="00247007">
        <w:trPr>
          <w:cantSplit/>
          <w:tblHeader/>
        </w:trPr>
        <w:tc>
          <w:tcPr>
            <w:tcW w:w="1199" w:type="dxa"/>
            <w:shd w:val="clear" w:color="auto" w:fill="D9D9D9" w:themeFill="background1" w:themeFillShade="D9"/>
            <w:vAlign w:val="bottom"/>
          </w:tcPr>
          <w:p w14:paraId="35F416ED" w14:textId="77777777" w:rsidR="00DA702B" w:rsidRPr="00DA702B" w:rsidRDefault="00DA702B" w:rsidP="00DA702B">
            <w:pPr>
              <w:jc w:val="center"/>
              <w:rPr>
                <w:sz w:val="20"/>
                <w:szCs w:val="20"/>
              </w:rPr>
            </w:pPr>
            <w:r w:rsidRPr="00DA702B">
              <w:rPr>
                <w:b/>
                <w:sz w:val="20"/>
                <w:szCs w:val="20"/>
              </w:rPr>
              <w:t>Unit ID No.</w:t>
            </w:r>
          </w:p>
        </w:tc>
        <w:tc>
          <w:tcPr>
            <w:tcW w:w="1199" w:type="dxa"/>
            <w:shd w:val="clear" w:color="auto" w:fill="D9D9D9" w:themeFill="background1" w:themeFillShade="D9"/>
            <w:vAlign w:val="bottom"/>
          </w:tcPr>
          <w:p w14:paraId="70205DCF" w14:textId="77777777" w:rsidR="00DA702B" w:rsidRPr="00DA702B" w:rsidRDefault="00DA702B" w:rsidP="00DA702B">
            <w:pPr>
              <w:jc w:val="center"/>
              <w:rPr>
                <w:b/>
                <w:sz w:val="20"/>
                <w:szCs w:val="20"/>
              </w:rPr>
            </w:pPr>
            <w:r w:rsidRPr="00DA702B">
              <w:rPr>
                <w:b/>
                <w:sz w:val="20"/>
                <w:szCs w:val="20"/>
              </w:rPr>
              <w:t>SOP</w:t>
            </w:r>
          </w:p>
          <w:p w14:paraId="24BBB4A1" w14:textId="77777777" w:rsidR="00DA702B" w:rsidRPr="00DA702B" w:rsidRDefault="00DA702B" w:rsidP="00DA702B">
            <w:pPr>
              <w:jc w:val="center"/>
              <w:rPr>
                <w:sz w:val="20"/>
                <w:szCs w:val="20"/>
              </w:rPr>
            </w:pPr>
            <w:r w:rsidRPr="00DA702B">
              <w:rPr>
                <w:b/>
                <w:sz w:val="20"/>
                <w:szCs w:val="20"/>
              </w:rPr>
              <w:t>Index No.</w:t>
            </w:r>
          </w:p>
        </w:tc>
        <w:tc>
          <w:tcPr>
            <w:tcW w:w="1200" w:type="dxa"/>
            <w:shd w:val="clear" w:color="auto" w:fill="D9D9D9" w:themeFill="background1" w:themeFillShade="D9"/>
            <w:vAlign w:val="bottom"/>
          </w:tcPr>
          <w:p w14:paraId="500D43A7" w14:textId="77777777" w:rsidR="00DA702B" w:rsidRPr="00DA702B" w:rsidRDefault="00DA702B" w:rsidP="00DA702B">
            <w:pPr>
              <w:jc w:val="center"/>
              <w:rPr>
                <w:sz w:val="20"/>
                <w:szCs w:val="20"/>
              </w:rPr>
            </w:pPr>
            <w:r w:rsidRPr="00DA702B">
              <w:rPr>
                <w:b/>
                <w:sz w:val="20"/>
                <w:szCs w:val="20"/>
              </w:rPr>
              <w:t>Date Placed in Service</w:t>
            </w:r>
          </w:p>
        </w:tc>
        <w:tc>
          <w:tcPr>
            <w:tcW w:w="1239" w:type="dxa"/>
            <w:shd w:val="clear" w:color="auto" w:fill="D9D9D9" w:themeFill="background1" w:themeFillShade="D9"/>
            <w:vAlign w:val="bottom"/>
          </w:tcPr>
          <w:p w14:paraId="27E93C3B" w14:textId="77777777" w:rsidR="00DA702B" w:rsidRPr="00DA702B" w:rsidRDefault="00DA702B" w:rsidP="00DA702B">
            <w:pPr>
              <w:jc w:val="center"/>
              <w:rPr>
                <w:sz w:val="20"/>
                <w:szCs w:val="20"/>
              </w:rPr>
            </w:pPr>
            <w:r w:rsidRPr="00DA702B">
              <w:rPr>
                <w:b/>
                <w:sz w:val="20"/>
                <w:szCs w:val="20"/>
              </w:rPr>
              <w:t>Functionally Identical Replacement</w:t>
            </w:r>
          </w:p>
        </w:tc>
        <w:tc>
          <w:tcPr>
            <w:tcW w:w="1161" w:type="dxa"/>
            <w:shd w:val="clear" w:color="auto" w:fill="D9D9D9" w:themeFill="background1" w:themeFillShade="D9"/>
            <w:vAlign w:val="bottom"/>
          </w:tcPr>
          <w:p w14:paraId="39B85FC0" w14:textId="77777777" w:rsidR="00DA702B" w:rsidRPr="00DA702B" w:rsidRDefault="00DA702B" w:rsidP="00DA702B">
            <w:pPr>
              <w:jc w:val="center"/>
              <w:rPr>
                <w:sz w:val="20"/>
                <w:szCs w:val="20"/>
              </w:rPr>
            </w:pPr>
            <w:r w:rsidRPr="00DA702B">
              <w:rPr>
                <w:b/>
                <w:sz w:val="20"/>
                <w:szCs w:val="20"/>
              </w:rPr>
              <w:t>Annual Heat Input</w:t>
            </w:r>
          </w:p>
        </w:tc>
        <w:tc>
          <w:tcPr>
            <w:tcW w:w="1200" w:type="dxa"/>
            <w:shd w:val="clear" w:color="auto" w:fill="D9D9D9" w:themeFill="background1" w:themeFillShade="D9"/>
            <w:vAlign w:val="bottom"/>
          </w:tcPr>
          <w:p w14:paraId="713E2B0E" w14:textId="77777777" w:rsidR="00DA702B" w:rsidRPr="00DA702B" w:rsidRDefault="00DA702B" w:rsidP="00DA702B">
            <w:pPr>
              <w:jc w:val="center"/>
              <w:rPr>
                <w:sz w:val="20"/>
                <w:szCs w:val="20"/>
              </w:rPr>
            </w:pPr>
            <w:r w:rsidRPr="00DA702B">
              <w:rPr>
                <w:b/>
                <w:sz w:val="20"/>
                <w:szCs w:val="20"/>
              </w:rPr>
              <w:t>Service Type</w:t>
            </w:r>
          </w:p>
        </w:tc>
        <w:tc>
          <w:tcPr>
            <w:tcW w:w="1200" w:type="dxa"/>
            <w:shd w:val="clear" w:color="auto" w:fill="D9D9D9" w:themeFill="background1" w:themeFillShade="D9"/>
            <w:vAlign w:val="bottom"/>
          </w:tcPr>
          <w:p w14:paraId="79069DE9" w14:textId="77777777" w:rsidR="00DA702B" w:rsidRPr="00DA702B" w:rsidRDefault="00DA702B" w:rsidP="00DA702B">
            <w:pPr>
              <w:jc w:val="center"/>
              <w:rPr>
                <w:sz w:val="20"/>
                <w:szCs w:val="20"/>
              </w:rPr>
            </w:pPr>
            <w:r w:rsidRPr="00DA702B">
              <w:rPr>
                <w:b/>
                <w:sz w:val="20"/>
                <w:szCs w:val="20"/>
              </w:rPr>
              <w:t>Fuel Type</w:t>
            </w:r>
          </w:p>
        </w:tc>
        <w:tc>
          <w:tcPr>
            <w:tcW w:w="1200" w:type="dxa"/>
            <w:shd w:val="clear" w:color="auto" w:fill="D9D9D9" w:themeFill="background1" w:themeFillShade="D9"/>
            <w:vAlign w:val="bottom"/>
          </w:tcPr>
          <w:p w14:paraId="0DE4EE28" w14:textId="77777777" w:rsidR="00DA702B" w:rsidRPr="00DA702B" w:rsidRDefault="00DA702B" w:rsidP="00DA702B">
            <w:pPr>
              <w:jc w:val="center"/>
              <w:rPr>
                <w:sz w:val="20"/>
                <w:szCs w:val="20"/>
              </w:rPr>
            </w:pPr>
            <w:r w:rsidRPr="00DA702B">
              <w:rPr>
                <w:b/>
                <w:sz w:val="20"/>
                <w:szCs w:val="20"/>
              </w:rPr>
              <w:t>Fuel Type</w:t>
            </w:r>
          </w:p>
        </w:tc>
        <w:tc>
          <w:tcPr>
            <w:tcW w:w="1200" w:type="dxa"/>
            <w:shd w:val="clear" w:color="auto" w:fill="D9D9D9" w:themeFill="background1" w:themeFillShade="D9"/>
            <w:vAlign w:val="bottom"/>
          </w:tcPr>
          <w:p w14:paraId="22912769" w14:textId="77777777" w:rsidR="00DA702B" w:rsidRPr="00DA702B" w:rsidRDefault="00DA702B" w:rsidP="00DA702B">
            <w:pPr>
              <w:jc w:val="center"/>
              <w:rPr>
                <w:sz w:val="20"/>
                <w:szCs w:val="20"/>
              </w:rPr>
            </w:pPr>
            <w:r w:rsidRPr="00DA702B">
              <w:rPr>
                <w:b/>
                <w:sz w:val="20"/>
                <w:szCs w:val="20"/>
              </w:rPr>
              <w:t>Fuel Type</w:t>
            </w:r>
          </w:p>
        </w:tc>
        <w:tc>
          <w:tcPr>
            <w:tcW w:w="1200" w:type="dxa"/>
            <w:shd w:val="clear" w:color="auto" w:fill="D9D9D9" w:themeFill="background1" w:themeFillShade="D9"/>
            <w:vAlign w:val="bottom"/>
          </w:tcPr>
          <w:p w14:paraId="35A1A76F" w14:textId="77777777" w:rsidR="00DA702B" w:rsidRPr="00DA702B" w:rsidRDefault="00DA702B" w:rsidP="00DA702B">
            <w:pPr>
              <w:jc w:val="center"/>
              <w:rPr>
                <w:sz w:val="20"/>
                <w:szCs w:val="20"/>
              </w:rPr>
            </w:pPr>
            <w:r w:rsidRPr="00DA702B">
              <w:rPr>
                <w:b/>
                <w:sz w:val="20"/>
                <w:szCs w:val="20"/>
              </w:rPr>
              <w:t>RACT NOx Emission Limitation</w:t>
            </w:r>
          </w:p>
        </w:tc>
        <w:tc>
          <w:tcPr>
            <w:tcW w:w="1201" w:type="dxa"/>
            <w:shd w:val="clear" w:color="auto" w:fill="D9D9D9" w:themeFill="background1" w:themeFillShade="D9"/>
            <w:vAlign w:val="bottom"/>
          </w:tcPr>
          <w:p w14:paraId="15A12152" w14:textId="77777777" w:rsidR="00DA702B" w:rsidRPr="00DA702B" w:rsidRDefault="00DA702B" w:rsidP="00DA702B">
            <w:pPr>
              <w:jc w:val="center"/>
              <w:rPr>
                <w:sz w:val="20"/>
                <w:szCs w:val="20"/>
              </w:rPr>
            </w:pPr>
            <w:r w:rsidRPr="00DA702B">
              <w:rPr>
                <w:b/>
                <w:sz w:val="20"/>
                <w:szCs w:val="20"/>
              </w:rPr>
              <w:t>ESAD NOx Emission Limitation</w:t>
            </w:r>
          </w:p>
        </w:tc>
        <w:tc>
          <w:tcPr>
            <w:tcW w:w="1201" w:type="dxa"/>
            <w:shd w:val="clear" w:color="auto" w:fill="D9D9D9" w:themeFill="background1" w:themeFillShade="D9"/>
            <w:vAlign w:val="bottom"/>
          </w:tcPr>
          <w:p w14:paraId="61881204" w14:textId="77777777" w:rsidR="00DA702B" w:rsidRPr="00DA702B" w:rsidRDefault="00DA702B" w:rsidP="00DA702B">
            <w:pPr>
              <w:jc w:val="center"/>
              <w:rPr>
                <w:sz w:val="20"/>
                <w:szCs w:val="20"/>
              </w:rPr>
            </w:pPr>
            <w:r w:rsidRPr="00DA702B">
              <w:rPr>
                <w:b/>
                <w:sz w:val="20"/>
                <w:szCs w:val="20"/>
              </w:rPr>
              <w:t>EGF</w:t>
            </w:r>
          </w:p>
        </w:tc>
      </w:tr>
      <w:tr w:rsidR="00DA702B" w:rsidRPr="00DA702B" w14:paraId="4679D803" w14:textId="77777777" w:rsidTr="00247007">
        <w:trPr>
          <w:cantSplit/>
          <w:trHeight w:val="346"/>
          <w:tblHeader/>
        </w:trPr>
        <w:tc>
          <w:tcPr>
            <w:tcW w:w="1199" w:type="dxa"/>
          </w:tcPr>
          <w:p w14:paraId="67495F9A" w14:textId="77777777" w:rsidR="00DA702B" w:rsidRPr="00DA702B" w:rsidRDefault="00DA702B" w:rsidP="00DA702B">
            <w:pPr>
              <w:rPr>
                <w:sz w:val="20"/>
                <w:szCs w:val="20"/>
              </w:rPr>
            </w:pPr>
          </w:p>
        </w:tc>
        <w:tc>
          <w:tcPr>
            <w:tcW w:w="1199" w:type="dxa"/>
          </w:tcPr>
          <w:p w14:paraId="04E58F36" w14:textId="77777777" w:rsidR="00DA702B" w:rsidRPr="00DA702B" w:rsidRDefault="00DA702B" w:rsidP="00DA702B">
            <w:pPr>
              <w:rPr>
                <w:sz w:val="20"/>
                <w:szCs w:val="20"/>
              </w:rPr>
            </w:pPr>
          </w:p>
        </w:tc>
        <w:tc>
          <w:tcPr>
            <w:tcW w:w="1200" w:type="dxa"/>
          </w:tcPr>
          <w:p w14:paraId="75B3AC2F" w14:textId="77777777" w:rsidR="00DA702B" w:rsidRPr="00DA702B" w:rsidRDefault="00DA702B" w:rsidP="00DA702B">
            <w:pPr>
              <w:rPr>
                <w:sz w:val="20"/>
                <w:szCs w:val="20"/>
              </w:rPr>
            </w:pPr>
          </w:p>
        </w:tc>
        <w:tc>
          <w:tcPr>
            <w:tcW w:w="1239" w:type="dxa"/>
          </w:tcPr>
          <w:p w14:paraId="08E16F4E" w14:textId="77777777" w:rsidR="00DA702B" w:rsidRPr="00DA702B" w:rsidRDefault="00DA702B" w:rsidP="00DA702B">
            <w:pPr>
              <w:rPr>
                <w:sz w:val="20"/>
                <w:szCs w:val="20"/>
              </w:rPr>
            </w:pPr>
          </w:p>
        </w:tc>
        <w:tc>
          <w:tcPr>
            <w:tcW w:w="1161" w:type="dxa"/>
          </w:tcPr>
          <w:p w14:paraId="4B77A9EC" w14:textId="77777777" w:rsidR="00DA702B" w:rsidRPr="00DA702B" w:rsidRDefault="00DA702B" w:rsidP="00DA702B">
            <w:pPr>
              <w:rPr>
                <w:sz w:val="20"/>
                <w:szCs w:val="20"/>
              </w:rPr>
            </w:pPr>
          </w:p>
        </w:tc>
        <w:tc>
          <w:tcPr>
            <w:tcW w:w="1200" w:type="dxa"/>
          </w:tcPr>
          <w:p w14:paraId="48BEB17A" w14:textId="77777777" w:rsidR="00DA702B" w:rsidRPr="00DA702B" w:rsidRDefault="00DA702B" w:rsidP="00DA702B">
            <w:pPr>
              <w:rPr>
                <w:sz w:val="20"/>
                <w:szCs w:val="20"/>
              </w:rPr>
            </w:pPr>
          </w:p>
        </w:tc>
        <w:tc>
          <w:tcPr>
            <w:tcW w:w="1200" w:type="dxa"/>
          </w:tcPr>
          <w:p w14:paraId="56AB80FE" w14:textId="77777777" w:rsidR="00DA702B" w:rsidRPr="00DA702B" w:rsidRDefault="00DA702B" w:rsidP="00DA702B">
            <w:pPr>
              <w:rPr>
                <w:sz w:val="20"/>
                <w:szCs w:val="20"/>
              </w:rPr>
            </w:pPr>
          </w:p>
        </w:tc>
        <w:tc>
          <w:tcPr>
            <w:tcW w:w="1200" w:type="dxa"/>
          </w:tcPr>
          <w:p w14:paraId="0C806ACA" w14:textId="77777777" w:rsidR="00DA702B" w:rsidRPr="00DA702B" w:rsidRDefault="00DA702B" w:rsidP="00DA702B">
            <w:pPr>
              <w:rPr>
                <w:sz w:val="20"/>
                <w:szCs w:val="20"/>
              </w:rPr>
            </w:pPr>
          </w:p>
        </w:tc>
        <w:tc>
          <w:tcPr>
            <w:tcW w:w="1200" w:type="dxa"/>
          </w:tcPr>
          <w:p w14:paraId="358D8B0B" w14:textId="77777777" w:rsidR="00DA702B" w:rsidRPr="00DA702B" w:rsidRDefault="00DA702B" w:rsidP="00DA702B">
            <w:pPr>
              <w:rPr>
                <w:sz w:val="20"/>
                <w:szCs w:val="20"/>
              </w:rPr>
            </w:pPr>
          </w:p>
        </w:tc>
        <w:tc>
          <w:tcPr>
            <w:tcW w:w="1200" w:type="dxa"/>
          </w:tcPr>
          <w:p w14:paraId="121BFFAA" w14:textId="77777777" w:rsidR="00DA702B" w:rsidRPr="00DA702B" w:rsidRDefault="00DA702B" w:rsidP="00DA702B">
            <w:pPr>
              <w:rPr>
                <w:sz w:val="20"/>
                <w:szCs w:val="20"/>
              </w:rPr>
            </w:pPr>
          </w:p>
        </w:tc>
        <w:tc>
          <w:tcPr>
            <w:tcW w:w="1201" w:type="dxa"/>
          </w:tcPr>
          <w:p w14:paraId="572BC7FE" w14:textId="77777777" w:rsidR="00DA702B" w:rsidRPr="00DA702B" w:rsidRDefault="00DA702B" w:rsidP="00DA702B">
            <w:pPr>
              <w:rPr>
                <w:sz w:val="20"/>
                <w:szCs w:val="20"/>
              </w:rPr>
            </w:pPr>
          </w:p>
        </w:tc>
        <w:tc>
          <w:tcPr>
            <w:tcW w:w="1201" w:type="dxa"/>
          </w:tcPr>
          <w:p w14:paraId="45A42DB2" w14:textId="77777777" w:rsidR="00DA702B" w:rsidRPr="00DA702B" w:rsidRDefault="00DA702B" w:rsidP="00DA702B">
            <w:pPr>
              <w:rPr>
                <w:sz w:val="20"/>
                <w:szCs w:val="20"/>
              </w:rPr>
            </w:pPr>
          </w:p>
        </w:tc>
      </w:tr>
      <w:tr w:rsidR="00DA702B" w:rsidRPr="00DA702B" w14:paraId="791EB9C3" w14:textId="77777777" w:rsidTr="00247007">
        <w:trPr>
          <w:cantSplit/>
          <w:trHeight w:val="346"/>
          <w:tblHeader/>
        </w:trPr>
        <w:tc>
          <w:tcPr>
            <w:tcW w:w="1199" w:type="dxa"/>
          </w:tcPr>
          <w:p w14:paraId="4B60B678" w14:textId="77777777" w:rsidR="00DA702B" w:rsidRPr="00DA702B" w:rsidRDefault="00DA702B" w:rsidP="00DA702B">
            <w:pPr>
              <w:rPr>
                <w:sz w:val="20"/>
                <w:szCs w:val="20"/>
              </w:rPr>
            </w:pPr>
          </w:p>
        </w:tc>
        <w:tc>
          <w:tcPr>
            <w:tcW w:w="1199" w:type="dxa"/>
          </w:tcPr>
          <w:p w14:paraId="5844E917" w14:textId="77777777" w:rsidR="00DA702B" w:rsidRPr="00DA702B" w:rsidRDefault="00DA702B" w:rsidP="00DA702B">
            <w:pPr>
              <w:rPr>
                <w:sz w:val="20"/>
                <w:szCs w:val="20"/>
              </w:rPr>
            </w:pPr>
          </w:p>
        </w:tc>
        <w:tc>
          <w:tcPr>
            <w:tcW w:w="1200" w:type="dxa"/>
          </w:tcPr>
          <w:p w14:paraId="66AF0CD7" w14:textId="77777777" w:rsidR="00DA702B" w:rsidRPr="00DA702B" w:rsidRDefault="00DA702B" w:rsidP="00DA702B">
            <w:pPr>
              <w:rPr>
                <w:sz w:val="20"/>
                <w:szCs w:val="20"/>
              </w:rPr>
            </w:pPr>
          </w:p>
        </w:tc>
        <w:tc>
          <w:tcPr>
            <w:tcW w:w="1239" w:type="dxa"/>
          </w:tcPr>
          <w:p w14:paraId="648C8D1D" w14:textId="77777777" w:rsidR="00DA702B" w:rsidRPr="00DA702B" w:rsidRDefault="00DA702B" w:rsidP="00DA702B">
            <w:pPr>
              <w:rPr>
                <w:sz w:val="20"/>
                <w:szCs w:val="20"/>
              </w:rPr>
            </w:pPr>
          </w:p>
        </w:tc>
        <w:tc>
          <w:tcPr>
            <w:tcW w:w="1161" w:type="dxa"/>
          </w:tcPr>
          <w:p w14:paraId="7F0E78C8" w14:textId="77777777" w:rsidR="00DA702B" w:rsidRPr="00DA702B" w:rsidRDefault="00DA702B" w:rsidP="00DA702B">
            <w:pPr>
              <w:rPr>
                <w:sz w:val="20"/>
                <w:szCs w:val="20"/>
              </w:rPr>
            </w:pPr>
          </w:p>
        </w:tc>
        <w:tc>
          <w:tcPr>
            <w:tcW w:w="1200" w:type="dxa"/>
          </w:tcPr>
          <w:p w14:paraId="693C9C65" w14:textId="77777777" w:rsidR="00DA702B" w:rsidRPr="00DA702B" w:rsidRDefault="00DA702B" w:rsidP="00DA702B">
            <w:pPr>
              <w:rPr>
                <w:sz w:val="20"/>
                <w:szCs w:val="20"/>
              </w:rPr>
            </w:pPr>
          </w:p>
        </w:tc>
        <w:tc>
          <w:tcPr>
            <w:tcW w:w="1200" w:type="dxa"/>
          </w:tcPr>
          <w:p w14:paraId="5548C5C0" w14:textId="77777777" w:rsidR="00DA702B" w:rsidRPr="00DA702B" w:rsidRDefault="00DA702B" w:rsidP="00DA702B">
            <w:pPr>
              <w:rPr>
                <w:sz w:val="20"/>
                <w:szCs w:val="20"/>
              </w:rPr>
            </w:pPr>
          </w:p>
        </w:tc>
        <w:tc>
          <w:tcPr>
            <w:tcW w:w="1200" w:type="dxa"/>
          </w:tcPr>
          <w:p w14:paraId="63D748A4" w14:textId="77777777" w:rsidR="00DA702B" w:rsidRPr="00DA702B" w:rsidRDefault="00DA702B" w:rsidP="00DA702B">
            <w:pPr>
              <w:rPr>
                <w:sz w:val="20"/>
                <w:szCs w:val="20"/>
              </w:rPr>
            </w:pPr>
          </w:p>
        </w:tc>
        <w:tc>
          <w:tcPr>
            <w:tcW w:w="1200" w:type="dxa"/>
          </w:tcPr>
          <w:p w14:paraId="550A9903" w14:textId="77777777" w:rsidR="00DA702B" w:rsidRPr="00DA702B" w:rsidRDefault="00DA702B" w:rsidP="00DA702B">
            <w:pPr>
              <w:rPr>
                <w:sz w:val="20"/>
                <w:szCs w:val="20"/>
              </w:rPr>
            </w:pPr>
          </w:p>
        </w:tc>
        <w:tc>
          <w:tcPr>
            <w:tcW w:w="1200" w:type="dxa"/>
          </w:tcPr>
          <w:p w14:paraId="129CF557" w14:textId="77777777" w:rsidR="00DA702B" w:rsidRPr="00DA702B" w:rsidRDefault="00DA702B" w:rsidP="00DA702B">
            <w:pPr>
              <w:rPr>
                <w:sz w:val="20"/>
                <w:szCs w:val="20"/>
              </w:rPr>
            </w:pPr>
          </w:p>
        </w:tc>
        <w:tc>
          <w:tcPr>
            <w:tcW w:w="1201" w:type="dxa"/>
          </w:tcPr>
          <w:p w14:paraId="2A7CB7A4" w14:textId="77777777" w:rsidR="00DA702B" w:rsidRPr="00DA702B" w:rsidRDefault="00DA702B" w:rsidP="00DA702B">
            <w:pPr>
              <w:rPr>
                <w:sz w:val="20"/>
                <w:szCs w:val="20"/>
              </w:rPr>
            </w:pPr>
          </w:p>
        </w:tc>
        <w:tc>
          <w:tcPr>
            <w:tcW w:w="1201" w:type="dxa"/>
          </w:tcPr>
          <w:p w14:paraId="0D9DC86D" w14:textId="77777777" w:rsidR="00DA702B" w:rsidRPr="00DA702B" w:rsidRDefault="00DA702B" w:rsidP="00DA702B">
            <w:pPr>
              <w:rPr>
                <w:sz w:val="20"/>
                <w:szCs w:val="20"/>
              </w:rPr>
            </w:pPr>
          </w:p>
        </w:tc>
      </w:tr>
      <w:tr w:rsidR="00DA702B" w:rsidRPr="00DA702B" w14:paraId="3C43C72B" w14:textId="77777777" w:rsidTr="00247007">
        <w:trPr>
          <w:cantSplit/>
          <w:trHeight w:val="346"/>
          <w:tblHeader/>
        </w:trPr>
        <w:tc>
          <w:tcPr>
            <w:tcW w:w="1199" w:type="dxa"/>
          </w:tcPr>
          <w:p w14:paraId="2AC96893" w14:textId="77777777" w:rsidR="00DA702B" w:rsidRPr="00DA702B" w:rsidRDefault="00DA702B" w:rsidP="00DA702B">
            <w:pPr>
              <w:rPr>
                <w:sz w:val="20"/>
                <w:szCs w:val="20"/>
              </w:rPr>
            </w:pPr>
          </w:p>
        </w:tc>
        <w:tc>
          <w:tcPr>
            <w:tcW w:w="1199" w:type="dxa"/>
          </w:tcPr>
          <w:p w14:paraId="0BBD9743" w14:textId="77777777" w:rsidR="00DA702B" w:rsidRPr="00DA702B" w:rsidRDefault="00DA702B" w:rsidP="00DA702B">
            <w:pPr>
              <w:rPr>
                <w:sz w:val="20"/>
                <w:szCs w:val="20"/>
              </w:rPr>
            </w:pPr>
          </w:p>
        </w:tc>
        <w:tc>
          <w:tcPr>
            <w:tcW w:w="1200" w:type="dxa"/>
          </w:tcPr>
          <w:p w14:paraId="0360A03D" w14:textId="77777777" w:rsidR="00DA702B" w:rsidRPr="00DA702B" w:rsidRDefault="00DA702B" w:rsidP="00DA702B">
            <w:pPr>
              <w:rPr>
                <w:sz w:val="20"/>
                <w:szCs w:val="20"/>
              </w:rPr>
            </w:pPr>
          </w:p>
        </w:tc>
        <w:tc>
          <w:tcPr>
            <w:tcW w:w="1239" w:type="dxa"/>
          </w:tcPr>
          <w:p w14:paraId="2CEFEECC" w14:textId="77777777" w:rsidR="00DA702B" w:rsidRPr="00DA702B" w:rsidRDefault="00DA702B" w:rsidP="00DA702B">
            <w:pPr>
              <w:rPr>
                <w:sz w:val="20"/>
                <w:szCs w:val="20"/>
              </w:rPr>
            </w:pPr>
          </w:p>
        </w:tc>
        <w:tc>
          <w:tcPr>
            <w:tcW w:w="1161" w:type="dxa"/>
          </w:tcPr>
          <w:p w14:paraId="0BA8C927" w14:textId="77777777" w:rsidR="00DA702B" w:rsidRPr="00DA702B" w:rsidRDefault="00DA702B" w:rsidP="00DA702B">
            <w:pPr>
              <w:rPr>
                <w:sz w:val="20"/>
                <w:szCs w:val="20"/>
              </w:rPr>
            </w:pPr>
          </w:p>
        </w:tc>
        <w:tc>
          <w:tcPr>
            <w:tcW w:w="1200" w:type="dxa"/>
          </w:tcPr>
          <w:p w14:paraId="653983C1" w14:textId="77777777" w:rsidR="00DA702B" w:rsidRPr="00DA702B" w:rsidRDefault="00DA702B" w:rsidP="00DA702B">
            <w:pPr>
              <w:rPr>
                <w:sz w:val="20"/>
                <w:szCs w:val="20"/>
              </w:rPr>
            </w:pPr>
          </w:p>
        </w:tc>
        <w:tc>
          <w:tcPr>
            <w:tcW w:w="1200" w:type="dxa"/>
          </w:tcPr>
          <w:p w14:paraId="6A8071DB" w14:textId="77777777" w:rsidR="00DA702B" w:rsidRPr="00DA702B" w:rsidRDefault="00DA702B" w:rsidP="00DA702B">
            <w:pPr>
              <w:rPr>
                <w:sz w:val="20"/>
                <w:szCs w:val="20"/>
              </w:rPr>
            </w:pPr>
          </w:p>
        </w:tc>
        <w:tc>
          <w:tcPr>
            <w:tcW w:w="1200" w:type="dxa"/>
          </w:tcPr>
          <w:p w14:paraId="5C9CCA3B" w14:textId="77777777" w:rsidR="00DA702B" w:rsidRPr="00DA702B" w:rsidRDefault="00DA702B" w:rsidP="00DA702B">
            <w:pPr>
              <w:rPr>
                <w:sz w:val="20"/>
                <w:szCs w:val="20"/>
              </w:rPr>
            </w:pPr>
          </w:p>
        </w:tc>
        <w:tc>
          <w:tcPr>
            <w:tcW w:w="1200" w:type="dxa"/>
          </w:tcPr>
          <w:p w14:paraId="060713F3" w14:textId="77777777" w:rsidR="00DA702B" w:rsidRPr="00DA702B" w:rsidRDefault="00DA702B" w:rsidP="00DA702B">
            <w:pPr>
              <w:rPr>
                <w:sz w:val="20"/>
                <w:szCs w:val="20"/>
              </w:rPr>
            </w:pPr>
          </w:p>
        </w:tc>
        <w:tc>
          <w:tcPr>
            <w:tcW w:w="1200" w:type="dxa"/>
          </w:tcPr>
          <w:p w14:paraId="589514F0" w14:textId="77777777" w:rsidR="00DA702B" w:rsidRPr="00DA702B" w:rsidRDefault="00DA702B" w:rsidP="00DA702B">
            <w:pPr>
              <w:rPr>
                <w:sz w:val="20"/>
                <w:szCs w:val="20"/>
              </w:rPr>
            </w:pPr>
          </w:p>
        </w:tc>
        <w:tc>
          <w:tcPr>
            <w:tcW w:w="1201" w:type="dxa"/>
          </w:tcPr>
          <w:p w14:paraId="6A5115D9" w14:textId="77777777" w:rsidR="00DA702B" w:rsidRPr="00DA702B" w:rsidRDefault="00DA702B" w:rsidP="00DA702B">
            <w:pPr>
              <w:rPr>
                <w:sz w:val="20"/>
                <w:szCs w:val="20"/>
              </w:rPr>
            </w:pPr>
          </w:p>
        </w:tc>
        <w:tc>
          <w:tcPr>
            <w:tcW w:w="1201" w:type="dxa"/>
          </w:tcPr>
          <w:p w14:paraId="43C01DCB" w14:textId="77777777" w:rsidR="00DA702B" w:rsidRPr="00DA702B" w:rsidRDefault="00DA702B" w:rsidP="00DA702B">
            <w:pPr>
              <w:rPr>
                <w:sz w:val="20"/>
                <w:szCs w:val="20"/>
              </w:rPr>
            </w:pPr>
          </w:p>
        </w:tc>
      </w:tr>
      <w:tr w:rsidR="00DA702B" w:rsidRPr="00DA702B" w14:paraId="49290038" w14:textId="77777777" w:rsidTr="00247007">
        <w:trPr>
          <w:cantSplit/>
          <w:trHeight w:val="346"/>
          <w:tblHeader/>
        </w:trPr>
        <w:tc>
          <w:tcPr>
            <w:tcW w:w="1199" w:type="dxa"/>
          </w:tcPr>
          <w:p w14:paraId="0F3C8EF8" w14:textId="77777777" w:rsidR="00DA702B" w:rsidRPr="00DA702B" w:rsidRDefault="00DA702B" w:rsidP="00DA702B">
            <w:pPr>
              <w:rPr>
                <w:sz w:val="20"/>
                <w:szCs w:val="20"/>
              </w:rPr>
            </w:pPr>
          </w:p>
        </w:tc>
        <w:tc>
          <w:tcPr>
            <w:tcW w:w="1199" w:type="dxa"/>
          </w:tcPr>
          <w:p w14:paraId="21458B79" w14:textId="77777777" w:rsidR="00DA702B" w:rsidRPr="00DA702B" w:rsidRDefault="00DA702B" w:rsidP="00DA702B">
            <w:pPr>
              <w:rPr>
                <w:sz w:val="20"/>
                <w:szCs w:val="20"/>
              </w:rPr>
            </w:pPr>
          </w:p>
        </w:tc>
        <w:tc>
          <w:tcPr>
            <w:tcW w:w="1200" w:type="dxa"/>
          </w:tcPr>
          <w:p w14:paraId="04047076" w14:textId="77777777" w:rsidR="00DA702B" w:rsidRPr="00DA702B" w:rsidRDefault="00DA702B" w:rsidP="00DA702B">
            <w:pPr>
              <w:rPr>
                <w:sz w:val="20"/>
                <w:szCs w:val="20"/>
              </w:rPr>
            </w:pPr>
          </w:p>
        </w:tc>
        <w:tc>
          <w:tcPr>
            <w:tcW w:w="1239" w:type="dxa"/>
          </w:tcPr>
          <w:p w14:paraId="395B07A1" w14:textId="77777777" w:rsidR="00DA702B" w:rsidRPr="00DA702B" w:rsidRDefault="00DA702B" w:rsidP="00DA702B">
            <w:pPr>
              <w:rPr>
                <w:sz w:val="20"/>
                <w:szCs w:val="20"/>
              </w:rPr>
            </w:pPr>
          </w:p>
        </w:tc>
        <w:tc>
          <w:tcPr>
            <w:tcW w:w="1161" w:type="dxa"/>
          </w:tcPr>
          <w:p w14:paraId="74407E22" w14:textId="77777777" w:rsidR="00DA702B" w:rsidRPr="00DA702B" w:rsidRDefault="00DA702B" w:rsidP="00DA702B">
            <w:pPr>
              <w:rPr>
                <w:sz w:val="20"/>
                <w:szCs w:val="20"/>
              </w:rPr>
            </w:pPr>
          </w:p>
        </w:tc>
        <w:tc>
          <w:tcPr>
            <w:tcW w:w="1200" w:type="dxa"/>
          </w:tcPr>
          <w:p w14:paraId="6933C59A" w14:textId="77777777" w:rsidR="00DA702B" w:rsidRPr="00DA702B" w:rsidRDefault="00DA702B" w:rsidP="00DA702B">
            <w:pPr>
              <w:rPr>
                <w:sz w:val="20"/>
                <w:szCs w:val="20"/>
              </w:rPr>
            </w:pPr>
          </w:p>
        </w:tc>
        <w:tc>
          <w:tcPr>
            <w:tcW w:w="1200" w:type="dxa"/>
          </w:tcPr>
          <w:p w14:paraId="02308A7A" w14:textId="77777777" w:rsidR="00DA702B" w:rsidRPr="00DA702B" w:rsidRDefault="00DA702B" w:rsidP="00DA702B">
            <w:pPr>
              <w:rPr>
                <w:sz w:val="20"/>
                <w:szCs w:val="20"/>
              </w:rPr>
            </w:pPr>
          </w:p>
        </w:tc>
        <w:tc>
          <w:tcPr>
            <w:tcW w:w="1200" w:type="dxa"/>
          </w:tcPr>
          <w:p w14:paraId="1B3D2285" w14:textId="77777777" w:rsidR="00DA702B" w:rsidRPr="00DA702B" w:rsidRDefault="00DA702B" w:rsidP="00DA702B">
            <w:pPr>
              <w:rPr>
                <w:sz w:val="20"/>
                <w:szCs w:val="20"/>
              </w:rPr>
            </w:pPr>
          </w:p>
        </w:tc>
        <w:tc>
          <w:tcPr>
            <w:tcW w:w="1200" w:type="dxa"/>
          </w:tcPr>
          <w:p w14:paraId="136204A4" w14:textId="77777777" w:rsidR="00DA702B" w:rsidRPr="00DA702B" w:rsidRDefault="00DA702B" w:rsidP="00DA702B">
            <w:pPr>
              <w:rPr>
                <w:sz w:val="20"/>
                <w:szCs w:val="20"/>
              </w:rPr>
            </w:pPr>
          </w:p>
        </w:tc>
        <w:tc>
          <w:tcPr>
            <w:tcW w:w="1200" w:type="dxa"/>
          </w:tcPr>
          <w:p w14:paraId="3258B429" w14:textId="77777777" w:rsidR="00DA702B" w:rsidRPr="00DA702B" w:rsidRDefault="00DA702B" w:rsidP="00DA702B">
            <w:pPr>
              <w:rPr>
                <w:sz w:val="20"/>
                <w:szCs w:val="20"/>
              </w:rPr>
            </w:pPr>
          </w:p>
        </w:tc>
        <w:tc>
          <w:tcPr>
            <w:tcW w:w="1201" w:type="dxa"/>
          </w:tcPr>
          <w:p w14:paraId="100465A9" w14:textId="77777777" w:rsidR="00DA702B" w:rsidRPr="00DA702B" w:rsidRDefault="00DA702B" w:rsidP="00DA702B">
            <w:pPr>
              <w:rPr>
                <w:sz w:val="20"/>
                <w:szCs w:val="20"/>
              </w:rPr>
            </w:pPr>
          </w:p>
        </w:tc>
        <w:tc>
          <w:tcPr>
            <w:tcW w:w="1201" w:type="dxa"/>
          </w:tcPr>
          <w:p w14:paraId="13BCB2EE" w14:textId="77777777" w:rsidR="00DA702B" w:rsidRPr="00DA702B" w:rsidRDefault="00DA702B" w:rsidP="00DA702B">
            <w:pPr>
              <w:rPr>
                <w:sz w:val="20"/>
                <w:szCs w:val="20"/>
              </w:rPr>
            </w:pPr>
          </w:p>
        </w:tc>
      </w:tr>
      <w:tr w:rsidR="00DA702B" w:rsidRPr="00DA702B" w14:paraId="6822AAF3" w14:textId="77777777" w:rsidTr="00247007">
        <w:trPr>
          <w:cantSplit/>
          <w:trHeight w:val="346"/>
          <w:tblHeader/>
        </w:trPr>
        <w:tc>
          <w:tcPr>
            <w:tcW w:w="1199" w:type="dxa"/>
          </w:tcPr>
          <w:p w14:paraId="44FA412E" w14:textId="77777777" w:rsidR="00DA702B" w:rsidRPr="00DA702B" w:rsidRDefault="00DA702B" w:rsidP="00DA702B">
            <w:pPr>
              <w:rPr>
                <w:sz w:val="20"/>
                <w:szCs w:val="20"/>
              </w:rPr>
            </w:pPr>
          </w:p>
        </w:tc>
        <w:tc>
          <w:tcPr>
            <w:tcW w:w="1199" w:type="dxa"/>
          </w:tcPr>
          <w:p w14:paraId="4FA35D93" w14:textId="77777777" w:rsidR="00DA702B" w:rsidRPr="00DA702B" w:rsidRDefault="00DA702B" w:rsidP="00DA702B">
            <w:pPr>
              <w:rPr>
                <w:sz w:val="20"/>
                <w:szCs w:val="20"/>
              </w:rPr>
            </w:pPr>
          </w:p>
        </w:tc>
        <w:tc>
          <w:tcPr>
            <w:tcW w:w="1200" w:type="dxa"/>
          </w:tcPr>
          <w:p w14:paraId="49499E67" w14:textId="77777777" w:rsidR="00DA702B" w:rsidRPr="00DA702B" w:rsidRDefault="00DA702B" w:rsidP="00DA702B">
            <w:pPr>
              <w:rPr>
                <w:sz w:val="20"/>
                <w:szCs w:val="20"/>
              </w:rPr>
            </w:pPr>
          </w:p>
        </w:tc>
        <w:tc>
          <w:tcPr>
            <w:tcW w:w="1239" w:type="dxa"/>
          </w:tcPr>
          <w:p w14:paraId="284EB2A1" w14:textId="77777777" w:rsidR="00DA702B" w:rsidRPr="00DA702B" w:rsidRDefault="00DA702B" w:rsidP="00DA702B">
            <w:pPr>
              <w:rPr>
                <w:sz w:val="20"/>
                <w:szCs w:val="20"/>
              </w:rPr>
            </w:pPr>
          </w:p>
        </w:tc>
        <w:tc>
          <w:tcPr>
            <w:tcW w:w="1161" w:type="dxa"/>
          </w:tcPr>
          <w:p w14:paraId="6E27A2D4" w14:textId="77777777" w:rsidR="00DA702B" w:rsidRPr="00DA702B" w:rsidRDefault="00DA702B" w:rsidP="00DA702B">
            <w:pPr>
              <w:rPr>
                <w:sz w:val="20"/>
                <w:szCs w:val="20"/>
              </w:rPr>
            </w:pPr>
          </w:p>
        </w:tc>
        <w:tc>
          <w:tcPr>
            <w:tcW w:w="1200" w:type="dxa"/>
          </w:tcPr>
          <w:p w14:paraId="019E7EC7" w14:textId="77777777" w:rsidR="00DA702B" w:rsidRPr="00DA702B" w:rsidRDefault="00DA702B" w:rsidP="00DA702B">
            <w:pPr>
              <w:rPr>
                <w:sz w:val="20"/>
                <w:szCs w:val="20"/>
              </w:rPr>
            </w:pPr>
          </w:p>
        </w:tc>
        <w:tc>
          <w:tcPr>
            <w:tcW w:w="1200" w:type="dxa"/>
          </w:tcPr>
          <w:p w14:paraId="3872512A" w14:textId="77777777" w:rsidR="00DA702B" w:rsidRPr="00DA702B" w:rsidRDefault="00DA702B" w:rsidP="00DA702B">
            <w:pPr>
              <w:rPr>
                <w:sz w:val="20"/>
                <w:szCs w:val="20"/>
              </w:rPr>
            </w:pPr>
          </w:p>
        </w:tc>
        <w:tc>
          <w:tcPr>
            <w:tcW w:w="1200" w:type="dxa"/>
          </w:tcPr>
          <w:p w14:paraId="14A08CEE" w14:textId="77777777" w:rsidR="00DA702B" w:rsidRPr="00DA702B" w:rsidRDefault="00DA702B" w:rsidP="00DA702B">
            <w:pPr>
              <w:rPr>
                <w:sz w:val="20"/>
                <w:szCs w:val="20"/>
              </w:rPr>
            </w:pPr>
          </w:p>
        </w:tc>
        <w:tc>
          <w:tcPr>
            <w:tcW w:w="1200" w:type="dxa"/>
          </w:tcPr>
          <w:p w14:paraId="6E4B4F24" w14:textId="77777777" w:rsidR="00DA702B" w:rsidRPr="00DA702B" w:rsidRDefault="00DA702B" w:rsidP="00DA702B">
            <w:pPr>
              <w:rPr>
                <w:sz w:val="20"/>
                <w:szCs w:val="20"/>
              </w:rPr>
            </w:pPr>
          </w:p>
        </w:tc>
        <w:tc>
          <w:tcPr>
            <w:tcW w:w="1200" w:type="dxa"/>
          </w:tcPr>
          <w:p w14:paraId="5A27F942" w14:textId="77777777" w:rsidR="00DA702B" w:rsidRPr="00DA702B" w:rsidRDefault="00DA702B" w:rsidP="00DA702B">
            <w:pPr>
              <w:rPr>
                <w:sz w:val="20"/>
                <w:szCs w:val="20"/>
              </w:rPr>
            </w:pPr>
          </w:p>
        </w:tc>
        <w:tc>
          <w:tcPr>
            <w:tcW w:w="1201" w:type="dxa"/>
          </w:tcPr>
          <w:p w14:paraId="4A924972" w14:textId="77777777" w:rsidR="00DA702B" w:rsidRPr="00DA702B" w:rsidRDefault="00DA702B" w:rsidP="00DA702B">
            <w:pPr>
              <w:rPr>
                <w:sz w:val="20"/>
                <w:szCs w:val="20"/>
              </w:rPr>
            </w:pPr>
          </w:p>
        </w:tc>
        <w:tc>
          <w:tcPr>
            <w:tcW w:w="1201" w:type="dxa"/>
          </w:tcPr>
          <w:p w14:paraId="6918668A" w14:textId="77777777" w:rsidR="00DA702B" w:rsidRPr="00DA702B" w:rsidRDefault="00DA702B" w:rsidP="00DA702B">
            <w:pPr>
              <w:rPr>
                <w:sz w:val="20"/>
                <w:szCs w:val="20"/>
              </w:rPr>
            </w:pPr>
          </w:p>
        </w:tc>
      </w:tr>
      <w:tr w:rsidR="00DA702B" w:rsidRPr="00DA702B" w14:paraId="17916711" w14:textId="77777777" w:rsidTr="00247007">
        <w:trPr>
          <w:cantSplit/>
          <w:trHeight w:val="346"/>
          <w:tblHeader/>
        </w:trPr>
        <w:tc>
          <w:tcPr>
            <w:tcW w:w="1199" w:type="dxa"/>
          </w:tcPr>
          <w:p w14:paraId="15051EEC" w14:textId="77777777" w:rsidR="00DA702B" w:rsidRPr="00DA702B" w:rsidRDefault="00DA702B" w:rsidP="00DA702B">
            <w:pPr>
              <w:rPr>
                <w:sz w:val="20"/>
                <w:szCs w:val="20"/>
              </w:rPr>
            </w:pPr>
          </w:p>
        </w:tc>
        <w:tc>
          <w:tcPr>
            <w:tcW w:w="1199" w:type="dxa"/>
          </w:tcPr>
          <w:p w14:paraId="007FF3C5" w14:textId="77777777" w:rsidR="00DA702B" w:rsidRPr="00DA702B" w:rsidRDefault="00DA702B" w:rsidP="00DA702B">
            <w:pPr>
              <w:rPr>
                <w:sz w:val="20"/>
                <w:szCs w:val="20"/>
              </w:rPr>
            </w:pPr>
          </w:p>
        </w:tc>
        <w:tc>
          <w:tcPr>
            <w:tcW w:w="1200" w:type="dxa"/>
          </w:tcPr>
          <w:p w14:paraId="47B76A3D" w14:textId="77777777" w:rsidR="00DA702B" w:rsidRPr="00DA702B" w:rsidRDefault="00DA702B" w:rsidP="00DA702B">
            <w:pPr>
              <w:rPr>
                <w:sz w:val="20"/>
                <w:szCs w:val="20"/>
              </w:rPr>
            </w:pPr>
          </w:p>
        </w:tc>
        <w:tc>
          <w:tcPr>
            <w:tcW w:w="1239" w:type="dxa"/>
          </w:tcPr>
          <w:p w14:paraId="62737D4D" w14:textId="77777777" w:rsidR="00DA702B" w:rsidRPr="00DA702B" w:rsidRDefault="00DA702B" w:rsidP="00DA702B">
            <w:pPr>
              <w:rPr>
                <w:sz w:val="20"/>
                <w:szCs w:val="20"/>
              </w:rPr>
            </w:pPr>
          </w:p>
        </w:tc>
        <w:tc>
          <w:tcPr>
            <w:tcW w:w="1161" w:type="dxa"/>
          </w:tcPr>
          <w:p w14:paraId="039AE1CC" w14:textId="77777777" w:rsidR="00DA702B" w:rsidRPr="00DA702B" w:rsidRDefault="00DA702B" w:rsidP="00DA702B">
            <w:pPr>
              <w:rPr>
                <w:sz w:val="20"/>
                <w:szCs w:val="20"/>
              </w:rPr>
            </w:pPr>
          </w:p>
        </w:tc>
        <w:tc>
          <w:tcPr>
            <w:tcW w:w="1200" w:type="dxa"/>
          </w:tcPr>
          <w:p w14:paraId="67D4F505" w14:textId="77777777" w:rsidR="00DA702B" w:rsidRPr="00DA702B" w:rsidRDefault="00DA702B" w:rsidP="00DA702B">
            <w:pPr>
              <w:rPr>
                <w:sz w:val="20"/>
                <w:szCs w:val="20"/>
              </w:rPr>
            </w:pPr>
          </w:p>
        </w:tc>
        <w:tc>
          <w:tcPr>
            <w:tcW w:w="1200" w:type="dxa"/>
          </w:tcPr>
          <w:p w14:paraId="6FC8BD92" w14:textId="77777777" w:rsidR="00DA702B" w:rsidRPr="00DA702B" w:rsidRDefault="00DA702B" w:rsidP="00DA702B">
            <w:pPr>
              <w:rPr>
                <w:sz w:val="20"/>
                <w:szCs w:val="20"/>
              </w:rPr>
            </w:pPr>
          </w:p>
        </w:tc>
        <w:tc>
          <w:tcPr>
            <w:tcW w:w="1200" w:type="dxa"/>
          </w:tcPr>
          <w:p w14:paraId="031D7471" w14:textId="77777777" w:rsidR="00DA702B" w:rsidRPr="00DA702B" w:rsidRDefault="00DA702B" w:rsidP="00DA702B">
            <w:pPr>
              <w:rPr>
                <w:sz w:val="20"/>
                <w:szCs w:val="20"/>
              </w:rPr>
            </w:pPr>
          </w:p>
        </w:tc>
        <w:tc>
          <w:tcPr>
            <w:tcW w:w="1200" w:type="dxa"/>
          </w:tcPr>
          <w:p w14:paraId="1C08C3D5" w14:textId="77777777" w:rsidR="00DA702B" w:rsidRPr="00DA702B" w:rsidRDefault="00DA702B" w:rsidP="00DA702B">
            <w:pPr>
              <w:rPr>
                <w:sz w:val="20"/>
                <w:szCs w:val="20"/>
              </w:rPr>
            </w:pPr>
          </w:p>
        </w:tc>
        <w:tc>
          <w:tcPr>
            <w:tcW w:w="1200" w:type="dxa"/>
          </w:tcPr>
          <w:p w14:paraId="174D7F60" w14:textId="77777777" w:rsidR="00DA702B" w:rsidRPr="00DA702B" w:rsidRDefault="00DA702B" w:rsidP="00DA702B">
            <w:pPr>
              <w:rPr>
                <w:sz w:val="20"/>
                <w:szCs w:val="20"/>
              </w:rPr>
            </w:pPr>
          </w:p>
        </w:tc>
        <w:tc>
          <w:tcPr>
            <w:tcW w:w="1201" w:type="dxa"/>
          </w:tcPr>
          <w:p w14:paraId="131C4AD0" w14:textId="77777777" w:rsidR="00DA702B" w:rsidRPr="00DA702B" w:rsidRDefault="00DA702B" w:rsidP="00DA702B">
            <w:pPr>
              <w:rPr>
                <w:sz w:val="20"/>
                <w:szCs w:val="20"/>
              </w:rPr>
            </w:pPr>
          </w:p>
        </w:tc>
        <w:tc>
          <w:tcPr>
            <w:tcW w:w="1201" w:type="dxa"/>
          </w:tcPr>
          <w:p w14:paraId="3F6EC53C" w14:textId="77777777" w:rsidR="00DA702B" w:rsidRPr="00DA702B" w:rsidRDefault="00DA702B" w:rsidP="00DA702B">
            <w:pPr>
              <w:rPr>
                <w:sz w:val="20"/>
                <w:szCs w:val="20"/>
              </w:rPr>
            </w:pPr>
          </w:p>
        </w:tc>
      </w:tr>
      <w:tr w:rsidR="00DA702B" w:rsidRPr="00DA702B" w14:paraId="0820BC73" w14:textId="77777777" w:rsidTr="00247007">
        <w:trPr>
          <w:cantSplit/>
          <w:trHeight w:val="346"/>
          <w:tblHeader/>
        </w:trPr>
        <w:tc>
          <w:tcPr>
            <w:tcW w:w="1199" w:type="dxa"/>
          </w:tcPr>
          <w:p w14:paraId="402BA99A" w14:textId="77777777" w:rsidR="00DA702B" w:rsidRPr="00DA702B" w:rsidRDefault="00DA702B" w:rsidP="00DA702B">
            <w:pPr>
              <w:rPr>
                <w:sz w:val="20"/>
                <w:szCs w:val="20"/>
              </w:rPr>
            </w:pPr>
          </w:p>
        </w:tc>
        <w:tc>
          <w:tcPr>
            <w:tcW w:w="1199" w:type="dxa"/>
          </w:tcPr>
          <w:p w14:paraId="66165C26" w14:textId="77777777" w:rsidR="00DA702B" w:rsidRPr="00DA702B" w:rsidRDefault="00DA702B" w:rsidP="00DA702B">
            <w:pPr>
              <w:rPr>
                <w:sz w:val="20"/>
                <w:szCs w:val="20"/>
              </w:rPr>
            </w:pPr>
          </w:p>
        </w:tc>
        <w:tc>
          <w:tcPr>
            <w:tcW w:w="1200" w:type="dxa"/>
          </w:tcPr>
          <w:p w14:paraId="02DA0A88" w14:textId="77777777" w:rsidR="00DA702B" w:rsidRPr="00DA702B" w:rsidRDefault="00DA702B" w:rsidP="00DA702B">
            <w:pPr>
              <w:rPr>
                <w:sz w:val="20"/>
                <w:szCs w:val="20"/>
              </w:rPr>
            </w:pPr>
          </w:p>
        </w:tc>
        <w:tc>
          <w:tcPr>
            <w:tcW w:w="1239" w:type="dxa"/>
          </w:tcPr>
          <w:p w14:paraId="01D2A607" w14:textId="77777777" w:rsidR="00DA702B" w:rsidRPr="00DA702B" w:rsidRDefault="00DA702B" w:rsidP="00DA702B">
            <w:pPr>
              <w:rPr>
                <w:sz w:val="20"/>
                <w:szCs w:val="20"/>
              </w:rPr>
            </w:pPr>
          </w:p>
        </w:tc>
        <w:tc>
          <w:tcPr>
            <w:tcW w:w="1161" w:type="dxa"/>
          </w:tcPr>
          <w:p w14:paraId="09380AE1" w14:textId="77777777" w:rsidR="00DA702B" w:rsidRPr="00DA702B" w:rsidRDefault="00DA702B" w:rsidP="00DA702B">
            <w:pPr>
              <w:rPr>
                <w:sz w:val="20"/>
                <w:szCs w:val="20"/>
              </w:rPr>
            </w:pPr>
          </w:p>
        </w:tc>
        <w:tc>
          <w:tcPr>
            <w:tcW w:w="1200" w:type="dxa"/>
          </w:tcPr>
          <w:p w14:paraId="460603EB" w14:textId="77777777" w:rsidR="00DA702B" w:rsidRPr="00DA702B" w:rsidRDefault="00DA702B" w:rsidP="00DA702B">
            <w:pPr>
              <w:rPr>
                <w:sz w:val="20"/>
                <w:szCs w:val="20"/>
              </w:rPr>
            </w:pPr>
          </w:p>
        </w:tc>
        <w:tc>
          <w:tcPr>
            <w:tcW w:w="1200" w:type="dxa"/>
          </w:tcPr>
          <w:p w14:paraId="6FD12AB3" w14:textId="77777777" w:rsidR="00DA702B" w:rsidRPr="00DA702B" w:rsidRDefault="00DA702B" w:rsidP="00DA702B">
            <w:pPr>
              <w:rPr>
                <w:sz w:val="20"/>
                <w:szCs w:val="20"/>
              </w:rPr>
            </w:pPr>
          </w:p>
        </w:tc>
        <w:tc>
          <w:tcPr>
            <w:tcW w:w="1200" w:type="dxa"/>
          </w:tcPr>
          <w:p w14:paraId="466004F8" w14:textId="77777777" w:rsidR="00DA702B" w:rsidRPr="00DA702B" w:rsidRDefault="00DA702B" w:rsidP="00DA702B">
            <w:pPr>
              <w:rPr>
                <w:sz w:val="20"/>
                <w:szCs w:val="20"/>
              </w:rPr>
            </w:pPr>
          </w:p>
        </w:tc>
        <w:tc>
          <w:tcPr>
            <w:tcW w:w="1200" w:type="dxa"/>
          </w:tcPr>
          <w:p w14:paraId="6CAB8651" w14:textId="77777777" w:rsidR="00DA702B" w:rsidRPr="00DA702B" w:rsidRDefault="00DA702B" w:rsidP="00DA702B">
            <w:pPr>
              <w:rPr>
                <w:sz w:val="20"/>
                <w:szCs w:val="20"/>
              </w:rPr>
            </w:pPr>
          </w:p>
        </w:tc>
        <w:tc>
          <w:tcPr>
            <w:tcW w:w="1200" w:type="dxa"/>
          </w:tcPr>
          <w:p w14:paraId="0B4CC4AB" w14:textId="77777777" w:rsidR="00DA702B" w:rsidRPr="00DA702B" w:rsidRDefault="00DA702B" w:rsidP="00DA702B">
            <w:pPr>
              <w:rPr>
                <w:sz w:val="20"/>
                <w:szCs w:val="20"/>
              </w:rPr>
            </w:pPr>
          </w:p>
        </w:tc>
        <w:tc>
          <w:tcPr>
            <w:tcW w:w="1201" w:type="dxa"/>
          </w:tcPr>
          <w:p w14:paraId="1B2195B0" w14:textId="77777777" w:rsidR="00DA702B" w:rsidRPr="00DA702B" w:rsidRDefault="00DA702B" w:rsidP="00DA702B">
            <w:pPr>
              <w:rPr>
                <w:sz w:val="20"/>
                <w:szCs w:val="20"/>
              </w:rPr>
            </w:pPr>
          </w:p>
        </w:tc>
        <w:tc>
          <w:tcPr>
            <w:tcW w:w="1201" w:type="dxa"/>
          </w:tcPr>
          <w:p w14:paraId="727831F0" w14:textId="77777777" w:rsidR="00DA702B" w:rsidRPr="00DA702B" w:rsidRDefault="00DA702B" w:rsidP="00DA702B">
            <w:pPr>
              <w:rPr>
                <w:sz w:val="20"/>
                <w:szCs w:val="20"/>
              </w:rPr>
            </w:pPr>
          </w:p>
        </w:tc>
      </w:tr>
      <w:tr w:rsidR="00DA702B" w:rsidRPr="00DA702B" w14:paraId="3B866321" w14:textId="77777777" w:rsidTr="00247007">
        <w:trPr>
          <w:cantSplit/>
          <w:trHeight w:val="346"/>
          <w:tblHeader/>
        </w:trPr>
        <w:tc>
          <w:tcPr>
            <w:tcW w:w="1199" w:type="dxa"/>
          </w:tcPr>
          <w:p w14:paraId="6AEA4FC8" w14:textId="77777777" w:rsidR="00DA702B" w:rsidRPr="00DA702B" w:rsidRDefault="00DA702B" w:rsidP="00DA702B">
            <w:pPr>
              <w:rPr>
                <w:sz w:val="20"/>
                <w:szCs w:val="20"/>
              </w:rPr>
            </w:pPr>
          </w:p>
        </w:tc>
        <w:tc>
          <w:tcPr>
            <w:tcW w:w="1199" w:type="dxa"/>
          </w:tcPr>
          <w:p w14:paraId="3A039ADA" w14:textId="77777777" w:rsidR="00DA702B" w:rsidRPr="00DA702B" w:rsidRDefault="00DA702B" w:rsidP="00DA702B">
            <w:pPr>
              <w:rPr>
                <w:sz w:val="20"/>
                <w:szCs w:val="20"/>
              </w:rPr>
            </w:pPr>
          </w:p>
        </w:tc>
        <w:tc>
          <w:tcPr>
            <w:tcW w:w="1200" w:type="dxa"/>
          </w:tcPr>
          <w:p w14:paraId="375865F4" w14:textId="77777777" w:rsidR="00DA702B" w:rsidRPr="00DA702B" w:rsidRDefault="00DA702B" w:rsidP="00DA702B">
            <w:pPr>
              <w:rPr>
                <w:sz w:val="20"/>
                <w:szCs w:val="20"/>
              </w:rPr>
            </w:pPr>
          </w:p>
        </w:tc>
        <w:tc>
          <w:tcPr>
            <w:tcW w:w="1239" w:type="dxa"/>
          </w:tcPr>
          <w:p w14:paraId="554C036D" w14:textId="77777777" w:rsidR="00DA702B" w:rsidRPr="00DA702B" w:rsidRDefault="00DA702B" w:rsidP="00DA702B">
            <w:pPr>
              <w:rPr>
                <w:sz w:val="20"/>
                <w:szCs w:val="20"/>
              </w:rPr>
            </w:pPr>
          </w:p>
        </w:tc>
        <w:tc>
          <w:tcPr>
            <w:tcW w:w="1161" w:type="dxa"/>
          </w:tcPr>
          <w:p w14:paraId="602C58DE" w14:textId="77777777" w:rsidR="00DA702B" w:rsidRPr="00DA702B" w:rsidRDefault="00DA702B" w:rsidP="00DA702B">
            <w:pPr>
              <w:rPr>
                <w:sz w:val="20"/>
                <w:szCs w:val="20"/>
              </w:rPr>
            </w:pPr>
          </w:p>
        </w:tc>
        <w:tc>
          <w:tcPr>
            <w:tcW w:w="1200" w:type="dxa"/>
          </w:tcPr>
          <w:p w14:paraId="205A288C" w14:textId="77777777" w:rsidR="00DA702B" w:rsidRPr="00DA702B" w:rsidRDefault="00DA702B" w:rsidP="00DA702B">
            <w:pPr>
              <w:rPr>
                <w:sz w:val="20"/>
                <w:szCs w:val="20"/>
              </w:rPr>
            </w:pPr>
          </w:p>
        </w:tc>
        <w:tc>
          <w:tcPr>
            <w:tcW w:w="1200" w:type="dxa"/>
          </w:tcPr>
          <w:p w14:paraId="3DD24BEA" w14:textId="77777777" w:rsidR="00DA702B" w:rsidRPr="00DA702B" w:rsidRDefault="00DA702B" w:rsidP="00DA702B">
            <w:pPr>
              <w:rPr>
                <w:sz w:val="20"/>
                <w:szCs w:val="20"/>
              </w:rPr>
            </w:pPr>
          </w:p>
        </w:tc>
        <w:tc>
          <w:tcPr>
            <w:tcW w:w="1200" w:type="dxa"/>
          </w:tcPr>
          <w:p w14:paraId="47B72DAB" w14:textId="77777777" w:rsidR="00DA702B" w:rsidRPr="00DA702B" w:rsidRDefault="00DA702B" w:rsidP="00DA702B">
            <w:pPr>
              <w:rPr>
                <w:sz w:val="20"/>
                <w:szCs w:val="20"/>
              </w:rPr>
            </w:pPr>
          </w:p>
        </w:tc>
        <w:tc>
          <w:tcPr>
            <w:tcW w:w="1200" w:type="dxa"/>
          </w:tcPr>
          <w:p w14:paraId="595FD4E8" w14:textId="77777777" w:rsidR="00DA702B" w:rsidRPr="00DA702B" w:rsidRDefault="00DA702B" w:rsidP="00DA702B">
            <w:pPr>
              <w:rPr>
                <w:sz w:val="20"/>
                <w:szCs w:val="20"/>
              </w:rPr>
            </w:pPr>
          </w:p>
        </w:tc>
        <w:tc>
          <w:tcPr>
            <w:tcW w:w="1200" w:type="dxa"/>
          </w:tcPr>
          <w:p w14:paraId="4C77B5AD" w14:textId="77777777" w:rsidR="00DA702B" w:rsidRPr="00DA702B" w:rsidRDefault="00DA702B" w:rsidP="00DA702B">
            <w:pPr>
              <w:rPr>
                <w:sz w:val="20"/>
                <w:szCs w:val="20"/>
              </w:rPr>
            </w:pPr>
          </w:p>
        </w:tc>
        <w:tc>
          <w:tcPr>
            <w:tcW w:w="1201" w:type="dxa"/>
          </w:tcPr>
          <w:p w14:paraId="27818F2E" w14:textId="77777777" w:rsidR="00DA702B" w:rsidRPr="00DA702B" w:rsidRDefault="00DA702B" w:rsidP="00DA702B">
            <w:pPr>
              <w:rPr>
                <w:sz w:val="20"/>
                <w:szCs w:val="20"/>
              </w:rPr>
            </w:pPr>
          </w:p>
        </w:tc>
        <w:tc>
          <w:tcPr>
            <w:tcW w:w="1201" w:type="dxa"/>
          </w:tcPr>
          <w:p w14:paraId="305EAFAE" w14:textId="77777777" w:rsidR="00DA702B" w:rsidRPr="00DA702B" w:rsidRDefault="00DA702B" w:rsidP="00DA702B">
            <w:pPr>
              <w:rPr>
                <w:sz w:val="20"/>
                <w:szCs w:val="20"/>
              </w:rPr>
            </w:pPr>
          </w:p>
        </w:tc>
      </w:tr>
      <w:tr w:rsidR="00DA702B" w:rsidRPr="00DA702B" w14:paraId="4A88093C" w14:textId="77777777" w:rsidTr="00247007">
        <w:trPr>
          <w:cantSplit/>
          <w:trHeight w:val="346"/>
          <w:tblHeader/>
        </w:trPr>
        <w:tc>
          <w:tcPr>
            <w:tcW w:w="1199" w:type="dxa"/>
          </w:tcPr>
          <w:p w14:paraId="2D95B651" w14:textId="77777777" w:rsidR="00DA702B" w:rsidRPr="00DA702B" w:rsidRDefault="00DA702B" w:rsidP="00DA702B">
            <w:pPr>
              <w:rPr>
                <w:sz w:val="20"/>
                <w:szCs w:val="20"/>
              </w:rPr>
            </w:pPr>
          </w:p>
        </w:tc>
        <w:tc>
          <w:tcPr>
            <w:tcW w:w="1199" w:type="dxa"/>
          </w:tcPr>
          <w:p w14:paraId="63800648" w14:textId="77777777" w:rsidR="00DA702B" w:rsidRPr="00DA702B" w:rsidRDefault="00DA702B" w:rsidP="00DA702B">
            <w:pPr>
              <w:rPr>
                <w:sz w:val="20"/>
                <w:szCs w:val="20"/>
              </w:rPr>
            </w:pPr>
          </w:p>
        </w:tc>
        <w:tc>
          <w:tcPr>
            <w:tcW w:w="1200" w:type="dxa"/>
          </w:tcPr>
          <w:p w14:paraId="417DF596" w14:textId="77777777" w:rsidR="00DA702B" w:rsidRPr="00DA702B" w:rsidRDefault="00DA702B" w:rsidP="00DA702B">
            <w:pPr>
              <w:rPr>
                <w:sz w:val="20"/>
                <w:szCs w:val="20"/>
              </w:rPr>
            </w:pPr>
          </w:p>
        </w:tc>
        <w:tc>
          <w:tcPr>
            <w:tcW w:w="1239" w:type="dxa"/>
          </w:tcPr>
          <w:p w14:paraId="184357E2" w14:textId="77777777" w:rsidR="00DA702B" w:rsidRPr="00DA702B" w:rsidRDefault="00DA702B" w:rsidP="00DA702B">
            <w:pPr>
              <w:rPr>
                <w:sz w:val="20"/>
                <w:szCs w:val="20"/>
              </w:rPr>
            </w:pPr>
          </w:p>
        </w:tc>
        <w:tc>
          <w:tcPr>
            <w:tcW w:w="1161" w:type="dxa"/>
          </w:tcPr>
          <w:p w14:paraId="6A8F2B27" w14:textId="77777777" w:rsidR="00DA702B" w:rsidRPr="00DA702B" w:rsidRDefault="00DA702B" w:rsidP="00DA702B">
            <w:pPr>
              <w:rPr>
                <w:sz w:val="20"/>
                <w:szCs w:val="20"/>
              </w:rPr>
            </w:pPr>
          </w:p>
        </w:tc>
        <w:tc>
          <w:tcPr>
            <w:tcW w:w="1200" w:type="dxa"/>
          </w:tcPr>
          <w:p w14:paraId="11775DE6" w14:textId="77777777" w:rsidR="00DA702B" w:rsidRPr="00DA702B" w:rsidRDefault="00DA702B" w:rsidP="00DA702B">
            <w:pPr>
              <w:rPr>
                <w:sz w:val="20"/>
                <w:szCs w:val="20"/>
              </w:rPr>
            </w:pPr>
          </w:p>
        </w:tc>
        <w:tc>
          <w:tcPr>
            <w:tcW w:w="1200" w:type="dxa"/>
          </w:tcPr>
          <w:p w14:paraId="2B59F528" w14:textId="77777777" w:rsidR="00DA702B" w:rsidRPr="00DA702B" w:rsidRDefault="00DA702B" w:rsidP="00DA702B">
            <w:pPr>
              <w:rPr>
                <w:sz w:val="20"/>
                <w:szCs w:val="20"/>
              </w:rPr>
            </w:pPr>
          </w:p>
        </w:tc>
        <w:tc>
          <w:tcPr>
            <w:tcW w:w="1200" w:type="dxa"/>
          </w:tcPr>
          <w:p w14:paraId="351EC6A4" w14:textId="77777777" w:rsidR="00DA702B" w:rsidRPr="00DA702B" w:rsidRDefault="00DA702B" w:rsidP="00DA702B">
            <w:pPr>
              <w:rPr>
                <w:sz w:val="20"/>
                <w:szCs w:val="20"/>
              </w:rPr>
            </w:pPr>
          </w:p>
        </w:tc>
        <w:tc>
          <w:tcPr>
            <w:tcW w:w="1200" w:type="dxa"/>
          </w:tcPr>
          <w:p w14:paraId="78B74383" w14:textId="77777777" w:rsidR="00DA702B" w:rsidRPr="00DA702B" w:rsidRDefault="00DA702B" w:rsidP="00DA702B">
            <w:pPr>
              <w:rPr>
                <w:sz w:val="20"/>
                <w:szCs w:val="20"/>
              </w:rPr>
            </w:pPr>
          </w:p>
        </w:tc>
        <w:tc>
          <w:tcPr>
            <w:tcW w:w="1200" w:type="dxa"/>
          </w:tcPr>
          <w:p w14:paraId="29A5F2CD" w14:textId="77777777" w:rsidR="00DA702B" w:rsidRPr="00DA702B" w:rsidRDefault="00DA702B" w:rsidP="00DA702B">
            <w:pPr>
              <w:rPr>
                <w:sz w:val="20"/>
                <w:szCs w:val="20"/>
              </w:rPr>
            </w:pPr>
          </w:p>
        </w:tc>
        <w:tc>
          <w:tcPr>
            <w:tcW w:w="1201" w:type="dxa"/>
          </w:tcPr>
          <w:p w14:paraId="5E605FD6" w14:textId="77777777" w:rsidR="00DA702B" w:rsidRPr="00DA702B" w:rsidRDefault="00DA702B" w:rsidP="00DA702B">
            <w:pPr>
              <w:rPr>
                <w:sz w:val="20"/>
                <w:szCs w:val="20"/>
              </w:rPr>
            </w:pPr>
          </w:p>
        </w:tc>
        <w:tc>
          <w:tcPr>
            <w:tcW w:w="1201" w:type="dxa"/>
          </w:tcPr>
          <w:p w14:paraId="32498BE1" w14:textId="77777777" w:rsidR="00DA702B" w:rsidRPr="00DA702B" w:rsidRDefault="00DA702B" w:rsidP="00DA702B">
            <w:pPr>
              <w:rPr>
                <w:sz w:val="20"/>
                <w:szCs w:val="20"/>
              </w:rPr>
            </w:pPr>
          </w:p>
        </w:tc>
      </w:tr>
      <w:tr w:rsidR="00DA702B" w:rsidRPr="00DA702B" w14:paraId="39422611" w14:textId="77777777" w:rsidTr="00247007">
        <w:trPr>
          <w:cantSplit/>
          <w:trHeight w:val="346"/>
          <w:tblHeader/>
        </w:trPr>
        <w:tc>
          <w:tcPr>
            <w:tcW w:w="1199" w:type="dxa"/>
          </w:tcPr>
          <w:p w14:paraId="5FD71C1C" w14:textId="77777777" w:rsidR="00DA702B" w:rsidRPr="00DA702B" w:rsidRDefault="00DA702B" w:rsidP="00DA702B">
            <w:pPr>
              <w:rPr>
                <w:sz w:val="20"/>
                <w:szCs w:val="20"/>
              </w:rPr>
            </w:pPr>
          </w:p>
        </w:tc>
        <w:tc>
          <w:tcPr>
            <w:tcW w:w="1199" w:type="dxa"/>
          </w:tcPr>
          <w:p w14:paraId="5A5E4BCA" w14:textId="77777777" w:rsidR="00DA702B" w:rsidRPr="00DA702B" w:rsidRDefault="00DA702B" w:rsidP="00DA702B">
            <w:pPr>
              <w:rPr>
                <w:sz w:val="20"/>
                <w:szCs w:val="20"/>
              </w:rPr>
            </w:pPr>
          </w:p>
        </w:tc>
        <w:tc>
          <w:tcPr>
            <w:tcW w:w="1200" w:type="dxa"/>
          </w:tcPr>
          <w:p w14:paraId="6E8E7A9E" w14:textId="77777777" w:rsidR="00DA702B" w:rsidRPr="00DA702B" w:rsidRDefault="00DA702B" w:rsidP="00DA702B">
            <w:pPr>
              <w:rPr>
                <w:sz w:val="20"/>
                <w:szCs w:val="20"/>
              </w:rPr>
            </w:pPr>
          </w:p>
        </w:tc>
        <w:tc>
          <w:tcPr>
            <w:tcW w:w="1239" w:type="dxa"/>
          </w:tcPr>
          <w:p w14:paraId="6B02F15D" w14:textId="77777777" w:rsidR="00DA702B" w:rsidRPr="00DA702B" w:rsidRDefault="00DA702B" w:rsidP="00DA702B">
            <w:pPr>
              <w:rPr>
                <w:sz w:val="20"/>
                <w:szCs w:val="20"/>
              </w:rPr>
            </w:pPr>
          </w:p>
        </w:tc>
        <w:tc>
          <w:tcPr>
            <w:tcW w:w="1161" w:type="dxa"/>
          </w:tcPr>
          <w:p w14:paraId="6AF26143" w14:textId="77777777" w:rsidR="00DA702B" w:rsidRPr="00DA702B" w:rsidRDefault="00DA702B" w:rsidP="00DA702B">
            <w:pPr>
              <w:rPr>
                <w:sz w:val="20"/>
                <w:szCs w:val="20"/>
              </w:rPr>
            </w:pPr>
          </w:p>
        </w:tc>
        <w:tc>
          <w:tcPr>
            <w:tcW w:w="1200" w:type="dxa"/>
          </w:tcPr>
          <w:p w14:paraId="6F8A3781" w14:textId="77777777" w:rsidR="00DA702B" w:rsidRPr="00DA702B" w:rsidRDefault="00DA702B" w:rsidP="00DA702B">
            <w:pPr>
              <w:rPr>
                <w:sz w:val="20"/>
                <w:szCs w:val="20"/>
              </w:rPr>
            </w:pPr>
          </w:p>
        </w:tc>
        <w:tc>
          <w:tcPr>
            <w:tcW w:w="1200" w:type="dxa"/>
          </w:tcPr>
          <w:p w14:paraId="24804CEC" w14:textId="77777777" w:rsidR="00DA702B" w:rsidRPr="00DA702B" w:rsidRDefault="00DA702B" w:rsidP="00DA702B">
            <w:pPr>
              <w:rPr>
                <w:sz w:val="20"/>
                <w:szCs w:val="20"/>
              </w:rPr>
            </w:pPr>
          </w:p>
        </w:tc>
        <w:tc>
          <w:tcPr>
            <w:tcW w:w="1200" w:type="dxa"/>
          </w:tcPr>
          <w:p w14:paraId="6913B35A" w14:textId="77777777" w:rsidR="00DA702B" w:rsidRPr="00DA702B" w:rsidRDefault="00DA702B" w:rsidP="00DA702B">
            <w:pPr>
              <w:rPr>
                <w:sz w:val="20"/>
                <w:szCs w:val="20"/>
              </w:rPr>
            </w:pPr>
          </w:p>
        </w:tc>
        <w:tc>
          <w:tcPr>
            <w:tcW w:w="1200" w:type="dxa"/>
          </w:tcPr>
          <w:p w14:paraId="33D477AF" w14:textId="77777777" w:rsidR="00DA702B" w:rsidRPr="00DA702B" w:rsidRDefault="00DA702B" w:rsidP="00DA702B">
            <w:pPr>
              <w:rPr>
                <w:sz w:val="20"/>
                <w:szCs w:val="20"/>
              </w:rPr>
            </w:pPr>
          </w:p>
        </w:tc>
        <w:tc>
          <w:tcPr>
            <w:tcW w:w="1200" w:type="dxa"/>
          </w:tcPr>
          <w:p w14:paraId="7900554E" w14:textId="77777777" w:rsidR="00DA702B" w:rsidRPr="00DA702B" w:rsidRDefault="00DA702B" w:rsidP="00DA702B">
            <w:pPr>
              <w:rPr>
                <w:sz w:val="20"/>
                <w:szCs w:val="20"/>
              </w:rPr>
            </w:pPr>
          </w:p>
        </w:tc>
        <w:tc>
          <w:tcPr>
            <w:tcW w:w="1201" w:type="dxa"/>
          </w:tcPr>
          <w:p w14:paraId="1CD57E49" w14:textId="77777777" w:rsidR="00DA702B" w:rsidRPr="00DA702B" w:rsidRDefault="00DA702B" w:rsidP="00DA702B">
            <w:pPr>
              <w:rPr>
                <w:sz w:val="20"/>
                <w:szCs w:val="20"/>
              </w:rPr>
            </w:pPr>
          </w:p>
        </w:tc>
        <w:tc>
          <w:tcPr>
            <w:tcW w:w="1201" w:type="dxa"/>
          </w:tcPr>
          <w:p w14:paraId="455A6E31" w14:textId="77777777" w:rsidR="00DA702B" w:rsidRPr="00DA702B" w:rsidRDefault="00DA702B" w:rsidP="00DA702B">
            <w:pPr>
              <w:rPr>
                <w:sz w:val="20"/>
                <w:szCs w:val="20"/>
              </w:rPr>
            </w:pPr>
          </w:p>
        </w:tc>
      </w:tr>
    </w:tbl>
    <w:p w14:paraId="5D9F10EF" w14:textId="77777777" w:rsidR="00DA702B" w:rsidRPr="00DA702B" w:rsidRDefault="00DA702B" w:rsidP="00DA702B">
      <w:r w:rsidRPr="00DA702B">
        <w:br w:type="page"/>
      </w:r>
    </w:p>
    <w:p w14:paraId="3A598D8C" w14:textId="77777777" w:rsidR="00DA702B" w:rsidRPr="00742C10" w:rsidRDefault="00DA702B" w:rsidP="00742C10">
      <w:pPr>
        <w:pStyle w:val="Heading2"/>
        <w:widowControl w:val="0"/>
        <w:numPr>
          <w:ilvl w:val="0"/>
          <w:numId w:val="0"/>
        </w:numPr>
        <w:spacing w:before="0"/>
        <w:contextualSpacing w:val="0"/>
        <w:rPr>
          <w:rFonts w:eastAsiaTheme="majorEastAsia"/>
          <w:i w:val="0"/>
          <w:iCs/>
          <w:sz w:val="22"/>
          <w:szCs w:val="22"/>
        </w:rPr>
      </w:pPr>
      <w:r w:rsidRPr="00742C10">
        <w:rPr>
          <w:rFonts w:eastAsiaTheme="majorEastAsia"/>
          <w:i w:val="0"/>
          <w:iCs/>
          <w:sz w:val="22"/>
          <w:szCs w:val="22"/>
        </w:rPr>
        <w:lastRenderedPageBreak/>
        <w:t>Boiler/Steam Generator/Steam Generating Unit Attributes</w:t>
      </w:r>
    </w:p>
    <w:p w14:paraId="1897FCD8" w14:textId="77777777" w:rsidR="00DA702B" w:rsidRPr="00DA702B" w:rsidRDefault="00DA702B" w:rsidP="00742C10">
      <w:pPr>
        <w:widowControl w:val="0"/>
        <w:jc w:val="center"/>
        <w:outlineLvl w:val="0"/>
        <w:rPr>
          <w:rFonts w:eastAsiaTheme="majorEastAsia"/>
          <w:b/>
        </w:rPr>
      </w:pPr>
      <w:r w:rsidRPr="00DA702B">
        <w:rPr>
          <w:rFonts w:eastAsiaTheme="majorEastAsia"/>
          <w:b/>
        </w:rPr>
        <w:t>Form OP-UA6 (Page 17)</w:t>
      </w:r>
    </w:p>
    <w:p w14:paraId="19CB9ACD" w14:textId="77777777" w:rsidR="00DA702B" w:rsidRPr="00DA702B" w:rsidRDefault="00DA702B" w:rsidP="00742C10">
      <w:pPr>
        <w:widowControl w:val="0"/>
        <w:jc w:val="center"/>
        <w:outlineLvl w:val="0"/>
        <w:rPr>
          <w:rFonts w:eastAsiaTheme="majorEastAsia"/>
          <w:b/>
        </w:rPr>
      </w:pPr>
      <w:r w:rsidRPr="00DA702B">
        <w:rPr>
          <w:rFonts w:eastAsiaTheme="majorEastAsia"/>
          <w:b/>
        </w:rPr>
        <w:t>Federal Operating Permit Program</w:t>
      </w:r>
    </w:p>
    <w:p w14:paraId="32FE6405" w14:textId="77777777" w:rsidR="00DA702B" w:rsidRPr="00DA702B" w:rsidRDefault="00DA702B" w:rsidP="00742C10">
      <w:pPr>
        <w:widowControl w:val="0"/>
        <w:jc w:val="center"/>
        <w:outlineLvl w:val="0"/>
        <w:rPr>
          <w:rFonts w:eastAsiaTheme="majorEastAsia"/>
          <w:b/>
        </w:rPr>
      </w:pPr>
      <w:bookmarkStart w:id="179" w:name="TBL_6b"/>
      <w:r w:rsidRPr="00DA702B">
        <w:rPr>
          <w:rFonts w:eastAsiaTheme="majorEastAsia"/>
          <w:b/>
        </w:rPr>
        <w:t>Table 6b</w:t>
      </w:r>
      <w:bookmarkEnd w:id="179"/>
      <w:r w:rsidRPr="00DA702B">
        <w:rPr>
          <w:rFonts w:eastAsiaTheme="majorEastAsia"/>
          <w:b/>
        </w:rPr>
        <w:t>:  Title 30 Texas Administrative Code Chapter 117 (30 TAC Chapter 117)</w:t>
      </w:r>
    </w:p>
    <w:p w14:paraId="644FDA79" w14:textId="77777777" w:rsidR="00DA702B" w:rsidRPr="00DA702B" w:rsidRDefault="00DA702B" w:rsidP="00742C10">
      <w:pPr>
        <w:widowControl w:val="0"/>
        <w:jc w:val="center"/>
        <w:outlineLvl w:val="0"/>
        <w:rPr>
          <w:rFonts w:eastAsiaTheme="majorEastAsia"/>
          <w:b/>
        </w:rPr>
      </w:pPr>
      <w:r w:rsidRPr="00DA702B">
        <w:rPr>
          <w:rFonts w:eastAsiaTheme="majorEastAsia"/>
          <w:b/>
        </w:rPr>
        <w:t>Subpart C:  Combustion Control at Major Utility Electric Generation Sources in Ozone Nonattainment Areas</w:t>
      </w:r>
    </w:p>
    <w:p w14:paraId="667D38CF" w14:textId="77777777" w:rsidR="00DA702B" w:rsidRPr="00DA702B" w:rsidRDefault="00DA702B" w:rsidP="00742C10">
      <w:pPr>
        <w:widowControl w:val="0"/>
        <w:jc w:val="center"/>
        <w:outlineLvl w:val="0"/>
        <w:rPr>
          <w:rFonts w:eastAsiaTheme="majorEastAsia"/>
          <w:b/>
        </w:rPr>
      </w:pPr>
      <w:r w:rsidRPr="00DA702B">
        <w:rPr>
          <w:rFonts w:eastAsiaTheme="majorEastAsia"/>
          <w:b/>
        </w:rPr>
        <w:t>Texas Commission on Environmental Quality</w:t>
      </w:r>
    </w:p>
    <w:p w14:paraId="6CF949C5" w14:textId="77777777" w:rsidR="00DA702B" w:rsidRPr="00DA702B" w:rsidRDefault="00DA702B" w:rsidP="00DA702B">
      <w:pPr>
        <w:spacing w:before="24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6b:  Title 30 Texas Administrative Code Chapter 117 (30 TAC Chapter 117)&#10;Subpart C:  Combustion Control at Major Utility Electric Generation &#10;Sources in Ozone Nonattainment Areas&#10;"/>
      </w:tblPr>
      <w:tblGrid>
        <w:gridCol w:w="4800"/>
        <w:gridCol w:w="4800"/>
        <w:gridCol w:w="4800"/>
      </w:tblGrid>
      <w:tr w:rsidR="00DA702B" w:rsidRPr="00DA702B" w14:paraId="2C41961D" w14:textId="77777777" w:rsidTr="00247007">
        <w:trPr>
          <w:cantSplit/>
          <w:tblHeader/>
        </w:trPr>
        <w:tc>
          <w:tcPr>
            <w:tcW w:w="4800" w:type="dxa"/>
            <w:shd w:val="clear" w:color="auto" w:fill="D9D9D9" w:themeFill="background1" w:themeFillShade="D9"/>
          </w:tcPr>
          <w:p w14:paraId="328FEBF9"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65C8E64"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37CF717D"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606C1B0A" w14:textId="77777777" w:rsidTr="00247007">
        <w:trPr>
          <w:cantSplit/>
          <w:tblHeader/>
        </w:trPr>
        <w:tc>
          <w:tcPr>
            <w:tcW w:w="4800" w:type="dxa"/>
          </w:tcPr>
          <w:p w14:paraId="6B2897DF" w14:textId="77777777" w:rsidR="00DA702B" w:rsidRPr="00DA702B" w:rsidRDefault="00DA702B" w:rsidP="00DA702B">
            <w:pPr>
              <w:rPr>
                <w:rFonts w:asciiTheme="majorHAnsi" w:hAnsiTheme="majorHAnsi" w:cstheme="majorHAnsi"/>
              </w:rPr>
            </w:pPr>
          </w:p>
        </w:tc>
        <w:tc>
          <w:tcPr>
            <w:tcW w:w="4800" w:type="dxa"/>
          </w:tcPr>
          <w:p w14:paraId="0F572ED7" w14:textId="77777777" w:rsidR="00DA702B" w:rsidRPr="00DA702B" w:rsidRDefault="00DA702B" w:rsidP="00DA702B">
            <w:pPr>
              <w:rPr>
                <w:rFonts w:asciiTheme="majorHAnsi" w:hAnsiTheme="majorHAnsi" w:cstheme="majorHAnsi"/>
              </w:rPr>
            </w:pPr>
          </w:p>
        </w:tc>
        <w:tc>
          <w:tcPr>
            <w:tcW w:w="4800" w:type="dxa"/>
          </w:tcPr>
          <w:p w14:paraId="1EACA614" w14:textId="77777777" w:rsidR="00DA702B" w:rsidRPr="00DA702B" w:rsidRDefault="00DA702B" w:rsidP="00DA702B">
            <w:pPr>
              <w:rPr>
                <w:rFonts w:asciiTheme="majorHAnsi" w:hAnsiTheme="majorHAnsi" w:cstheme="majorHAnsi"/>
              </w:rPr>
            </w:pPr>
          </w:p>
        </w:tc>
      </w:tr>
    </w:tbl>
    <w:p w14:paraId="2E563D4E"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b:  Title 30 Texas Administrative Code Chapter 117 (30 TAC Chapter 117)&#10;Subpart C:  Combustion Control at Major Utility Electric Generation &#10;Sources in Ozone Nonattainment Areas&#10;"/>
      </w:tblPr>
      <w:tblGrid>
        <w:gridCol w:w="1308"/>
        <w:gridCol w:w="1309"/>
        <w:gridCol w:w="1309"/>
        <w:gridCol w:w="1309"/>
        <w:gridCol w:w="1309"/>
        <w:gridCol w:w="1309"/>
        <w:gridCol w:w="1309"/>
        <w:gridCol w:w="1309"/>
        <w:gridCol w:w="1309"/>
        <w:gridCol w:w="1310"/>
        <w:gridCol w:w="1310"/>
      </w:tblGrid>
      <w:tr w:rsidR="00DA702B" w:rsidRPr="00DA702B" w14:paraId="33F9CC4A" w14:textId="77777777" w:rsidTr="00247007">
        <w:trPr>
          <w:cantSplit/>
          <w:tblHeader/>
        </w:trPr>
        <w:tc>
          <w:tcPr>
            <w:tcW w:w="1308" w:type="dxa"/>
            <w:shd w:val="clear" w:color="auto" w:fill="D9D9D9" w:themeFill="background1" w:themeFillShade="D9"/>
            <w:vAlign w:val="bottom"/>
          </w:tcPr>
          <w:p w14:paraId="3D7A97AD" w14:textId="77777777" w:rsidR="00DA702B" w:rsidRPr="00DA702B" w:rsidRDefault="00DA702B" w:rsidP="00DA702B">
            <w:pPr>
              <w:jc w:val="center"/>
              <w:rPr>
                <w:sz w:val="20"/>
                <w:szCs w:val="20"/>
              </w:rPr>
            </w:pPr>
            <w:r w:rsidRPr="00DA702B">
              <w:rPr>
                <w:b/>
                <w:sz w:val="20"/>
                <w:szCs w:val="20"/>
              </w:rPr>
              <w:t>Unit ID No.</w:t>
            </w:r>
          </w:p>
        </w:tc>
        <w:tc>
          <w:tcPr>
            <w:tcW w:w="1309" w:type="dxa"/>
            <w:shd w:val="clear" w:color="auto" w:fill="D9D9D9" w:themeFill="background1" w:themeFillShade="D9"/>
            <w:vAlign w:val="bottom"/>
          </w:tcPr>
          <w:p w14:paraId="2319A67C" w14:textId="77777777" w:rsidR="00DA702B" w:rsidRPr="00DA702B" w:rsidRDefault="00DA702B" w:rsidP="00DA702B">
            <w:pPr>
              <w:jc w:val="center"/>
              <w:rPr>
                <w:sz w:val="20"/>
                <w:szCs w:val="20"/>
              </w:rPr>
            </w:pPr>
            <w:r w:rsidRPr="00DA702B">
              <w:rPr>
                <w:b/>
                <w:sz w:val="20"/>
                <w:szCs w:val="20"/>
              </w:rPr>
              <w:t>SOP Index No.</w:t>
            </w:r>
          </w:p>
        </w:tc>
        <w:tc>
          <w:tcPr>
            <w:tcW w:w="1309" w:type="dxa"/>
            <w:shd w:val="clear" w:color="auto" w:fill="D9D9D9" w:themeFill="background1" w:themeFillShade="D9"/>
            <w:vAlign w:val="bottom"/>
          </w:tcPr>
          <w:p w14:paraId="2A14A656" w14:textId="77777777" w:rsidR="00DA702B" w:rsidRPr="00DA702B" w:rsidRDefault="00DA702B" w:rsidP="00DA702B">
            <w:pPr>
              <w:jc w:val="center"/>
              <w:rPr>
                <w:sz w:val="20"/>
                <w:szCs w:val="20"/>
              </w:rPr>
            </w:pPr>
            <w:r w:rsidRPr="00DA702B">
              <w:rPr>
                <w:b/>
                <w:sz w:val="20"/>
                <w:szCs w:val="20"/>
              </w:rPr>
              <w:t>Fuel Firing Option</w:t>
            </w:r>
          </w:p>
        </w:tc>
        <w:tc>
          <w:tcPr>
            <w:tcW w:w="1309" w:type="dxa"/>
            <w:shd w:val="clear" w:color="auto" w:fill="D9D9D9" w:themeFill="background1" w:themeFillShade="D9"/>
            <w:vAlign w:val="bottom"/>
          </w:tcPr>
          <w:p w14:paraId="753DE910" w14:textId="77777777" w:rsidR="00DA702B" w:rsidRPr="00DA702B" w:rsidRDefault="00DA702B" w:rsidP="00DA702B">
            <w:pPr>
              <w:jc w:val="center"/>
              <w:rPr>
                <w:sz w:val="20"/>
                <w:szCs w:val="20"/>
              </w:rPr>
            </w:pPr>
            <w:r w:rsidRPr="00DA702B">
              <w:rPr>
                <w:b/>
                <w:sz w:val="20"/>
                <w:szCs w:val="20"/>
              </w:rPr>
              <w:t>ESAD NO</w:t>
            </w:r>
            <w:r w:rsidRPr="00DA702B">
              <w:rPr>
                <w:b/>
                <w:sz w:val="20"/>
                <w:szCs w:val="20"/>
                <w:vertAlign w:val="subscript"/>
              </w:rPr>
              <w:t>x</w:t>
            </w:r>
            <w:r w:rsidRPr="00DA702B">
              <w:rPr>
                <w:b/>
                <w:sz w:val="20"/>
                <w:szCs w:val="20"/>
              </w:rPr>
              <w:t xml:space="preserve"> DFW 8</w:t>
            </w:r>
            <w:r w:rsidRPr="00DA702B">
              <w:rPr>
                <w:b/>
                <w:sz w:val="20"/>
                <w:szCs w:val="20"/>
              </w:rPr>
              <w:noBreakHyphen/>
              <w:t>Hour</w:t>
            </w:r>
          </w:p>
        </w:tc>
        <w:tc>
          <w:tcPr>
            <w:tcW w:w="1309" w:type="dxa"/>
            <w:shd w:val="clear" w:color="auto" w:fill="D9D9D9" w:themeFill="background1" w:themeFillShade="D9"/>
            <w:vAlign w:val="bottom"/>
          </w:tcPr>
          <w:p w14:paraId="6322F103" w14:textId="77777777" w:rsidR="00DA702B" w:rsidRPr="00DA702B" w:rsidRDefault="00DA702B" w:rsidP="00DA702B">
            <w:pPr>
              <w:jc w:val="center"/>
              <w:rPr>
                <w:sz w:val="20"/>
                <w:szCs w:val="20"/>
              </w:rPr>
            </w:pPr>
            <w:r w:rsidRPr="00DA702B">
              <w:rPr>
                <w:b/>
                <w:sz w:val="20"/>
                <w:szCs w:val="20"/>
              </w:rPr>
              <w:t>NO</w:t>
            </w:r>
            <w:r w:rsidRPr="00DA702B">
              <w:rPr>
                <w:b/>
                <w:sz w:val="20"/>
                <w:szCs w:val="20"/>
                <w:vertAlign w:val="subscript"/>
              </w:rPr>
              <w:t>x</w:t>
            </w:r>
            <w:r w:rsidRPr="00DA702B">
              <w:rPr>
                <w:b/>
                <w:sz w:val="20"/>
                <w:szCs w:val="20"/>
              </w:rPr>
              <w:t xml:space="preserve"> Monitoring System</w:t>
            </w:r>
          </w:p>
        </w:tc>
        <w:tc>
          <w:tcPr>
            <w:tcW w:w="1309" w:type="dxa"/>
            <w:shd w:val="clear" w:color="auto" w:fill="D9D9D9" w:themeFill="background1" w:themeFillShade="D9"/>
            <w:vAlign w:val="bottom"/>
          </w:tcPr>
          <w:p w14:paraId="4E84F700" w14:textId="77777777" w:rsidR="00DA702B" w:rsidRPr="00DA702B" w:rsidRDefault="00DA702B" w:rsidP="00DA702B">
            <w:pPr>
              <w:jc w:val="center"/>
              <w:rPr>
                <w:sz w:val="20"/>
                <w:szCs w:val="20"/>
              </w:rPr>
            </w:pPr>
            <w:r w:rsidRPr="00DA702B">
              <w:rPr>
                <w:b/>
                <w:sz w:val="20"/>
                <w:szCs w:val="20"/>
              </w:rPr>
              <w:t>Title 30 TAC Chapter 116 Permit Limit</w:t>
            </w:r>
          </w:p>
        </w:tc>
        <w:tc>
          <w:tcPr>
            <w:tcW w:w="1309" w:type="dxa"/>
            <w:shd w:val="clear" w:color="auto" w:fill="D9D9D9" w:themeFill="background1" w:themeFillShade="D9"/>
            <w:vAlign w:val="bottom"/>
          </w:tcPr>
          <w:p w14:paraId="5E049EF4" w14:textId="77777777" w:rsidR="00DA702B" w:rsidRPr="00DA702B" w:rsidRDefault="00DA702B" w:rsidP="00DA702B">
            <w:pPr>
              <w:jc w:val="center"/>
              <w:rPr>
                <w:sz w:val="20"/>
                <w:szCs w:val="20"/>
              </w:rPr>
            </w:pPr>
            <w:r w:rsidRPr="00DA702B">
              <w:rPr>
                <w:b/>
                <w:sz w:val="20"/>
                <w:szCs w:val="20"/>
              </w:rPr>
              <w:t>CO Emission Limitation</w:t>
            </w:r>
          </w:p>
        </w:tc>
        <w:tc>
          <w:tcPr>
            <w:tcW w:w="1309" w:type="dxa"/>
            <w:shd w:val="clear" w:color="auto" w:fill="D9D9D9" w:themeFill="background1" w:themeFillShade="D9"/>
            <w:vAlign w:val="bottom"/>
          </w:tcPr>
          <w:p w14:paraId="7252DC51" w14:textId="77777777" w:rsidR="00DA702B" w:rsidRPr="00DA702B" w:rsidRDefault="00DA702B" w:rsidP="00DA702B">
            <w:pPr>
              <w:jc w:val="center"/>
              <w:rPr>
                <w:sz w:val="20"/>
                <w:szCs w:val="20"/>
              </w:rPr>
            </w:pPr>
            <w:r w:rsidRPr="00DA702B">
              <w:rPr>
                <w:b/>
                <w:sz w:val="20"/>
                <w:szCs w:val="20"/>
              </w:rPr>
              <w:t>CO Monitoring System</w:t>
            </w:r>
          </w:p>
        </w:tc>
        <w:tc>
          <w:tcPr>
            <w:tcW w:w="1309" w:type="dxa"/>
            <w:shd w:val="clear" w:color="auto" w:fill="D9D9D9" w:themeFill="background1" w:themeFillShade="D9"/>
            <w:vAlign w:val="bottom"/>
          </w:tcPr>
          <w:p w14:paraId="6FDAFBEB" w14:textId="77777777" w:rsidR="00DA702B" w:rsidRPr="00DA702B" w:rsidRDefault="00DA702B" w:rsidP="00DA702B">
            <w:pPr>
              <w:jc w:val="center"/>
              <w:rPr>
                <w:sz w:val="20"/>
                <w:szCs w:val="20"/>
              </w:rPr>
            </w:pPr>
            <w:r w:rsidRPr="00DA702B">
              <w:rPr>
                <w:b/>
                <w:sz w:val="20"/>
                <w:szCs w:val="20"/>
              </w:rPr>
              <w:t>Ammonia Use</w:t>
            </w:r>
          </w:p>
        </w:tc>
        <w:tc>
          <w:tcPr>
            <w:tcW w:w="1310" w:type="dxa"/>
            <w:shd w:val="clear" w:color="auto" w:fill="D9D9D9" w:themeFill="background1" w:themeFillShade="D9"/>
            <w:vAlign w:val="bottom"/>
          </w:tcPr>
          <w:p w14:paraId="3EFF672C" w14:textId="77777777" w:rsidR="00DA702B" w:rsidRPr="00DA702B" w:rsidRDefault="00DA702B" w:rsidP="00DA702B">
            <w:pPr>
              <w:jc w:val="center"/>
              <w:rPr>
                <w:sz w:val="20"/>
                <w:szCs w:val="20"/>
              </w:rPr>
            </w:pPr>
            <w:r w:rsidRPr="00DA702B">
              <w:rPr>
                <w:b/>
                <w:sz w:val="20"/>
                <w:szCs w:val="20"/>
              </w:rPr>
              <w:t>NH</w:t>
            </w:r>
            <w:r w:rsidRPr="00DA702B">
              <w:rPr>
                <w:b/>
                <w:sz w:val="20"/>
                <w:szCs w:val="20"/>
                <w:vertAlign w:val="subscript"/>
              </w:rPr>
              <w:t>3</w:t>
            </w:r>
            <w:r w:rsidRPr="00DA702B">
              <w:rPr>
                <w:b/>
                <w:sz w:val="20"/>
                <w:szCs w:val="20"/>
              </w:rPr>
              <w:t xml:space="preserve"> Emission Limitation</w:t>
            </w:r>
          </w:p>
        </w:tc>
        <w:tc>
          <w:tcPr>
            <w:tcW w:w="1310" w:type="dxa"/>
            <w:shd w:val="clear" w:color="auto" w:fill="D9D9D9" w:themeFill="background1" w:themeFillShade="D9"/>
            <w:vAlign w:val="bottom"/>
          </w:tcPr>
          <w:p w14:paraId="6725E61D" w14:textId="77777777" w:rsidR="00DA702B" w:rsidRPr="00DA702B" w:rsidRDefault="00DA702B" w:rsidP="00DA702B">
            <w:pPr>
              <w:jc w:val="center"/>
              <w:rPr>
                <w:sz w:val="20"/>
                <w:szCs w:val="20"/>
              </w:rPr>
            </w:pPr>
            <w:r w:rsidRPr="00DA702B">
              <w:rPr>
                <w:b/>
                <w:sz w:val="20"/>
                <w:szCs w:val="20"/>
              </w:rPr>
              <w:t>NH</w:t>
            </w:r>
            <w:r w:rsidRPr="00DA702B">
              <w:rPr>
                <w:b/>
                <w:sz w:val="20"/>
                <w:szCs w:val="20"/>
                <w:vertAlign w:val="subscript"/>
              </w:rPr>
              <w:t>3</w:t>
            </w:r>
            <w:r w:rsidRPr="00DA702B">
              <w:rPr>
                <w:b/>
                <w:sz w:val="20"/>
                <w:szCs w:val="20"/>
              </w:rPr>
              <w:t xml:space="preserve"> Monitoring System</w:t>
            </w:r>
          </w:p>
        </w:tc>
      </w:tr>
      <w:tr w:rsidR="00DA702B" w:rsidRPr="00DA702B" w14:paraId="2473CD87" w14:textId="77777777" w:rsidTr="00247007">
        <w:trPr>
          <w:cantSplit/>
          <w:trHeight w:val="346"/>
          <w:tblHeader/>
        </w:trPr>
        <w:tc>
          <w:tcPr>
            <w:tcW w:w="1308" w:type="dxa"/>
          </w:tcPr>
          <w:p w14:paraId="111EFFFD" w14:textId="77777777" w:rsidR="00DA702B" w:rsidRPr="00DA702B" w:rsidRDefault="00DA702B" w:rsidP="00DA702B">
            <w:pPr>
              <w:rPr>
                <w:sz w:val="20"/>
                <w:szCs w:val="20"/>
              </w:rPr>
            </w:pPr>
          </w:p>
        </w:tc>
        <w:tc>
          <w:tcPr>
            <w:tcW w:w="1309" w:type="dxa"/>
          </w:tcPr>
          <w:p w14:paraId="6D4F3CDD" w14:textId="77777777" w:rsidR="00DA702B" w:rsidRPr="00DA702B" w:rsidRDefault="00DA702B" w:rsidP="00DA702B">
            <w:pPr>
              <w:rPr>
                <w:sz w:val="20"/>
                <w:szCs w:val="20"/>
              </w:rPr>
            </w:pPr>
          </w:p>
        </w:tc>
        <w:tc>
          <w:tcPr>
            <w:tcW w:w="1309" w:type="dxa"/>
          </w:tcPr>
          <w:p w14:paraId="13DECDB8" w14:textId="77777777" w:rsidR="00DA702B" w:rsidRPr="00DA702B" w:rsidRDefault="00DA702B" w:rsidP="00DA702B">
            <w:pPr>
              <w:rPr>
                <w:sz w:val="20"/>
                <w:szCs w:val="20"/>
              </w:rPr>
            </w:pPr>
          </w:p>
        </w:tc>
        <w:tc>
          <w:tcPr>
            <w:tcW w:w="1309" w:type="dxa"/>
          </w:tcPr>
          <w:p w14:paraId="6586C0D1" w14:textId="77777777" w:rsidR="00DA702B" w:rsidRPr="00DA702B" w:rsidRDefault="00DA702B" w:rsidP="00DA702B">
            <w:pPr>
              <w:rPr>
                <w:sz w:val="20"/>
                <w:szCs w:val="20"/>
              </w:rPr>
            </w:pPr>
          </w:p>
        </w:tc>
        <w:tc>
          <w:tcPr>
            <w:tcW w:w="1309" w:type="dxa"/>
          </w:tcPr>
          <w:p w14:paraId="7D9FFBDF" w14:textId="77777777" w:rsidR="00DA702B" w:rsidRPr="00DA702B" w:rsidRDefault="00DA702B" w:rsidP="00DA702B">
            <w:pPr>
              <w:rPr>
                <w:sz w:val="20"/>
                <w:szCs w:val="20"/>
              </w:rPr>
            </w:pPr>
          </w:p>
        </w:tc>
        <w:tc>
          <w:tcPr>
            <w:tcW w:w="1309" w:type="dxa"/>
          </w:tcPr>
          <w:p w14:paraId="7D8E9411" w14:textId="77777777" w:rsidR="00DA702B" w:rsidRPr="00DA702B" w:rsidRDefault="00DA702B" w:rsidP="00DA702B">
            <w:pPr>
              <w:rPr>
                <w:sz w:val="20"/>
                <w:szCs w:val="20"/>
              </w:rPr>
            </w:pPr>
          </w:p>
        </w:tc>
        <w:tc>
          <w:tcPr>
            <w:tcW w:w="1309" w:type="dxa"/>
          </w:tcPr>
          <w:p w14:paraId="61D34C55" w14:textId="77777777" w:rsidR="00DA702B" w:rsidRPr="00DA702B" w:rsidRDefault="00DA702B" w:rsidP="00DA702B">
            <w:pPr>
              <w:rPr>
                <w:sz w:val="20"/>
                <w:szCs w:val="20"/>
              </w:rPr>
            </w:pPr>
          </w:p>
        </w:tc>
        <w:tc>
          <w:tcPr>
            <w:tcW w:w="1309" w:type="dxa"/>
          </w:tcPr>
          <w:p w14:paraId="022431F9" w14:textId="77777777" w:rsidR="00DA702B" w:rsidRPr="00DA702B" w:rsidRDefault="00DA702B" w:rsidP="00DA702B">
            <w:pPr>
              <w:rPr>
                <w:sz w:val="20"/>
                <w:szCs w:val="20"/>
              </w:rPr>
            </w:pPr>
          </w:p>
        </w:tc>
        <w:tc>
          <w:tcPr>
            <w:tcW w:w="1309" w:type="dxa"/>
          </w:tcPr>
          <w:p w14:paraId="419DCFCF" w14:textId="77777777" w:rsidR="00DA702B" w:rsidRPr="00DA702B" w:rsidRDefault="00DA702B" w:rsidP="00DA702B">
            <w:pPr>
              <w:rPr>
                <w:sz w:val="20"/>
                <w:szCs w:val="20"/>
              </w:rPr>
            </w:pPr>
          </w:p>
        </w:tc>
        <w:tc>
          <w:tcPr>
            <w:tcW w:w="1310" w:type="dxa"/>
          </w:tcPr>
          <w:p w14:paraId="5E3A1470" w14:textId="77777777" w:rsidR="00DA702B" w:rsidRPr="00DA702B" w:rsidRDefault="00DA702B" w:rsidP="00DA702B">
            <w:pPr>
              <w:rPr>
                <w:sz w:val="20"/>
                <w:szCs w:val="20"/>
              </w:rPr>
            </w:pPr>
          </w:p>
        </w:tc>
        <w:tc>
          <w:tcPr>
            <w:tcW w:w="1310" w:type="dxa"/>
          </w:tcPr>
          <w:p w14:paraId="752EEE2B" w14:textId="77777777" w:rsidR="00DA702B" w:rsidRPr="00DA702B" w:rsidRDefault="00DA702B" w:rsidP="00DA702B">
            <w:pPr>
              <w:rPr>
                <w:sz w:val="20"/>
                <w:szCs w:val="20"/>
              </w:rPr>
            </w:pPr>
          </w:p>
        </w:tc>
      </w:tr>
      <w:tr w:rsidR="00DA702B" w:rsidRPr="00DA702B" w14:paraId="0B392D65" w14:textId="77777777" w:rsidTr="00247007">
        <w:trPr>
          <w:cantSplit/>
          <w:trHeight w:val="346"/>
          <w:tblHeader/>
        </w:trPr>
        <w:tc>
          <w:tcPr>
            <w:tcW w:w="1308" w:type="dxa"/>
          </w:tcPr>
          <w:p w14:paraId="09A068B9" w14:textId="77777777" w:rsidR="00DA702B" w:rsidRPr="00DA702B" w:rsidRDefault="00DA702B" w:rsidP="00DA702B">
            <w:pPr>
              <w:rPr>
                <w:sz w:val="20"/>
                <w:szCs w:val="20"/>
              </w:rPr>
            </w:pPr>
          </w:p>
        </w:tc>
        <w:tc>
          <w:tcPr>
            <w:tcW w:w="1309" w:type="dxa"/>
          </w:tcPr>
          <w:p w14:paraId="69DE28EB" w14:textId="77777777" w:rsidR="00DA702B" w:rsidRPr="00DA702B" w:rsidRDefault="00DA702B" w:rsidP="00DA702B">
            <w:pPr>
              <w:rPr>
                <w:sz w:val="20"/>
                <w:szCs w:val="20"/>
              </w:rPr>
            </w:pPr>
          </w:p>
        </w:tc>
        <w:tc>
          <w:tcPr>
            <w:tcW w:w="1309" w:type="dxa"/>
          </w:tcPr>
          <w:p w14:paraId="0AD4A38E" w14:textId="77777777" w:rsidR="00DA702B" w:rsidRPr="00DA702B" w:rsidRDefault="00DA702B" w:rsidP="00DA702B">
            <w:pPr>
              <w:rPr>
                <w:sz w:val="20"/>
                <w:szCs w:val="20"/>
              </w:rPr>
            </w:pPr>
          </w:p>
        </w:tc>
        <w:tc>
          <w:tcPr>
            <w:tcW w:w="1309" w:type="dxa"/>
          </w:tcPr>
          <w:p w14:paraId="1A932C72" w14:textId="77777777" w:rsidR="00DA702B" w:rsidRPr="00DA702B" w:rsidRDefault="00DA702B" w:rsidP="00DA702B">
            <w:pPr>
              <w:rPr>
                <w:sz w:val="20"/>
                <w:szCs w:val="20"/>
              </w:rPr>
            </w:pPr>
          </w:p>
        </w:tc>
        <w:tc>
          <w:tcPr>
            <w:tcW w:w="1309" w:type="dxa"/>
          </w:tcPr>
          <w:p w14:paraId="1B1CCB30" w14:textId="77777777" w:rsidR="00DA702B" w:rsidRPr="00DA702B" w:rsidRDefault="00DA702B" w:rsidP="00DA702B">
            <w:pPr>
              <w:rPr>
                <w:sz w:val="20"/>
                <w:szCs w:val="20"/>
              </w:rPr>
            </w:pPr>
          </w:p>
        </w:tc>
        <w:tc>
          <w:tcPr>
            <w:tcW w:w="1309" w:type="dxa"/>
          </w:tcPr>
          <w:p w14:paraId="3AABA5A3" w14:textId="77777777" w:rsidR="00DA702B" w:rsidRPr="00DA702B" w:rsidRDefault="00DA702B" w:rsidP="00DA702B">
            <w:pPr>
              <w:rPr>
                <w:sz w:val="20"/>
                <w:szCs w:val="20"/>
              </w:rPr>
            </w:pPr>
          </w:p>
        </w:tc>
        <w:tc>
          <w:tcPr>
            <w:tcW w:w="1309" w:type="dxa"/>
          </w:tcPr>
          <w:p w14:paraId="65FE36B4" w14:textId="77777777" w:rsidR="00DA702B" w:rsidRPr="00DA702B" w:rsidRDefault="00DA702B" w:rsidP="00DA702B">
            <w:pPr>
              <w:rPr>
                <w:sz w:val="20"/>
                <w:szCs w:val="20"/>
              </w:rPr>
            </w:pPr>
          </w:p>
        </w:tc>
        <w:tc>
          <w:tcPr>
            <w:tcW w:w="1309" w:type="dxa"/>
          </w:tcPr>
          <w:p w14:paraId="64858515" w14:textId="77777777" w:rsidR="00DA702B" w:rsidRPr="00DA702B" w:rsidRDefault="00DA702B" w:rsidP="00DA702B">
            <w:pPr>
              <w:rPr>
                <w:sz w:val="20"/>
                <w:szCs w:val="20"/>
              </w:rPr>
            </w:pPr>
          </w:p>
        </w:tc>
        <w:tc>
          <w:tcPr>
            <w:tcW w:w="1309" w:type="dxa"/>
          </w:tcPr>
          <w:p w14:paraId="714F73D5" w14:textId="77777777" w:rsidR="00DA702B" w:rsidRPr="00DA702B" w:rsidRDefault="00DA702B" w:rsidP="00DA702B">
            <w:pPr>
              <w:rPr>
                <w:sz w:val="20"/>
                <w:szCs w:val="20"/>
              </w:rPr>
            </w:pPr>
          </w:p>
        </w:tc>
        <w:tc>
          <w:tcPr>
            <w:tcW w:w="1310" w:type="dxa"/>
          </w:tcPr>
          <w:p w14:paraId="101BA03A" w14:textId="77777777" w:rsidR="00DA702B" w:rsidRPr="00DA702B" w:rsidRDefault="00DA702B" w:rsidP="00DA702B">
            <w:pPr>
              <w:rPr>
                <w:sz w:val="20"/>
                <w:szCs w:val="20"/>
              </w:rPr>
            </w:pPr>
          </w:p>
        </w:tc>
        <w:tc>
          <w:tcPr>
            <w:tcW w:w="1310" w:type="dxa"/>
          </w:tcPr>
          <w:p w14:paraId="0EDE8FA4" w14:textId="77777777" w:rsidR="00DA702B" w:rsidRPr="00DA702B" w:rsidRDefault="00DA702B" w:rsidP="00DA702B">
            <w:pPr>
              <w:rPr>
                <w:sz w:val="20"/>
                <w:szCs w:val="20"/>
              </w:rPr>
            </w:pPr>
          </w:p>
        </w:tc>
      </w:tr>
      <w:tr w:rsidR="00DA702B" w:rsidRPr="00DA702B" w14:paraId="1670422A" w14:textId="77777777" w:rsidTr="00247007">
        <w:trPr>
          <w:cantSplit/>
          <w:trHeight w:val="346"/>
          <w:tblHeader/>
        </w:trPr>
        <w:tc>
          <w:tcPr>
            <w:tcW w:w="1308" w:type="dxa"/>
          </w:tcPr>
          <w:p w14:paraId="2B8F329E" w14:textId="77777777" w:rsidR="00DA702B" w:rsidRPr="00DA702B" w:rsidRDefault="00DA702B" w:rsidP="00DA702B">
            <w:pPr>
              <w:rPr>
                <w:sz w:val="20"/>
                <w:szCs w:val="20"/>
              </w:rPr>
            </w:pPr>
          </w:p>
        </w:tc>
        <w:tc>
          <w:tcPr>
            <w:tcW w:w="1309" w:type="dxa"/>
          </w:tcPr>
          <w:p w14:paraId="2F959058" w14:textId="77777777" w:rsidR="00DA702B" w:rsidRPr="00DA702B" w:rsidRDefault="00DA702B" w:rsidP="00DA702B">
            <w:pPr>
              <w:rPr>
                <w:sz w:val="20"/>
                <w:szCs w:val="20"/>
              </w:rPr>
            </w:pPr>
          </w:p>
        </w:tc>
        <w:tc>
          <w:tcPr>
            <w:tcW w:w="1309" w:type="dxa"/>
          </w:tcPr>
          <w:p w14:paraId="17CF5B9C" w14:textId="77777777" w:rsidR="00DA702B" w:rsidRPr="00DA702B" w:rsidRDefault="00DA702B" w:rsidP="00DA702B">
            <w:pPr>
              <w:rPr>
                <w:sz w:val="20"/>
                <w:szCs w:val="20"/>
              </w:rPr>
            </w:pPr>
          </w:p>
        </w:tc>
        <w:tc>
          <w:tcPr>
            <w:tcW w:w="1309" w:type="dxa"/>
          </w:tcPr>
          <w:p w14:paraId="08FA28C5" w14:textId="77777777" w:rsidR="00DA702B" w:rsidRPr="00DA702B" w:rsidRDefault="00DA702B" w:rsidP="00DA702B">
            <w:pPr>
              <w:rPr>
                <w:sz w:val="20"/>
                <w:szCs w:val="20"/>
              </w:rPr>
            </w:pPr>
          </w:p>
        </w:tc>
        <w:tc>
          <w:tcPr>
            <w:tcW w:w="1309" w:type="dxa"/>
          </w:tcPr>
          <w:p w14:paraId="7FFAD0C6" w14:textId="77777777" w:rsidR="00DA702B" w:rsidRPr="00DA702B" w:rsidRDefault="00DA702B" w:rsidP="00DA702B">
            <w:pPr>
              <w:rPr>
                <w:sz w:val="20"/>
                <w:szCs w:val="20"/>
              </w:rPr>
            </w:pPr>
          </w:p>
        </w:tc>
        <w:tc>
          <w:tcPr>
            <w:tcW w:w="1309" w:type="dxa"/>
          </w:tcPr>
          <w:p w14:paraId="54283982" w14:textId="77777777" w:rsidR="00DA702B" w:rsidRPr="00DA702B" w:rsidRDefault="00DA702B" w:rsidP="00DA702B">
            <w:pPr>
              <w:rPr>
                <w:sz w:val="20"/>
                <w:szCs w:val="20"/>
              </w:rPr>
            </w:pPr>
          </w:p>
        </w:tc>
        <w:tc>
          <w:tcPr>
            <w:tcW w:w="1309" w:type="dxa"/>
          </w:tcPr>
          <w:p w14:paraId="26331A8D" w14:textId="77777777" w:rsidR="00DA702B" w:rsidRPr="00DA702B" w:rsidRDefault="00DA702B" w:rsidP="00DA702B">
            <w:pPr>
              <w:rPr>
                <w:sz w:val="20"/>
                <w:szCs w:val="20"/>
              </w:rPr>
            </w:pPr>
          </w:p>
        </w:tc>
        <w:tc>
          <w:tcPr>
            <w:tcW w:w="1309" w:type="dxa"/>
          </w:tcPr>
          <w:p w14:paraId="118E6366" w14:textId="77777777" w:rsidR="00DA702B" w:rsidRPr="00DA702B" w:rsidRDefault="00DA702B" w:rsidP="00DA702B">
            <w:pPr>
              <w:rPr>
                <w:sz w:val="20"/>
                <w:szCs w:val="20"/>
              </w:rPr>
            </w:pPr>
          </w:p>
        </w:tc>
        <w:tc>
          <w:tcPr>
            <w:tcW w:w="1309" w:type="dxa"/>
          </w:tcPr>
          <w:p w14:paraId="1E88012B" w14:textId="77777777" w:rsidR="00DA702B" w:rsidRPr="00DA702B" w:rsidRDefault="00DA702B" w:rsidP="00DA702B">
            <w:pPr>
              <w:rPr>
                <w:sz w:val="20"/>
                <w:szCs w:val="20"/>
              </w:rPr>
            </w:pPr>
          </w:p>
        </w:tc>
        <w:tc>
          <w:tcPr>
            <w:tcW w:w="1310" w:type="dxa"/>
          </w:tcPr>
          <w:p w14:paraId="62A1A28A" w14:textId="77777777" w:rsidR="00DA702B" w:rsidRPr="00DA702B" w:rsidRDefault="00DA702B" w:rsidP="00DA702B">
            <w:pPr>
              <w:rPr>
                <w:sz w:val="20"/>
                <w:szCs w:val="20"/>
              </w:rPr>
            </w:pPr>
          </w:p>
        </w:tc>
        <w:tc>
          <w:tcPr>
            <w:tcW w:w="1310" w:type="dxa"/>
          </w:tcPr>
          <w:p w14:paraId="6DE572C1" w14:textId="77777777" w:rsidR="00DA702B" w:rsidRPr="00DA702B" w:rsidRDefault="00DA702B" w:rsidP="00DA702B">
            <w:pPr>
              <w:rPr>
                <w:sz w:val="20"/>
                <w:szCs w:val="20"/>
              </w:rPr>
            </w:pPr>
          </w:p>
        </w:tc>
      </w:tr>
      <w:tr w:rsidR="00DA702B" w:rsidRPr="00DA702B" w14:paraId="2F2B09DA" w14:textId="77777777" w:rsidTr="00247007">
        <w:trPr>
          <w:cantSplit/>
          <w:trHeight w:val="346"/>
          <w:tblHeader/>
        </w:trPr>
        <w:tc>
          <w:tcPr>
            <w:tcW w:w="1308" w:type="dxa"/>
          </w:tcPr>
          <w:p w14:paraId="6BA6F609" w14:textId="77777777" w:rsidR="00DA702B" w:rsidRPr="00DA702B" w:rsidRDefault="00DA702B" w:rsidP="00DA702B">
            <w:pPr>
              <w:rPr>
                <w:sz w:val="20"/>
                <w:szCs w:val="20"/>
              </w:rPr>
            </w:pPr>
          </w:p>
        </w:tc>
        <w:tc>
          <w:tcPr>
            <w:tcW w:w="1309" w:type="dxa"/>
          </w:tcPr>
          <w:p w14:paraId="7F399A9F" w14:textId="77777777" w:rsidR="00DA702B" w:rsidRPr="00DA702B" w:rsidRDefault="00DA702B" w:rsidP="00DA702B">
            <w:pPr>
              <w:rPr>
                <w:sz w:val="20"/>
                <w:szCs w:val="20"/>
              </w:rPr>
            </w:pPr>
          </w:p>
        </w:tc>
        <w:tc>
          <w:tcPr>
            <w:tcW w:w="1309" w:type="dxa"/>
          </w:tcPr>
          <w:p w14:paraId="5FEDC091" w14:textId="77777777" w:rsidR="00DA702B" w:rsidRPr="00DA702B" w:rsidRDefault="00DA702B" w:rsidP="00DA702B">
            <w:pPr>
              <w:rPr>
                <w:sz w:val="20"/>
                <w:szCs w:val="20"/>
              </w:rPr>
            </w:pPr>
          </w:p>
        </w:tc>
        <w:tc>
          <w:tcPr>
            <w:tcW w:w="1309" w:type="dxa"/>
          </w:tcPr>
          <w:p w14:paraId="3F016FCA" w14:textId="77777777" w:rsidR="00DA702B" w:rsidRPr="00DA702B" w:rsidRDefault="00DA702B" w:rsidP="00DA702B">
            <w:pPr>
              <w:rPr>
                <w:sz w:val="20"/>
                <w:szCs w:val="20"/>
              </w:rPr>
            </w:pPr>
          </w:p>
        </w:tc>
        <w:tc>
          <w:tcPr>
            <w:tcW w:w="1309" w:type="dxa"/>
          </w:tcPr>
          <w:p w14:paraId="352A6E8D" w14:textId="77777777" w:rsidR="00DA702B" w:rsidRPr="00DA702B" w:rsidRDefault="00DA702B" w:rsidP="00DA702B">
            <w:pPr>
              <w:rPr>
                <w:sz w:val="20"/>
                <w:szCs w:val="20"/>
              </w:rPr>
            </w:pPr>
          </w:p>
        </w:tc>
        <w:tc>
          <w:tcPr>
            <w:tcW w:w="1309" w:type="dxa"/>
          </w:tcPr>
          <w:p w14:paraId="37DFECB7" w14:textId="77777777" w:rsidR="00DA702B" w:rsidRPr="00DA702B" w:rsidRDefault="00DA702B" w:rsidP="00DA702B">
            <w:pPr>
              <w:rPr>
                <w:sz w:val="20"/>
                <w:szCs w:val="20"/>
              </w:rPr>
            </w:pPr>
          </w:p>
        </w:tc>
        <w:tc>
          <w:tcPr>
            <w:tcW w:w="1309" w:type="dxa"/>
          </w:tcPr>
          <w:p w14:paraId="24890BFD" w14:textId="77777777" w:rsidR="00DA702B" w:rsidRPr="00DA702B" w:rsidRDefault="00DA702B" w:rsidP="00DA702B">
            <w:pPr>
              <w:rPr>
                <w:sz w:val="20"/>
                <w:szCs w:val="20"/>
              </w:rPr>
            </w:pPr>
          </w:p>
        </w:tc>
        <w:tc>
          <w:tcPr>
            <w:tcW w:w="1309" w:type="dxa"/>
          </w:tcPr>
          <w:p w14:paraId="389DA4C7" w14:textId="77777777" w:rsidR="00DA702B" w:rsidRPr="00DA702B" w:rsidRDefault="00DA702B" w:rsidP="00DA702B">
            <w:pPr>
              <w:rPr>
                <w:sz w:val="20"/>
                <w:szCs w:val="20"/>
              </w:rPr>
            </w:pPr>
          </w:p>
        </w:tc>
        <w:tc>
          <w:tcPr>
            <w:tcW w:w="1309" w:type="dxa"/>
          </w:tcPr>
          <w:p w14:paraId="12C74528" w14:textId="77777777" w:rsidR="00DA702B" w:rsidRPr="00DA702B" w:rsidRDefault="00DA702B" w:rsidP="00DA702B">
            <w:pPr>
              <w:rPr>
                <w:sz w:val="20"/>
                <w:szCs w:val="20"/>
              </w:rPr>
            </w:pPr>
          </w:p>
        </w:tc>
        <w:tc>
          <w:tcPr>
            <w:tcW w:w="1310" w:type="dxa"/>
          </w:tcPr>
          <w:p w14:paraId="01B4C15D" w14:textId="77777777" w:rsidR="00DA702B" w:rsidRPr="00DA702B" w:rsidRDefault="00DA702B" w:rsidP="00DA702B">
            <w:pPr>
              <w:rPr>
                <w:sz w:val="20"/>
                <w:szCs w:val="20"/>
              </w:rPr>
            </w:pPr>
          </w:p>
        </w:tc>
        <w:tc>
          <w:tcPr>
            <w:tcW w:w="1310" w:type="dxa"/>
          </w:tcPr>
          <w:p w14:paraId="0E6AB83F" w14:textId="77777777" w:rsidR="00DA702B" w:rsidRPr="00DA702B" w:rsidRDefault="00DA702B" w:rsidP="00DA702B">
            <w:pPr>
              <w:rPr>
                <w:sz w:val="20"/>
                <w:szCs w:val="20"/>
              </w:rPr>
            </w:pPr>
          </w:p>
        </w:tc>
      </w:tr>
      <w:tr w:rsidR="00DA702B" w:rsidRPr="00DA702B" w14:paraId="7495532B" w14:textId="77777777" w:rsidTr="00247007">
        <w:trPr>
          <w:cantSplit/>
          <w:trHeight w:val="346"/>
          <w:tblHeader/>
        </w:trPr>
        <w:tc>
          <w:tcPr>
            <w:tcW w:w="1308" w:type="dxa"/>
          </w:tcPr>
          <w:p w14:paraId="2125CD2F" w14:textId="77777777" w:rsidR="00DA702B" w:rsidRPr="00DA702B" w:rsidRDefault="00DA702B" w:rsidP="00DA702B">
            <w:pPr>
              <w:rPr>
                <w:sz w:val="20"/>
                <w:szCs w:val="20"/>
              </w:rPr>
            </w:pPr>
          </w:p>
        </w:tc>
        <w:tc>
          <w:tcPr>
            <w:tcW w:w="1309" w:type="dxa"/>
          </w:tcPr>
          <w:p w14:paraId="423D4783" w14:textId="77777777" w:rsidR="00DA702B" w:rsidRPr="00DA702B" w:rsidRDefault="00DA702B" w:rsidP="00DA702B">
            <w:pPr>
              <w:rPr>
                <w:sz w:val="20"/>
                <w:szCs w:val="20"/>
              </w:rPr>
            </w:pPr>
          </w:p>
        </w:tc>
        <w:tc>
          <w:tcPr>
            <w:tcW w:w="1309" w:type="dxa"/>
          </w:tcPr>
          <w:p w14:paraId="43ED3259" w14:textId="77777777" w:rsidR="00DA702B" w:rsidRPr="00DA702B" w:rsidRDefault="00DA702B" w:rsidP="00DA702B">
            <w:pPr>
              <w:rPr>
                <w:sz w:val="20"/>
                <w:szCs w:val="20"/>
              </w:rPr>
            </w:pPr>
          </w:p>
        </w:tc>
        <w:tc>
          <w:tcPr>
            <w:tcW w:w="1309" w:type="dxa"/>
          </w:tcPr>
          <w:p w14:paraId="7DB15E4A" w14:textId="77777777" w:rsidR="00DA702B" w:rsidRPr="00DA702B" w:rsidRDefault="00DA702B" w:rsidP="00DA702B">
            <w:pPr>
              <w:rPr>
                <w:sz w:val="20"/>
                <w:szCs w:val="20"/>
              </w:rPr>
            </w:pPr>
          </w:p>
        </w:tc>
        <w:tc>
          <w:tcPr>
            <w:tcW w:w="1309" w:type="dxa"/>
          </w:tcPr>
          <w:p w14:paraId="187B348C" w14:textId="77777777" w:rsidR="00DA702B" w:rsidRPr="00DA702B" w:rsidRDefault="00DA702B" w:rsidP="00DA702B">
            <w:pPr>
              <w:rPr>
                <w:sz w:val="20"/>
                <w:szCs w:val="20"/>
              </w:rPr>
            </w:pPr>
          </w:p>
        </w:tc>
        <w:tc>
          <w:tcPr>
            <w:tcW w:w="1309" w:type="dxa"/>
          </w:tcPr>
          <w:p w14:paraId="499B957B" w14:textId="77777777" w:rsidR="00DA702B" w:rsidRPr="00DA702B" w:rsidRDefault="00DA702B" w:rsidP="00DA702B">
            <w:pPr>
              <w:rPr>
                <w:sz w:val="20"/>
                <w:szCs w:val="20"/>
              </w:rPr>
            </w:pPr>
          </w:p>
        </w:tc>
        <w:tc>
          <w:tcPr>
            <w:tcW w:w="1309" w:type="dxa"/>
          </w:tcPr>
          <w:p w14:paraId="70C2797B" w14:textId="77777777" w:rsidR="00DA702B" w:rsidRPr="00DA702B" w:rsidRDefault="00DA702B" w:rsidP="00DA702B">
            <w:pPr>
              <w:rPr>
                <w:sz w:val="20"/>
                <w:szCs w:val="20"/>
              </w:rPr>
            </w:pPr>
          </w:p>
        </w:tc>
        <w:tc>
          <w:tcPr>
            <w:tcW w:w="1309" w:type="dxa"/>
          </w:tcPr>
          <w:p w14:paraId="6FBB4FCD" w14:textId="77777777" w:rsidR="00DA702B" w:rsidRPr="00DA702B" w:rsidRDefault="00DA702B" w:rsidP="00DA702B">
            <w:pPr>
              <w:rPr>
                <w:sz w:val="20"/>
                <w:szCs w:val="20"/>
              </w:rPr>
            </w:pPr>
          </w:p>
        </w:tc>
        <w:tc>
          <w:tcPr>
            <w:tcW w:w="1309" w:type="dxa"/>
          </w:tcPr>
          <w:p w14:paraId="7FF16FDE" w14:textId="77777777" w:rsidR="00DA702B" w:rsidRPr="00DA702B" w:rsidRDefault="00DA702B" w:rsidP="00DA702B">
            <w:pPr>
              <w:rPr>
                <w:sz w:val="20"/>
                <w:szCs w:val="20"/>
              </w:rPr>
            </w:pPr>
          </w:p>
        </w:tc>
        <w:tc>
          <w:tcPr>
            <w:tcW w:w="1310" w:type="dxa"/>
          </w:tcPr>
          <w:p w14:paraId="6C5D965A" w14:textId="77777777" w:rsidR="00DA702B" w:rsidRPr="00DA702B" w:rsidRDefault="00DA702B" w:rsidP="00DA702B">
            <w:pPr>
              <w:rPr>
                <w:sz w:val="20"/>
                <w:szCs w:val="20"/>
              </w:rPr>
            </w:pPr>
          </w:p>
        </w:tc>
        <w:tc>
          <w:tcPr>
            <w:tcW w:w="1310" w:type="dxa"/>
          </w:tcPr>
          <w:p w14:paraId="5D5DDA87" w14:textId="77777777" w:rsidR="00DA702B" w:rsidRPr="00DA702B" w:rsidRDefault="00DA702B" w:rsidP="00DA702B">
            <w:pPr>
              <w:rPr>
                <w:sz w:val="20"/>
                <w:szCs w:val="20"/>
              </w:rPr>
            </w:pPr>
          </w:p>
        </w:tc>
      </w:tr>
      <w:tr w:rsidR="00DA702B" w:rsidRPr="00DA702B" w14:paraId="6B5BE702" w14:textId="77777777" w:rsidTr="00247007">
        <w:trPr>
          <w:cantSplit/>
          <w:trHeight w:val="346"/>
          <w:tblHeader/>
        </w:trPr>
        <w:tc>
          <w:tcPr>
            <w:tcW w:w="1308" w:type="dxa"/>
          </w:tcPr>
          <w:p w14:paraId="1FA48891" w14:textId="77777777" w:rsidR="00DA702B" w:rsidRPr="00DA702B" w:rsidRDefault="00DA702B" w:rsidP="00DA702B">
            <w:pPr>
              <w:rPr>
                <w:sz w:val="20"/>
                <w:szCs w:val="20"/>
              </w:rPr>
            </w:pPr>
          </w:p>
        </w:tc>
        <w:tc>
          <w:tcPr>
            <w:tcW w:w="1309" w:type="dxa"/>
          </w:tcPr>
          <w:p w14:paraId="0617E48B" w14:textId="77777777" w:rsidR="00DA702B" w:rsidRPr="00DA702B" w:rsidRDefault="00DA702B" w:rsidP="00DA702B">
            <w:pPr>
              <w:rPr>
                <w:sz w:val="20"/>
                <w:szCs w:val="20"/>
              </w:rPr>
            </w:pPr>
          </w:p>
        </w:tc>
        <w:tc>
          <w:tcPr>
            <w:tcW w:w="1309" w:type="dxa"/>
          </w:tcPr>
          <w:p w14:paraId="5DA74F02" w14:textId="77777777" w:rsidR="00DA702B" w:rsidRPr="00DA702B" w:rsidRDefault="00DA702B" w:rsidP="00DA702B">
            <w:pPr>
              <w:rPr>
                <w:sz w:val="20"/>
                <w:szCs w:val="20"/>
              </w:rPr>
            </w:pPr>
          </w:p>
        </w:tc>
        <w:tc>
          <w:tcPr>
            <w:tcW w:w="1309" w:type="dxa"/>
          </w:tcPr>
          <w:p w14:paraId="768EE780" w14:textId="77777777" w:rsidR="00DA702B" w:rsidRPr="00DA702B" w:rsidRDefault="00DA702B" w:rsidP="00DA702B">
            <w:pPr>
              <w:rPr>
                <w:sz w:val="20"/>
                <w:szCs w:val="20"/>
              </w:rPr>
            </w:pPr>
          </w:p>
        </w:tc>
        <w:tc>
          <w:tcPr>
            <w:tcW w:w="1309" w:type="dxa"/>
          </w:tcPr>
          <w:p w14:paraId="6354094B" w14:textId="77777777" w:rsidR="00DA702B" w:rsidRPr="00DA702B" w:rsidRDefault="00DA702B" w:rsidP="00DA702B">
            <w:pPr>
              <w:rPr>
                <w:sz w:val="20"/>
                <w:szCs w:val="20"/>
              </w:rPr>
            </w:pPr>
          </w:p>
        </w:tc>
        <w:tc>
          <w:tcPr>
            <w:tcW w:w="1309" w:type="dxa"/>
          </w:tcPr>
          <w:p w14:paraId="29F55C63" w14:textId="77777777" w:rsidR="00DA702B" w:rsidRPr="00DA702B" w:rsidRDefault="00DA702B" w:rsidP="00DA702B">
            <w:pPr>
              <w:rPr>
                <w:sz w:val="20"/>
                <w:szCs w:val="20"/>
              </w:rPr>
            </w:pPr>
          </w:p>
        </w:tc>
        <w:tc>
          <w:tcPr>
            <w:tcW w:w="1309" w:type="dxa"/>
          </w:tcPr>
          <w:p w14:paraId="44E60926" w14:textId="77777777" w:rsidR="00DA702B" w:rsidRPr="00DA702B" w:rsidRDefault="00DA702B" w:rsidP="00DA702B">
            <w:pPr>
              <w:rPr>
                <w:sz w:val="20"/>
                <w:szCs w:val="20"/>
              </w:rPr>
            </w:pPr>
          </w:p>
        </w:tc>
        <w:tc>
          <w:tcPr>
            <w:tcW w:w="1309" w:type="dxa"/>
          </w:tcPr>
          <w:p w14:paraId="47F9BFB6" w14:textId="77777777" w:rsidR="00DA702B" w:rsidRPr="00DA702B" w:rsidRDefault="00DA702B" w:rsidP="00DA702B">
            <w:pPr>
              <w:rPr>
                <w:sz w:val="20"/>
                <w:szCs w:val="20"/>
              </w:rPr>
            </w:pPr>
          </w:p>
        </w:tc>
        <w:tc>
          <w:tcPr>
            <w:tcW w:w="1309" w:type="dxa"/>
          </w:tcPr>
          <w:p w14:paraId="533C78D7" w14:textId="77777777" w:rsidR="00DA702B" w:rsidRPr="00DA702B" w:rsidRDefault="00DA702B" w:rsidP="00DA702B">
            <w:pPr>
              <w:rPr>
                <w:sz w:val="20"/>
                <w:szCs w:val="20"/>
              </w:rPr>
            </w:pPr>
          </w:p>
        </w:tc>
        <w:tc>
          <w:tcPr>
            <w:tcW w:w="1310" w:type="dxa"/>
          </w:tcPr>
          <w:p w14:paraId="51F4B422" w14:textId="77777777" w:rsidR="00DA702B" w:rsidRPr="00DA702B" w:rsidRDefault="00DA702B" w:rsidP="00DA702B">
            <w:pPr>
              <w:rPr>
                <w:sz w:val="20"/>
                <w:szCs w:val="20"/>
              </w:rPr>
            </w:pPr>
          </w:p>
        </w:tc>
        <w:tc>
          <w:tcPr>
            <w:tcW w:w="1310" w:type="dxa"/>
          </w:tcPr>
          <w:p w14:paraId="33AF6900" w14:textId="77777777" w:rsidR="00DA702B" w:rsidRPr="00DA702B" w:rsidRDefault="00DA702B" w:rsidP="00DA702B">
            <w:pPr>
              <w:rPr>
                <w:sz w:val="20"/>
                <w:szCs w:val="20"/>
              </w:rPr>
            </w:pPr>
          </w:p>
        </w:tc>
      </w:tr>
      <w:tr w:rsidR="00DA702B" w:rsidRPr="00DA702B" w14:paraId="52C913DF" w14:textId="77777777" w:rsidTr="00247007">
        <w:trPr>
          <w:cantSplit/>
          <w:trHeight w:val="346"/>
          <w:tblHeader/>
        </w:trPr>
        <w:tc>
          <w:tcPr>
            <w:tcW w:w="1308" w:type="dxa"/>
          </w:tcPr>
          <w:p w14:paraId="3FBA38E7" w14:textId="77777777" w:rsidR="00DA702B" w:rsidRPr="00DA702B" w:rsidRDefault="00DA702B" w:rsidP="00DA702B">
            <w:pPr>
              <w:rPr>
                <w:sz w:val="20"/>
                <w:szCs w:val="20"/>
              </w:rPr>
            </w:pPr>
          </w:p>
        </w:tc>
        <w:tc>
          <w:tcPr>
            <w:tcW w:w="1309" w:type="dxa"/>
          </w:tcPr>
          <w:p w14:paraId="6625D573" w14:textId="77777777" w:rsidR="00DA702B" w:rsidRPr="00DA702B" w:rsidRDefault="00DA702B" w:rsidP="00DA702B">
            <w:pPr>
              <w:rPr>
                <w:sz w:val="20"/>
                <w:szCs w:val="20"/>
              </w:rPr>
            </w:pPr>
          </w:p>
        </w:tc>
        <w:tc>
          <w:tcPr>
            <w:tcW w:w="1309" w:type="dxa"/>
          </w:tcPr>
          <w:p w14:paraId="547A8D52" w14:textId="77777777" w:rsidR="00DA702B" w:rsidRPr="00DA702B" w:rsidRDefault="00DA702B" w:rsidP="00DA702B">
            <w:pPr>
              <w:rPr>
                <w:sz w:val="20"/>
                <w:szCs w:val="20"/>
              </w:rPr>
            </w:pPr>
          </w:p>
        </w:tc>
        <w:tc>
          <w:tcPr>
            <w:tcW w:w="1309" w:type="dxa"/>
          </w:tcPr>
          <w:p w14:paraId="7C8C55E2" w14:textId="77777777" w:rsidR="00DA702B" w:rsidRPr="00DA702B" w:rsidRDefault="00DA702B" w:rsidP="00DA702B">
            <w:pPr>
              <w:rPr>
                <w:sz w:val="20"/>
                <w:szCs w:val="20"/>
              </w:rPr>
            </w:pPr>
          </w:p>
        </w:tc>
        <w:tc>
          <w:tcPr>
            <w:tcW w:w="1309" w:type="dxa"/>
          </w:tcPr>
          <w:p w14:paraId="2EC7A9CD" w14:textId="77777777" w:rsidR="00DA702B" w:rsidRPr="00DA702B" w:rsidRDefault="00DA702B" w:rsidP="00DA702B">
            <w:pPr>
              <w:rPr>
                <w:sz w:val="20"/>
                <w:szCs w:val="20"/>
              </w:rPr>
            </w:pPr>
          </w:p>
        </w:tc>
        <w:tc>
          <w:tcPr>
            <w:tcW w:w="1309" w:type="dxa"/>
          </w:tcPr>
          <w:p w14:paraId="3CC9EA20" w14:textId="77777777" w:rsidR="00DA702B" w:rsidRPr="00DA702B" w:rsidRDefault="00DA702B" w:rsidP="00DA702B">
            <w:pPr>
              <w:rPr>
                <w:sz w:val="20"/>
                <w:szCs w:val="20"/>
              </w:rPr>
            </w:pPr>
          </w:p>
        </w:tc>
        <w:tc>
          <w:tcPr>
            <w:tcW w:w="1309" w:type="dxa"/>
          </w:tcPr>
          <w:p w14:paraId="2927A07F" w14:textId="77777777" w:rsidR="00DA702B" w:rsidRPr="00DA702B" w:rsidRDefault="00DA702B" w:rsidP="00DA702B">
            <w:pPr>
              <w:rPr>
                <w:sz w:val="20"/>
                <w:szCs w:val="20"/>
              </w:rPr>
            </w:pPr>
          </w:p>
        </w:tc>
        <w:tc>
          <w:tcPr>
            <w:tcW w:w="1309" w:type="dxa"/>
          </w:tcPr>
          <w:p w14:paraId="7044FDED" w14:textId="77777777" w:rsidR="00DA702B" w:rsidRPr="00DA702B" w:rsidRDefault="00DA702B" w:rsidP="00DA702B">
            <w:pPr>
              <w:rPr>
                <w:sz w:val="20"/>
                <w:szCs w:val="20"/>
              </w:rPr>
            </w:pPr>
          </w:p>
        </w:tc>
        <w:tc>
          <w:tcPr>
            <w:tcW w:w="1309" w:type="dxa"/>
          </w:tcPr>
          <w:p w14:paraId="21CE6C7A" w14:textId="77777777" w:rsidR="00DA702B" w:rsidRPr="00DA702B" w:rsidRDefault="00DA702B" w:rsidP="00DA702B">
            <w:pPr>
              <w:rPr>
                <w:sz w:val="20"/>
                <w:szCs w:val="20"/>
              </w:rPr>
            </w:pPr>
          </w:p>
        </w:tc>
        <w:tc>
          <w:tcPr>
            <w:tcW w:w="1310" w:type="dxa"/>
          </w:tcPr>
          <w:p w14:paraId="07245612" w14:textId="77777777" w:rsidR="00DA702B" w:rsidRPr="00DA702B" w:rsidRDefault="00DA702B" w:rsidP="00DA702B">
            <w:pPr>
              <w:rPr>
                <w:sz w:val="20"/>
                <w:szCs w:val="20"/>
              </w:rPr>
            </w:pPr>
          </w:p>
        </w:tc>
        <w:tc>
          <w:tcPr>
            <w:tcW w:w="1310" w:type="dxa"/>
          </w:tcPr>
          <w:p w14:paraId="1806AA89" w14:textId="77777777" w:rsidR="00DA702B" w:rsidRPr="00DA702B" w:rsidRDefault="00DA702B" w:rsidP="00DA702B">
            <w:pPr>
              <w:rPr>
                <w:sz w:val="20"/>
                <w:szCs w:val="20"/>
              </w:rPr>
            </w:pPr>
          </w:p>
        </w:tc>
      </w:tr>
      <w:tr w:rsidR="00DA702B" w:rsidRPr="00DA702B" w14:paraId="0F1A950B" w14:textId="77777777" w:rsidTr="00247007">
        <w:trPr>
          <w:cantSplit/>
          <w:trHeight w:val="346"/>
          <w:tblHeader/>
        </w:trPr>
        <w:tc>
          <w:tcPr>
            <w:tcW w:w="1308" w:type="dxa"/>
          </w:tcPr>
          <w:p w14:paraId="070C4482" w14:textId="77777777" w:rsidR="00DA702B" w:rsidRPr="00DA702B" w:rsidRDefault="00DA702B" w:rsidP="00DA702B">
            <w:pPr>
              <w:rPr>
                <w:sz w:val="20"/>
                <w:szCs w:val="20"/>
              </w:rPr>
            </w:pPr>
          </w:p>
        </w:tc>
        <w:tc>
          <w:tcPr>
            <w:tcW w:w="1309" w:type="dxa"/>
          </w:tcPr>
          <w:p w14:paraId="7CACD151" w14:textId="77777777" w:rsidR="00DA702B" w:rsidRPr="00DA702B" w:rsidRDefault="00DA702B" w:rsidP="00DA702B">
            <w:pPr>
              <w:rPr>
                <w:sz w:val="20"/>
                <w:szCs w:val="20"/>
              </w:rPr>
            </w:pPr>
          </w:p>
        </w:tc>
        <w:tc>
          <w:tcPr>
            <w:tcW w:w="1309" w:type="dxa"/>
          </w:tcPr>
          <w:p w14:paraId="0CE70312" w14:textId="77777777" w:rsidR="00DA702B" w:rsidRPr="00DA702B" w:rsidRDefault="00DA702B" w:rsidP="00DA702B">
            <w:pPr>
              <w:rPr>
                <w:sz w:val="20"/>
                <w:szCs w:val="20"/>
              </w:rPr>
            </w:pPr>
          </w:p>
        </w:tc>
        <w:tc>
          <w:tcPr>
            <w:tcW w:w="1309" w:type="dxa"/>
          </w:tcPr>
          <w:p w14:paraId="156D79B9" w14:textId="77777777" w:rsidR="00DA702B" w:rsidRPr="00DA702B" w:rsidRDefault="00DA702B" w:rsidP="00DA702B">
            <w:pPr>
              <w:rPr>
                <w:sz w:val="20"/>
                <w:szCs w:val="20"/>
              </w:rPr>
            </w:pPr>
          </w:p>
        </w:tc>
        <w:tc>
          <w:tcPr>
            <w:tcW w:w="1309" w:type="dxa"/>
          </w:tcPr>
          <w:p w14:paraId="23E359D1" w14:textId="77777777" w:rsidR="00DA702B" w:rsidRPr="00DA702B" w:rsidRDefault="00DA702B" w:rsidP="00DA702B">
            <w:pPr>
              <w:rPr>
                <w:sz w:val="20"/>
                <w:szCs w:val="20"/>
              </w:rPr>
            </w:pPr>
          </w:p>
        </w:tc>
        <w:tc>
          <w:tcPr>
            <w:tcW w:w="1309" w:type="dxa"/>
          </w:tcPr>
          <w:p w14:paraId="63F975D3" w14:textId="77777777" w:rsidR="00DA702B" w:rsidRPr="00DA702B" w:rsidRDefault="00DA702B" w:rsidP="00DA702B">
            <w:pPr>
              <w:rPr>
                <w:sz w:val="20"/>
                <w:szCs w:val="20"/>
              </w:rPr>
            </w:pPr>
          </w:p>
        </w:tc>
        <w:tc>
          <w:tcPr>
            <w:tcW w:w="1309" w:type="dxa"/>
          </w:tcPr>
          <w:p w14:paraId="742A03C1" w14:textId="77777777" w:rsidR="00DA702B" w:rsidRPr="00DA702B" w:rsidRDefault="00DA702B" w:rsidP="00DA702B">
            <w:pPr>
              <w:rPr>
                <w:sz w:val="20"/>
                <w:szCs w:val="20"/>
              </w:rPr>
            </w:pPr>
          </w:p>
        </w:tc>
        <w:tc>
          <w:tcPr>
            <w:tcW w:w="1309" w:type="dxa"/>
          </w:tcPr>
          <w:p w14:paraId="0ADEF6BB" w14:textId="77777777" w:rsidR="00DA702B" w:rsidRPr="00DA702B" w:rsidRDefault="00DA702B" w:rsidP="00DA702B">
            <w:pPr>
              <w:rPr>
                <w:sz w:val="20"/>
                <w:szCs w:val="20"/>
              </w:rPr>
            </w:pPr>
          </w:p>
        </w:tc>
        <w:tc>
          <w:tcPr>
            <w:tcW w:w="1309" w:type="dxa"/>
          </w:tcPr>
          <w:p w14:paraId="26AC21E7" w14:textId="77777777" w:rsidR="00DA702B" w:rsidRPr="00DA702B" w:rsidRDefault="00DA702B" w:rsidP="00DA702B">
            <w:pPr>
              <w:rPr>
                <w:sz w:val="20"/>
                <w:szCs w:val="20"/>
              </w:rPr>
            </w:pPr>
          </w:p>
        </w:tc>
        <w:tc>
          <w:tcPr>
            <w:tcW w:w="1310" w:type="dxa"/>
          </w:tcPr>
          <w:p w14:paraId="349D56B6" w14:textId="77777777" w:rsidR="00DA702B" w:rsidRPr="00DA702B" w:rsidRDefault="00DA702B" w:rsidP="00DA702B">
            <w:pPr>
              <w:rPr>
                <w:sz w:val="20"/>
                <w:szCs w:val="20"/>
              </w:rPr>
            </w:pPr>
          </w:p>
        </w:tc>
        <w:tc>
          <w:tcPr>
            <w:tcW w:w="1310" w:type="dxa"/>
          </w:tcPr>
          <w:p w14:paraId="13145C03" w14:textId="77777777" w:rsidR="00DA702B" w:rsidRPr="00DA702B" w:rsidRDefault="00DA702B" w:rsidP="00DA702B">
            <w:pPr>
              <w:rPr>
                <w:sz w:val="20"/>
                <w:szCs w:val="20"/>
              </w:rPr>
            </w:pPr>
          </w:p>
        </w:tc>
      </w:tr>
      <w:tr w:rsidR="00DA702B" w:rsidRPr="00DA702B" w14:paraId="278D0A65" w14:textId="77777777" w:rsidTr="00247007">
        <w:trPr>
          <w:cantSplit/>
          <w:trHeight w:val="346"/>
          <w:tblHeader/>
        </w:trPr>
        <w:tc>
          <w:tcPr>
            <w:tcW w:w="1308" w:type="dxa"/>
          </w:tcPr>
          <w:p w14:paraId="09D47215" w14:textId="77777777" w:rsidR="00DA702B" w:rsidRPr="00DA702B" w:rsidRDefault="00DA702B" w:rsidP="00DA702B">
            <w:pPr>
              <w:rPr>
                <w:sz w:val="20"/>
                <w:szCs w:val="20"/>
              </w:rPr>
            </w:pPr>
          </w:p>
        </w:tc>
        <w:tc>
          <w:tcPr>
            <w:tcW w:w="1309" w:type="dxa"/>
          </w:tcPr>
          <w:p w14:paraId="3629541D" w14:textId="77777777" w:rsidR="00DA702B" w:rsidRPr="00DA702B" w:rsidRDefault="00DA702B" w:rsidP="00DA702B">
            <w:pPr>
              <w:rPr>
                <w:sz w:val="20"/>
                <w:szCs w:val="20"/>
              </w:rPr>
            </w:pPr>
          </w:p>
        </w:tc>
        <w:tc>
          <w:tcPr>
            <w:tcW w:w="1309" w:type="dxa"/>
          </w:tcPr>
          <w:p w14:paraId="6A8CB71F" w14:textId="77777777" w:rsidR="00DA702B" w:rsidRPr="00DA702B" w:rsidRDefault="00DA702B" w:rsidP="00DA702B">
            <w:pPr>
              <w:rPr>
                <w:sz w:val="20"/>
                <w:szCs w:val="20"/>
              </w:rPr>
            </w:pPr>
          </w:p>
        </w:tc>
        <w:tc>
          <w:tcPr>
            <w:tcW w:w="1309" w:type="dxa"/>
          </w:tcPr>
          <w:p w14:paraId="335A1141" w14:textId="77777777" w:rsidR="00DA702B" w:rsidRPr="00DA702B" w:rsidRDefault="00DA702B" w:rsidP="00DA702B">
            <w:pPr>
              <w:rPr>
                <w:sz w:val="20"/>
                <w:szCs w:val="20"/>
              </w:rPr>
            </w:pPr>
          </w:p>
        </w:tc>
        <w:tc>
          <w:tcPr>
            <w:tcW w:w="1309" w:type="dxa"/>
          </w:tcPr>
          <w:p w14:paraId="2154C128" w14:textId="77777777" w:rsidR="00DA702B" w:rsidRPr="00DA702B" w:rsidRDefault="00DA702B" w:rsidP="00DA702B">
            <w:pPr>
              <w:rPr>
                <w:sz w:val="20"/>
                <w:szCs w:val="20"/>
              </w:rPr>
            </w:pPr>
          </w:p>
        </w:tc>
        <w:tc>
          <w:tcPr>
            <w:tcW w:w="1309" w:type="dxa"/>
          </w:tcPr>
          <w:p w14:paraId="4B82ED81" w14:textId="77777777" w:rsidR="00DA702B" w:rsidRPr="00DA702B" w:rsidRDefault="00DA702B" w:rsidP="00DA702B">
            <w:pPr>
              <w:rPr>
                <w:sz w:val="20"/>
                <w:szCs w:val="20"/>
              </w:rPr>
            </w:pPr>
          </w:p>
        </w:tc>
        <w:tc>
          <w:tcPr>
            <w:tcW w:w="1309" w:type="dxa"/>
          </w:tcPr>
          <w:p w14:paraId="78DE3CC2" w14:textId="77777777" w:rsidR="00DA702B" w:rsidRPr="00DA702B" w:rsidRDefault="00DA702B" w:rsidP="00DA702B">
            <w:pPr>
              <w:rPr>
                <w:sz w:val="20"/>
                <w:szCs w:val="20"/>
              </w:rPr>
            </w:pPr>
          </w:p>
        </w:tc>
        <w:tc>
          <w:tcPr>
            <w:tcW w:w="1309" w:type="dxa"/>
          </w:tcPr>
          <w:p w14:paraId="00CDE8F3" w14:textId="77777777" w:rsidR="00DA702B" w:rsidRPr="00DA702B" w:rsidRDefault="00DA702B" w:rsidP="00DA702B">
            <w:pPr>
              <w:rPr>
                <w:sz w:val="20"/>
                <w:szCs w:val="20"/>
              </w:rPr>
            </w:pPr>
          </w:p>
        </w:tc>
        <w:tc>
          <w:tcPr>
            <w:tcW w:w="1309" w:type="dxa"/>
          </w:tcPr>
          <w:p w14:paraId="766E592A" w14:textId="77777777" w:rsidR="00DA702B" w:rsidRPr="00DA702B" w:rsidRDefault="00DA702B" w:rsidP="00DA702B">
            <w:pPr>
              <w:rPr>
                <w:sz w:val="20"/>
                <w:szCs w:val="20"/>
              </w:rPr>
            </w:pPr>
          </w:p>
        </w:tc>
        <w:tc>
          <w:tcPr>
            <w:tcW w:w="1310" w:type="dxa"/>
          </w:tcPr>
          <w:p w14:paraId="025F8484" w14:textId="77777777" w:rsidR="00DA702B" w:rsidRPr="00DA702B" w:rsidRDefault="00DA702B" w:rsidP="00DA702B">
            <w:pPr>
              <w:rPr>
                <w:sz w:val="20"/>
                <w:szCs w:val="20"/>
              </w:rPr>
            </w:pPr>
          </w:p>
        </w:tc>
        <w:tc>
          <w:tcPr>
            <w:tcW w:w="1310" w:type="dxa"/>
          </w:tcPr>
          <w:p w14:paraId="256B7C52" w14:textId="77777777" w:rsidR="00DA702B" w:rsidRPr="00DA702B" w:rsidRDefault="00DA702B" w:rsidP="00DA702B">
            <w:pPr>
              <w:rPr>
                <w:sz w:val="20"/>
                <w:szCs w:val="20"/>
              </w:rPr>
            </w:pPr>
          </w:p>
        </w:tc>
      </w:tr>
      <w:tr w:rsidR="00DA702B" w:rsidRPr="00DA702B" w14:paraId="00D40DA7" w14:textId="77777777" w:rsidTr="00247007">
        <w:trPr>
          <w:cantSplit/>
          <w:trHeight w:val="346"/>
          <w:tblHeader/>
        </w:trPr>
        <w:tc>
          <w:tcPr>
            <w:tcW w:w="1308" w:type="dxa"/>
          </w:tcPr>
          <w:p w14:paraId="68D47C70" w14:textId="77777777" w:rsidR="00DA702B" w:rsidRPr="00DA702B" w:rsidRDefault="00DA702B" w:rsidP="00DA702B">
            <w:pPr>
              <w:rPr>
                <w:sz w:val="20"/>
                <w:szCs w:val="20"/>
              </w:rPr>
            </w:pPr>
          </w:p>
        </w:tc>
        <w:tc>
          <w:tcPr>
            <w:tcW w:w="1309" w:type="dxa"/>
          </w:tcPr>
          <w:p w14:paraId="3AB6B3EC" w14:textId="77777777" w:rsidR="00DA702B" w:rsidRPr="00DA702B" w:rsidRDefault="00DA702B" w:rsidP="00DA702B">
            <w:pPr>
              <w:rPr>
                <w:sz w:val="20"/>
                <w:szCs w:val="20"/>
              </w:rPr>
            </w:pPr>
          </w:p>
        </w:tc>
        <w:tc>
          <w:tcPr>
            <w:tcW w:w="1309" w:type="dxa"/>
          </w:tcPr>
          <w:p w14:paraId="0E213968" w14:textId="77777777" w:rsidR="00DA702B" w:rsidRPr="00DA702B" w:rsidRDefault="00DA702B" w:rsidP="00DA702B">
            <w:pPr>
              <w:rPr>
                <w:sz w:val="20"/>
                <w:szCs w:val="20"/>
              </w:rPr>
            </w:pPr>
          </w:p>
        </w:tc>
        <w:tc>
          <w:tcPr>
            <w:tcW w:w="1309" w:type="dxa"/>
          </w:tcPr>
          <w:p w14:paraId="2BA40800" w14:textId="77777777" w:rsidR="00DA702B" w:rsidRPr="00DA702B" w:rsidRDefault="00DA702B" w:rsidP="00DA702B">
            <w:pPr>
              <w:rPr>
                <w:sz w:val="20"/>
                <w:szCs w:val="20"/>
              </w:rPr>
            </w:pPr>
          </w:p>
        </w:tc>
        <w:tc>
          <w:tcPr>
            <w:tcW w:w="1309" w:type="dxa"/>
          </w:tcPr>
          <w:p w14:paraId="4ED3AAD6" w14:textId="77777777" w:rsidR="00DA702B" w:rsidRPr="00DA702B" w:rsidRDefault="00DA702B" w:rsidP="00DA702B">
            <w:pPr>
              <w:rPr>
                <w:sz w:val="20"/>
                <w:szCs w:val="20"/>
              </w:rPr>
            </w:pPr>
          </w:p>
        </w:tc>
        <w:tc>
          <w:tcPr>
            <w:tcW w:w="1309" w:type="dxa"/>
          </w:tcPr>
          <w:p w14:paraId="294DAE7B" w14:textId="77777777" w:rsidR="00DA702B" w:rsidRPr="00DA702B" w:rsidRDefault="00DA702B" w:rsidP="00DA702B">
            <w:pPr>
              <w:rPr>
                <w:sz w:val="20"/>
                <w:szCs w:val="20"/>
              </w:rPr>
            </w:pPr>
          </w:p>
        </w:tc>
        <w:tc>
          <w:tcPr>
            <w:tcW w:w="1309" w:type="dxa"/>
          </w:tcPr>
          <w:p w14:paraId="242B7D40" w14:textId="77777777" w:rsidR="00DA702B" w:rsidRPr="00DA702B" w:rsidRDefault="00DA702B" w:rsidP="00DA702B">
            <w:pPr>
              <w:rPr>
                <w:sz w:val="20"/>
                <w:szCs w:val="20"/>
              </w:rPr>
            </w:pPr>
          </w:p>
        </w:tc>
        <w:tc>
          <w:tcPr>
            <w:tcW w:w="1309" w:type="dxa"/>
          </w:tcPr>
          <w:p w14:paraId="3370CE8D" w14:textId="77777777" w:rsidR="00DA702B" w:rsidRPr="00DA702B" w:rsidRDefault="00DA702B" w:rsidP="00DA702B">
            <w:pPr>
              <w:rPr>
                <w:sz w:val="20"/>
                <w:szCs w:val="20"/>
              </w:rPr>
            </w:pPr>
          </w:p>
        </w:tc>
        <w:tc>
          <w:tcPr>
            <w:tcW w:w="1309" w:type="dxa"/>
          </w:tcPr>
          <w:p w14:paraId="09B0C9F2" w14:textId="77777777" w:rsidR="00DA702B" w:rsidRPr="00DA702B" w:rsidRDefault="00DA702B" w:rsidP="00DA702B">
            <w:pPr>
              <w:rPr>
                <w:sz w:val="20"/>
                <w:szCs w:val="20"/>
              </w:rPr>
            </w:pPr>
          </w:p>
        </w:tc>
        <w:tc>
          <w:tcPr>
            <w:tcW w:w="1310" w:type="dxa"/>
          </w:tcPr>
          <w:p w14:paraId="5E4010C5" w14:textId="77777777" w:rsidR="00DA702B" w:rsidRPr="00DA702B" w:rsidRDefault="00DA702B" w:rsidP="00DA702B">
            <w:pPr>
              <w:rPr>
                <w:sz w:val="20"/>
                <w:szCs w:val="20"/>
              </w:rPr>
            </w:pPr>
          </w:p>
        </w:tc>
        <w:tc>
          <w:tcPr>
            <w:tcW w:w="1310" w:type="dxa"/>
          </w:tcPr>
          <w:p w14:paraId="5AD036D2" w14:textId="77777777" w:rsidR="00DA702B" w:rsidRPr="00DA702B" w:rsidRDefault="00DA702B" w:rsidP="00DA702B">
            <w:pPr>
              <w:rPr>
                <w:sz w:val="20"/>
                <w:szCs w:val="20"/>
              </w:rPr>
            </w:pPr>
          </w:p>
        </w:tc>
      </w:tr>
    </w:tbl>
    <w:p w14:paraId="7A826CB4" w14:textId="77777777" w:rsidR="00DA702B" w:rsidRPr="00DA702B" w:rsidRDefault="00DA702B" w:rsidP="00DA702B">
      <w:r w:rsidRPr="00DA702B">
        <w:br w:type="page"/>
      </w:r>
    </w:p>
    <w:p w14:paraId="78912F98" w14:textId="77777777" w:rsidR="00DA702B" w:rsidRPr="00DA702B" w:rsidRDefault="00DA702B" w:rsidP="00D9699F">
      <w:pPr>
        <w:widowControl w:val="0"/>
        <w:jc w:val="center"/>
        <w:rPr>
          <w:rFonts w:eastAsiaTheme="majorEastAsia"/>
          <w:b/>
          <w:bCs/>
        </w:rPr>
      </w:pPr>
      <w:r w:rsidRPr="00DA702B">
        <w:rPr>
          <w:rFonts w:eastAsiaTheme="majorEastAsia"/>
          <w:b/>
          <w:bCs/>
        </w:rPr>
        <w:lastRenderedPageBreak/>
        <w:t>Boiler/Steam Generator/Steam Generating Unit Attributes</w:t>
      </w:r>
    </w:p>
    <w:p w14:paraId="74DBE44F" w14:textId="77777777" w:rsidR="00DA702B" w:rsidRPr="00DA702B" w:rsidRDefault="00DA702B" w:rsidP="00D9699F">
      <w:pPr>
        <w:widowControl w:val="0"/>
        <w:jc w:val="center"/>
        <w:rPr>
          <w:rFonts w:eastAsiaTheme="majorEastAsia"/>
          <w:b/>
          <w:bCs/>
        </w:rPr>
      </w:pPr>
      <w:r w:rsidRPr="00DA702B">
        <w:rPr>
          <w:rFonts w:eastAsiaTheme="majorEastAsia"/>
          <w:b/>
          <w:bCs/>
        </w:rPr>
        <w:t>Form OP-UA6 (Page 18)</w:t>
      </w:r>
    </w:p>
    <w:p w14:paraId="32D2A1E9" w14:textId="77777777" w:rsidR="00DA702B" w:rsidRPr="00DA702B" w:rsidRDefault="00DA702B" w:rsidP="00D9699F">
      <w:pPr>
        <w:widowControl w:val="0"/>
        <w:jc w:val="center"/>
        <w:rPr>
          <w:rFonts w:eastAsiaTheme="majorEastAsia"/>
          <w:b/>
          <w:bCs/>
        </w:rPr>
      </w:pPr>
      <w:r w:rsidRPr="00DA702B">
        <w:rPr>
          <w:rFonts w:eastAsiaTheme="majorEastAsia"/>
          <w:b/>
          <w:bCs/>
        </w:rPr>
        <w:t>Federal Operating Permit Program</w:t>
      </w:r>
    </w:p>
    <w:p w14:paraId="559A412F" w14:textId="77777777" w:rsidR="00DA702B" w:rsidRPr="00DA702B" w:rsidRDefault="00DA702B" w:rsidP="00D9699F">
      <w:pPr>
        <w:widowControl w:val="0"/>
        <w:jc w:val="center"/>
        <w:rPr>
          <w:rFonts w:eastAsiaTheme="majorEastAsia"/>
          <w:b/>
          <w:bCs/>
        </w:rPr>
      </w:pPr>
      <w:bookmarkStart w:id="180" w:name="TBL_7"/>
      <w:r w:rsidRPr="00DA702B">
        <w:rPr>
          <w:rFonts w:eastAsiaTheme="majorEastAsia"/>
          <w:b/>
          <w:bCs/>
        </w:rPr>
        <w:t>Table 7</w:t>
      </w:r>
      <w:bookmarkEnd w:id="180"/>
      <w:r w:rsidRPr="00DA702B">
        <w:rPr>
          <w:rFonts w:eastAsiaTheme="majorEastAsia"/>
          <w:b/>
          <w:bCs/>
        </w:rPr>
        <w:t>:  Title 30 Texas Administrative Code Chapter 112 (30 TAC Chapter 112)</w:t>
      </w:r>
    </w:p>
    <w:p w14:paraId="19C3843D" w14:textId="77777777" w:rsidR="00DA702B" w:rsidRPr="00DA702B" w:rsidRDefault="00DA702B" w:rsidP="00D9699F">
      <w:pPr>
        <w:widowControl w:val="0"/>
        <w:jc w:val="center"/>
        <w:rPr>
          <w:rFonts w:eastAsiaTheme="majorEastAsia"/>
          <w:b/>
          <w:bCs/>
        </w:rPr>
      </w:pPr>
      <w:r w:rsidRPr="00DA702B">
        <w:rPr>
          <w:rFonts w:eastAsiaTheme="majorEastAsia"/>
          <w:b/>
          <w:bCs/>
        </w:rPr>
        <w:t>Subchapters A-D: Control of Air Pollution from Sulfur Compounds</w:t>
      </w:r>
    </w:p>
    <w:p w14:paraId="7CB4DBAB" w14:textId="77777777" w:rsidR="00DA702B" w:rsidRPr="00DA702B" w:rsidRDefault="00DA702B" w:rsidP="00D9699F">
      <w:pPr>
        <w:widowControl w:val="0"/>
        <w:jc w:val="center"/>
        <w:rPr>
          <w:b/>
          <w:bCs/>
        </w:rPr>
      </w:pPr>
      <w:r w:rsidRPr="00DA702B">
        <w:rPr>
          <w:b/>
          <w:bCs/>
        </w:rPr>
        <w:t>Texas Commission on Environmental Quality</w:t>
      </w:r>
    </w:p>
    <w:p w14:paraId="415C2236"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7:  Title 30 Texas Administrative Code Chapter 112 (30 TAC Chapter 112)&#10;Control of Air Pollution from Sulfur Compounds&#10;"/>
      </w:tblPr>
      <w:tblGrid>
        <w:gridCol w:w="4800"/>
        <w:gridCol w:w="4800"/>
        <w:gridCol w:w="4800"/>
      </w:tblGrid>
      <w:tr w:rsidR="00DA702B" w:rsidRPr="00DA702B" w14:paraId="678E1CE2" w14:textId="77777777" w:rsidTr="00247007">
        <w:trPr>
          <w:cantSplit/>
          <w:tblHeader/>
        </w:trPr>
        <w:tc>
          <w:tcPr>
            <w:tcW w:w="4800" w:type="dxa"/>
            <w:shd w:val="clear" w:color="auto" w:fill="D9D9D9" w:themeFill="background1" w:themeFillShade="D9"/>
          </w:tcPr>
          <w:p w14:paraId="06994B76"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41F0992D"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46312CBD"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2A4C7901" w14:textId="77777777" w:rsidTr="00247007">
        <w:trPr>
          <w:cantSplit/>
          <w:tblHeader/>
        </w:trPr>
        <w:tc>
          <w:tcPr>
            <w:tcW w:w="4800" w:type="dxa"/>
          </w:tcPr>
          <w:p w14:paraId="51F6FC37" w14:textId="77777777" w:rsidR="00DA702B" w:rsidRPr="00DA702B" w:rsidRDefault="00DA702B" w:rsidP="00DA702B">
            <w:pPr>
              <w:rPr>
                <w:rFonts w:asciiTheme="majorHAnsi" w:hAnsiTheme="majorHAnsi" w:cstheme="majorHAnsi"/>
              </w:rPr>
            </w:pPr>
          </w:p>
        </w:tc>
        <w:tc>
          <w:tcPr>
            <w:tcW w:w="4800" w:type="dxa"/>
          </w:tcPr>
          <w:p w14:paraId="0B36BC53" w14:textId="77777777" w:rsidR="00DA702B" w:rsidRPr="00DA702B" w:rsidRDefault="00DA702B" w:rsidP="00DA702B">
            <w:pPr>
              <w:rPr>
                <w:rFonts w:asciiTheme="majorHAnsi" w:hAnsiTheme="majorHAnsi" w:cstheme="majorHAnsi"/>
              </w:rPr>
            </w:pPr>
          </w:p>
        </w:tc>
        <w:tc>
          <w:tcPr>
            <w:tcW w:w="4800" w:type="dxa"/>
          </w:tcPr>
          <w:p w14:paraId="4DE376AC" w14:textId="77777777" w:rsidR="00DA702B" w:rsidRPr="00DA702B" w:rsidRDefault="00DA702B" w:rsidP="00DA702B">
            <w:pPr>
              <w:rPr>
                <w:rFonts w:asciiTheme="majorHAnsi" w:hAnsiTheme="majorHAnsi" w:cstheme="majorHAnsi"/>
              </w:rPr>
            </w:pPr>
          </w:p>
        </w:tc>
      </w:tr>
    </w:tbl>
    <w:p w14:paraId="52CAF101"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7:  Title 30 Texas Administrative Code Chapter 112 (30 TAC Chapter 112)&#10;Control of Air Pollution from Sulfur Compounds&#10;"/>
      </w:tblPr>
      <w:tblGrid>
        <w:gridCol w:w="1800"/>
        <w:gridCol w:w="1800"/>
        <w:gridCol w:w="1800"/>
        <w:gridCol w:w="1800"/>
        <w:gridCol w:w="1800"/>
        <w:gridCol w:w="1800"/>
        <w:gridCol w:w="1800"/>
        <w:gridCol w:w="1800"/>
      </w:tblGrid>
      <w:tr w:rsidR="00DA702B" w:rsidRPr="00DA702B" w14:paraId="48F63471" w14:textId="77777777" w:rsidTr="00247007">
        <w:trPr>
          <w:cantSplit/>
          <w:tblHeader/>
        </w:trPr>
        <w:tc>
          <w:tcPr>
            <w:tcW w:w="1800" w:type="dxa"/>
            <w:shd w:val="clear" w:color="auto" w:fill="D9D9D9" w:themeFill="background1" w:themeFillShade="D9"/>
            <w:vAlign w:val="center"/>
          </w:tcPr>
          <w:p w14:paraId="4E8CA4CE" w14:textId="77777777" w:rsidR="00DA702B" w:rsidRPr="00DA702B" w:rsidRDefault="00DA702B" w:rsidP="00DA702B">
            <w:pPr>
              <w:jc w:val="center"/>
              <w:rPr>
                <w:sz w:val="20"/>
                <w:szCs w:val="20"/>
              </w:rPr>
            </w:pPr>
            <w:r w:rsidRPr="00DA702B">
              <w:rPr>
                <w:b/>
                <w:sz w:val="20"/>
                <w:szCs w:val="20"/>
              </w:rPr>
              <w:t>Unit ID No.</w:t>
            </w:r>
          </w:p>
        </w:tc>
        <w:tc>
          <w:tcPr>
            <w:tcW w:w="1800" w:type="dxa"/>
            <w:shd w:val="clear" w:color="auto" w:fill="D9D9D9" w:themeFill="background1" w:themeFillShade="D9"/>
            <w:vAlign w:val="center"/>
          </w:tcPr>
          <w:p w14:paraId="049B4CD4" w14:textId="77777777" w:rsidR="00DA702B" w:rsidRPr="00DA702B" w:rsidRDefault="00DA702B" w:rsidP="00DA702B">
            <w:pPr>
              <w:jc w:val="center"/>
              <w:rPr>
                <w:sz w:val="20"/>
                <w:szCs w:val="20"/>
              </w:rPr>
            </w:pPr>
            <w:r w:rsidRPr="00DA702B">
              <w:rPr>
                <w:b/>
                <w:sz w:val="20"/>
                <w:szCs w:val="20"/>
              </w:rPr>
              <w:t>SOP Index No.</w:t>
            </w:r>
          </w:p>
        </w:tc>
        <w:tc>
          <w:tcPr>
            <w:tcW w:w="1800" w:type="dxa"/>
            <w:shd w:val="clear" w:color="auto" w:fill="D9D9D9" w:themeFill="background1" w:themeFillShade="D9"/>
            <w:vAlign w:val="center"/>
          </w:tcPr>
          <w:p w14:paraId="54DF1A43" w14:textId="77777777" w:rsidR="00DA702B" w:rsidRPr="00DA702B" w:rsidRDefault="00DA702B" w:rsidP="00DA702B">
            <w:pPr>
              <w:jc w:val="center"/>
              <w:rPr>
                <w:sz w:val="20"/>
                <w:szCs w:val="20"/>
              </w:rPr>
            </w:pPr>
            <w:r w:rsidRPr="00DA702B">
              <w:rPr>
                <w:b/>
                <w:sz w:val="20"/>
                <w:szCs w:val="20"/>
              </w:rPr>
              <w:t>Fuel Type</w:t>
            </w:r>
          </w:p>
        </w:tc>
        <w:tc>
          <w:tcPr>
            <w:tcW w:w="1800" w:type="dxa"/>
            <w:shd w:val="clear" w:color="auto" w:fill="D9D9D9" w:themeFill="background1" w:themeFillShade="D9"/>
            <w:vAlign w:val="center"/>
          </w:tcPr>
          <w:p w14:paraId="0DFF4D7E" w14:textId="77777777" w:rsidR="00DA702B" w:rsidRPr="00DA702B" w:rsidRDefault="00DA702B" w:rsidP="00DA702B">
            <w:pPr>
              <w:jc w:val="center"/>
              <w:rPr>
                <w:sz w:val="20"/>
                <w:szCs w:val="20"/>
              </w:rPr>
            </w:pPr>
            <w:r w:rsidRPr="00DA702B">
              <w:rPr>
                <w:b/>
                <w:sz w:val="20"/>
                <w:szCs w:val="20"/>
              </w:rPr>
              <w:t>Date of Operation</w:t>
            </w:r>
          </w:p>
        </w:tc>
        <w:tc>
          <w:tcPr>
            <w:tcW w:w="1800" w:type="dxa"/>
            <w:shd w:val="clear" w:color="auto" w:fill="D9D9D9" w:themeFill="background1" w:themeFillShade="D9"/>
            <w:vAlign w:val="center"/>
          </w:tcPr>
          <w:p w14:paraId="164C8363" w14:textId="77777777" w:rsidR="00DA702B" w:rsidRPr="00DA702B" w:rsidRDefault="00DA702B" w:rsidP="00DA702B">
            <w:pPr>
              <w:jc w:val="center"/>
              <w:rPr>
                <w:sz w:val="20"/>
                <w:szCs w:val="20"/>
              </w:rPr>
            </w:pPr>
            <w:r w:rsidRPr="00DA702B">
              <w:rPr>
                <w:b/>
                <w:sz w:val="20"/>
                <w:szCs w:val="20"/>
              </w:rPr>
              <w:t>Heat Input</w:t>
            </w:r>
          </w:p>
        </w:tc>
        <w:tc>
          <w:tcPr>
            <w:tcW w:w="1800" w:type="dxa"/>
            <w:shd w:val="clear" w:color="auto" w:fill="D9D9D9" w:themeFill="background1" w:themeFillShade="D9"/>
            <w:vAlign w:val="center"/>
          </w:tcPr>
          <w:p w14:paraId="105931AD" w14:textId="77777777" w:rsidR="00DA702B" w:rsidRPr="00DA702B" w:rsidRDefault="00DA702B" w:rsidP="00DA702B">
            <w:pPr>
              <w:jc w:val="center"/>
              <w:rPr>
                <w:sz w:val="20"/>
                <w:szCs w:val="20"/>
              </w:rPr>
            </w:pPr>
            <w:r w:rsidRPr="00DA702B">
              <w:rPr>
                <w:b/>
                <w:sz w:val="20"/>
                <w:szCs w:val="20"/>
              </w:rPr>
              <w:t>Control Equipment</w:t>
            </w:r>
          </w:p>
        </w:tc>
        <w:tc>
          <w:tcPr>
            <w:tcW w:w="1800" w:type="dxa"/>
            <w:shd w:val="clear" w:color="auto" w:fill="D9D9D9" w:themeFill="background1" w:themeFillShade="D9"/>
            <w:vAlign w:val="center"/>
          </w:tcPr>
          <w:p w14:paraId="48D382FA" w14:textId="77777777" w:rsidR="00DA702B" w:rsidRPr="00DA702B" w:rsidRDefault="00DA702B" w:rsidP="00DA702B">
            <w:pPr>
              <w:jc w:val="center"/>
              <w:rPr>
                <w:sz w:val="20"/>
                <w:szCs w:val="20"/>
              </w:rPr>
            </w:pPr>
            <w:r w:rsidRPr="00DA702B">
              <w:rPr>
                <w:b/>
                <w:sz w:val="20"/>
                <w:szCs w:val="20"/>
              </w:rPr>
              <w:t>FCAA § 412(c)</w:t>
            </w:r>
          </w:p>
        </w:tc>
        <w:tc>
          <w:tcPr>
            <w:tcW w:w="1800" w:type="dxa"/>
            <w:shd w:val="clear" w:color="auto" w:fill="D9D9D9" w:themeFill="background1" w:themeFillShade="D9"/>
            <w:vAlign w:val="center"/>
          </w:tcPr>
          <w:p w14:paraId="75549572" w14:textId="77777777" w:rsidR="00DA702B" w:rsidRPr="00DA702B" w:rsidRDefault="00DA702B" w:rsidP="00DA702B">
            <w:pPr>
              <w:jc w:val="center"/>
              <w:rPr>
                <w:sz w:val="20"/>
                <w:szCs w:val="20"/>
              </w:rPr>
            </w:pPr>
            <w:r w:rsidRPr="00DA702B">
              <w:rPr>
                <w:b/>
                <w:sz w:val="20"/>
                <w:szCs w:val="20"/>
              </w:rPr>
              <w:t>Stack Height</w:t>
            </w:r>
          </w:p>
        </w:tc>
      </w:tr>
      <w:tr w:rsidR="00DA702B" w:rsidRPr="00DA702B" w14:paraId="202EC1D7" w14:textId="77777777" w:rsidTr="00247007">
        <w:trPr>
          <w:cantSplit/>
          <w:trHeight w:val="346"/>
          <w:tblHeader/>
        </w:trPr>
        <w:tc>
          <w:tcPr>
            <w:tcW w:w="1800" w:type="dxa"/>
          </w:tcPr>
          <w:p w14:paraId="2846C0F9" w14:textId="77777777" w:rsidR="00DA702B" w:rsidRPr="00DA702B" w:rsidRDefault="00DA702B" w:rsidP="00DA702B">
            <w:pPr>
              <w:rPr>
                <w:sz w:val="20"/>
                <w:szCs w:val="20"/>
              </w:rPr>
            </w:pPr>
          </w:p>
        </w:tc>
        <w:tc>
          <w:tcPr>
            <w:tcW w:w="1800" w:type="dxa"/>
          </w:tcPr>
          <w:p w14:paraId="3D65D5D7" w14:textId="77777777" w:rsidR="00DA702B" w:rsidRPr="00DA702B" w:rsidRDefault="00DA702B" w:rsidP="00DA702B">
            <w:pPr>
              <w:rPr>
                <w:sz w:val="20"/>
                <w:szCs w:val="20"/>
              </w:rPr>
            </w:pPr>
          </w:p>
        </w:tc>
        <w:tc>
          <w:tcPr>
            <w:tcW w:w="1800" w:type="dxa"/>
          </w:tcPr>
          <w:p w14:paraId="06C97A97" w14:textId="77777777" w:rsidR="00DA702B" w:rsidRPr="00DA702B" w:rsidRDefault="00DA702B" w:rsidP="00DA702B">
            <w:pPr>
              <w:rPr>
                <w:sz w:val="20"/>
                <w:szCs w:val="20"/>
              </w:rPr>
            </w:pPr>
          </w:p>
        </w:tc>
        <w:tc>
          <w:tcPr>
            <w:tcW w:w="1800" w:type="dxa"/>
          </w:tcPr>
          <w:p w14:paraId="7A70B264" w14:textId="77777777" w:rsidR="00DA702B" w:rsidRPr="00DA702B" w:rsidRDefault="00DA702B" w:rsidP="00DA702B">
            <w:pPr>
              <w:rPr>
                <w:sz w:val="20"/>
                <w:szCs w:val="20"/>
              </w:rPr>
            </w:pPr>
          </w:p>
        </w:tc>
        <w:tc>
          <w:tcPr>
            <w:tcW w:w="1800" w:type="dxa"/>
          </w:tcPr>
          <w:p w14:paraId="5078A7BB" w14:textId="77777777" w:rsidR="00DA702B" w:rsidRPr="00DA702B" w:rsidRDefault="00DA702B" w:rsidP="00DA702B">
            <w:pPr>
              <w:rPr>
                <w:sz w:val="20"/>
                <w:szCs w:val="20"/>
              </w:rPr>
            </w:pPr>
          </w:p>
        </w:tc>
        <w:tc>
          <w:tcPr>
            <w:tcW w:w="1800" w:type="dxa"/>
          </w:tcPr>
          <w:p w14:paraId="3FC77F16" w14:textId="77777777" w:rsidR="00DA702B" w:rsidRPr="00DA702B" w:rsidRDefault="00DA702B" w:rsidP="00DA702B">
            <w:pPr>
              <w:rPr>
                <w:sz w:val="20"/>
                <w:szCs w:val="20"/>
              </w:rPr>
            </w:pPr>
          </w:p>
        </w:tc>
        <w:tc>
          <w:tcPr>
            <w:tcW w:w="1800" w:type="dxa"/>
          </w:tcPr>
          <w:p w14:paraId="636333C6" w14:textId="77777777" w:rsidR="00DA702B" w:rsidRPr="00DA702B" w:rsidRDefault="00DA702B" w:rsidP="00DA702B">
            <w:pPr>
              <w:rPr>
                <w:sz w:val="20"/>
                <w:szCs w:val="20"/>
              </w:rPr>
            </w:pPr>
          </w:p>
        </w:tc>
        <w:tc>
          <w:tcPr>
            <w:tcW w:w="1800" w:type="dxa"/>
          </w:tcPr>
          <w:p w14:paraId="6FC62964" w14:textId="77777777" w:rsidR="00DA702B" w:rsidRPr="00DA702B" w:rsidRDefault="00DA702B" w:rsidP="00DA702B">
            <w:pPr>
              <w:rPr>
                <w:sz w:val="20"/>
                <w:szCs w:val="20"/>
              </w:rPr>
            </w:pPr>
          </w:p>
        </w:tc>
      </w:tr>
      <w:tr w:rsidR="00DA702B" w:rsidRPr="00DA702B" w14:paraId="61FAB0E4" w14:textId="77777777" w:rsidTr="00247007">
        <w:trPr>
          <w:cantSplit/>
          <w:trHeight w:val="346"/>
          <w:tblHeader/>
        </w:trPr>
        <w:tc>
          <w:tcPr>
            <w:tcW w:w="1800" w:type="dxa"/>
          </w:tcPr>
          <w:p w14:paraId="3CCF06C9" w14:textId="77777777" w:rsidR="00DA702B" w:rsidRPr="00DA702B" w:rsidRDefault="00DA702B" w:rsidP="00DA702B">
            <w:pPr>
              <w:rPr>
                <w:sz w:val="20"/>
                <w:szCs w:val="20"/>
              </w:rPr>
            </w:pPr>
          </w:p>
        </w:tc>
        <w:tc>
          <w:tcPr>
            <w:tcW w:w="1800" w:type="dxa"/>
          </w:tcPr>
          <w:p w14:paraId="6D4410E7" w14:textId="77777777" w:rsidR="00DA702B" w:rsidRPr="00DA702B" w:rsidRDefault="00DA702B" w:rsidP="00DA702B">
            <w:pPr>
              <w:rPr>
                <w:sz w:val="20"/>
                <w:szCs w:val="20"/>
              </w:rPr>
            </w:pPr>
          </w:p>
        </w:tc>
        <w:tc>
          <w:tcPr>
            <w:tcW w:w="1800" w:type="dxa"/>
          </w:tcPr>
          <w:p w14:paraId="67495D7C" w14:textId="77777777" w:rsidR="00DA702B" w:rsidRPr="00DA702B" w:rsidRDefault="00DA702B" w:rsidP="00DA702B">
            <w:pPr>
              <w:rPr>
                <w:sz w:val="20"/>
                <w:szCs w:val="20"/>
              </w:rPr>
            </w:pPr>
          </w:p>
        </w:tc>
        <w:tc>
          <w:tcPr>
            <w:tcW w:w="1800" w:type="dxa"/>
          </w:tcPr>
          <w:p w14:paraId="049449B9" w14:textId="77777777" w:rsidR="00DA702B" w:rsidRPr="00DA702B" w:rsidRDefault="00DA702B" w:rsidP="00DA702B">
            <w:pPr>
              <w:rPr>
                <w:sz w:val="20"/>
                <w:szCs w:val="20"/>
              </w:rPr>
            </w:pPr>
          </w:p>
        </w:tc>
        <w:tc>
          <w:tcPr>
            <w:tcW w:w="1800" w:type="dxa"/>
          </w:tcPr>
          <w:p w14:paraId="47DCF25B" w14:textId="77777777" w:rsidR="00DA702B" w:rsidRPr="00DA702B" w:rsidRDefault="00DA702B" w:rsidP="00DA702B">
            <w:pPr>
              <w:rPr>
                <w:sz w:val="20"/>
                <w:szCs w:val="20"/>
              </w:rPr>
            </w:pPr>
          </w:p>
        </w:tc>
        <w:tc>
          <w:tcPr>
            <w:tcW w:w="1800" w:type="dxa"/>
          </w:tcPr>
          <w:p w14:paraId="024A7716" w14:textId="77777777" w:rsidR="00DA702B" w:rsidRPr="00DA702B" w:rsidRDefault="00DA702B" w:rsidP="00DA702B">
            <w:pPr>
              <w:rPr>
                <w:sz w:val="20"/>
                <w:szCs w:val="20"/>
              </w:rPr>
            </w:pPr>
          </w:p>
        </w:tc>
        <w:tc>
          <w:tcPr>
            <w:tcW w:w="1800" w:type="dxa"/>
          </w:tcPr>
          <w:p w14:paraId="7DC73B4A" w14:textId="77777777" w:rsidR="00DA702B" w:rsidRPr="00DA702B" w:rsidRDefault="00DA702B" w:rsidP="00DA702B">
            <w:pPr>
              <w:rPr>
                <w:sz w:val="20"/>
                <w:szCs w:val="20"/>
              </w:rPr>
            </w:pPr>
          </w:p>
        </w:tc>
        <w:tc>
          <w:tcPr>
            <w:tcW w:w="1800" w:type="dxa"/>
          </w:tcPr>
          <w:p w14:paraId="5F3A7DD8" w14:textId="77777777" w:rsidR="00DA702B" w:rsidRPr="00DA702B" w:rsidRDefault="00DA702B" w:rsidP="00DA702B">
            <w:pPr>
              <w:rPr>
                <w:sz w:val="20"/>
                <w:szCs w:val="20"/>
              </w:rPr>
            </w:pPr>
          </w:p>
        </w:tc>
      </w:tr>
      <w:tr w:rsidR="00DA702B" w:rsidRPr="00DA702B" w14:paraId="78812322" w14:textId="77777777" w:rsidTr="00247007">
        <w:trPr>
          <w:cantSplit/>
          <w:trHeight w:val="346"/>
          <w:tblHeader/>
        </w:trPr>
        <w:tc>
          <w:tcPr>
            <w:tcW w:w="1800" w:type="dxa"/>
          </w:tcPr>
          <w:p w14:paraId="69610A78" w14:textId="77777777" w:rsidR="00DA702B" w:rsidRPr="00DA702B" w:rsidRDefault="00DA702B" w:rsidP="00DA702B">
            <w:pPr>
              <w:rPr>
                <w:sz w:val="20"/>
                <w:szCs w:val="20"/>
              </w:rPr>
            </w:pPr>
          </w:p>
        </w:tc>
        <w:tc>
          <w:tcPr>
            <w:tcW w:w="1800" w:type="dxa"/>
          </w:tcPr>
          <w:p w14:paraId="4ADB9029" w14:textId="77777777" w:rsidR="00DA702B" w:rsidRPr="00DA702B" w:rsidRDefault="00DA702B" w:rsidP="00DA702B">
            <w:pPr>
              <w:rPr>
                <w:sz w:val="20"/>
                <w:szCs w:val="20"/>
              </w:rPr>
            </w:pPr>
          </w:p>
        </w:tc>
        <w:tc>
          <w:tcPr>
            <w:tcW w:w="1800" w:type="dxa"/>
          </w:tcPr>
          <w:p w14:paraId="64364451" w14:textId="77777777" w:rsidR="00DA702B" w:rsidRPr="00DA702B" w:rsidRDefault="00DA702B" w:rsidP="00DA702B">
            <w:pPr>
              <w:rPr>
                <w:sz w:val="20"/>
                <w:szCs w:val="20"/>
              </w:rPr>
            </w:pPr>
          </w:p>
        </w:tc>
        <w:tc>
          <w:tcPr>
            <w:tcW w:w="1800" w:type="dxa"/>
          </w:tcPr>
          <w:p w14:paraId="10E7C5F3" w14:textId="77777777" w:rsidR="00DA702B" w:rsidRPr="00DA702B" w:rsidRDefault="00DA702B" w:rsidP="00DA702B">
            <w:pPr>
              <w:rPr>
                <w:sz w:val="20"/>
                <w:szCs w:val="20"/>
              </w:rPr>
            </w:pPr>
          </w:p>
        </w:tc>
        <w:tc>
          <w:tcPr>
            <w:tcW w:w="1800" w:type="dxa"/>
          </w:tcPr>
          <w:p w14:paraId="26A1ABAF" w14:textId="77777777" w:rsidR="00DA702B" w:rsidRPr="00DA702B" w:rsidRDefault="00DA702B" w:rsidP="00DA702B">
            <w:pPr>
              <w:rPr>
                <w:sz w:val="20"/>
                <w:szCs w:val="20"/>
              </w:rPr>
            </w:pPr>
          </w:p>
        </w:tc>
        <w:tc>
          <w:tcPr>
            <w:tcW w:w="1800" w:type="dxa"/>
          </w:tcPr>
          <w:p w14:paraId="23441917" w14:textId="77777777" w:rsidR="00DA702B" w:rsidRPr="00DA702B" w:rsidRDefault="00DA702B" w:rsidP="00DA702B">
            <w:pPr>
              <w:rPr>
                <w:sz w:val="20"/>
                <w:szCs w:val="20"/>
              </w:rPr>
            </w:pPr>
          </w:p>
        </w:tc>
        <w:tc>
          <w:tcPr>
            <w:tcW w:w="1800" w:type="dxa"/>
          </w:tcPr>
          <w:p w14:paraId="068349E5" w14:textId="77777777" w:rsidR="00DA702B" w:rsidRPr="00DA702B" w:rsidRDefault="00DA702B" w:rsidP="00DA702B">
            <w:pPr>
              <w:rPr>
                <w:sz w:val="20"/>
                <w:szCs w:val="20"/>
              </w:rPr>
            </w:pPr>
          </w:p>
        </w:tc>
        <w:tc>
          <w:tcPr>
            <w:tcW w:w="1800" w:type="dxa"/>
          </w:tcPr>
          <w:p w14:paraId="75B6950E" w14:textId="77777777" w:rsidR="00DA702B" w:rsidRPr="00DA702B" w:rsidRDefault="00DA702B" w:rsidP="00DA702B">
            <w:pPr>
              <w:rPr>
                <w:sz w:val="20"/>
                <w:szCs w:val="20"/>
              </w:rPr>
            </w:pPr>
          </w:p>
        </w:tc>
      </w:tr>
      <w:tr w:rsidR="00DA702B" w:rsidRPr="00DA702B" w14:paraId="25FD646D" w14:textId="77777777" w:rsidTr="00247007">
        <w:trPr>
          <w:cantSplit/>
          <w:trHeight w:val="346"/>
          <w:tblHeader/>
        </w:trPr>
        <w:tc>
          <w:tcPr>
            <w:tcW w:w="1800" w:type="dxa"/>
          </w:tcPr>
          <w:p w14:paraId="0D2DC2AB" w14:textId="77777777" w:rsidR="00DA702B" w:rsidRPr="00DA702B" w:rsidRDefault="00DA702B" w:rsidP="00DA702B">
            <w:pPr>
              <w:rPr>
                <w:sz w:val="20"/>
                <w:szCs w:val="20"/>
              </w:rPr>
            </w:pPr>
          </w:p>
        </w:tc>
        <w:tc>
          <w:tcPr>
            <w:tcW w:w="1800" w:type="dxa"/>
          </w:tcPr>
          <w:p w14:paraId="2F91E294" w14:textId="77777777" w:rsidR="00DA702B" w:rsidRPr="00DA702B" w:rsidRDefault="00DA702B" w:rsidP="00DA702B">
            <w:pPr>
              <w:rPr>
                <w:sz w:val="20"/>
                <w:szCs w:val="20"/>
              </w:rPr>
            </w:pPr>
          </w:p>
        </w:tc>
        <w:tc>
          <w:tcPr>
            <w:tcW w:w="1800" w:type="dxa"/>
          </w:tcPr>
          <w:p w14:paraId="0AAE140C" w14:textId="77777777" w:rsidR="00DA702B" w:rsidRPr="00DA702B" w:rsidRDefault="00DA702B" w:rsidP="00DA702B">
            <w:pPr>
              <w:rPr>
                <w:sz w:val="20"/>
                <w:szCs w:val="20"/>
              </w:rPr>
            </w:pPr>
          </w:p>
        </w:tc>
        <w:tc>
          <w:tcPr>
            <w:tcW w:w="1800" w:type="dxa"/>
          </w:tcPr>
          <w:p w14:paraId="5343C063" w14:textId="77777777" w:rsidR="00DA702B" w:rsidRPr="00DA702B" w:rsidRDefault="00DA702B" w:rsidP="00DA702B">
            <w:pPr>
              <w:rPr>
                <w:sz w:val="20"/>
                <w:szCs w:val="20"/>
              </w:rPr>
            </w:pPr>
          </w:p>
        </w:tc>
        <w:tc>
          <w:tcPr>
            <w:tcW w:w="1800" w:type="dxa"/>
          </w:tcPr>
          <w:p w14:paraId="6938805C" w14:textId="77777777" w:rsidR="00DA702B" w:rsidRPr="00DA702B" w:rsidRDefault="00DA702B" w:rsidP="00DA702B">
            <w:pPr>
              <w:rPr>
                <w:sz w:val="20"/>
                <w:szCs w:val="20"/>
              </w:rPr>
            </w:pPr>
          </w:p>
        </w:tc>
        <w:tc>
          <w:tcPr>
            <w:tcW w:w="1800" w:type="dxa"/>
          </w:tcPr>
          <w:p w14:paraId="37A146ED" w14:textId="77777777" w:rsidR="00DA702B" w:rsidRPr="00DA702B" w:rsidRDefault="00DA702B" w:rsidP="00DA702B">
            <w:pPr>
              <w:rPr>
                <w:sz w:val="20"/>
                <w:szCs w:val="20"/>
              </w:rPr>
            </w:pPr>
          </w:p>
        </w:tc>
        <w:tc>
          <w:tcPr>
            <w:tcW w:w="1800" w:type="dxa"/>
          </w:tcPr>
          <w:p w14:paraId="412AD574" w14:textId="77777777" w:rsidR="00DA702B" w:rsidRPr="00DA702B" w:rsidRDefault="00DA702B" w:rsidP="00DA702B">
            <w:pPr>
              <w:rPr>
                <w:sz w:val="20"/>
                <w:szCs w:val="20"/>
              </w:rPr>
            </w:pPr>
          </w:p>
        </w:tc>
        <w:tc>
          <w:tcPr>
            <w:tcW w:w="1800" w:type="dxa"/>
          </w:tcPr>
          <w:p w14:paraId="234B9770" w14:textId="77777777" w:rsidR="00DA702B" w:rsidRPr="00DA702B" w:rsidRDefault="00DA702B" w:rsidP="00DA702B">
            <w:pPr>
              <w:rPr>
                <w:sz w:val="20"/>
                <w:szCs w:val="20"/>
              </w:rPr>
            </w:pPr>
          </w:p>
        </w:tc>
      </w:tr>
      <w:tr w:rsidR="00DA702B" w:rsidRPr="00DA702B" w14:paraId="69D93454" w14:textId="77777777" w:rsidTr="00247007">
        <w:trPr>
          <w:cantSplit/>
          <w:trHeight w:val="346"/>
          <w:tblHeader/>
        </w:trPr>
        <w:tc>
          <w:tcPr>
            <w:tcW w:w="1800" w:type="dxa"/>
          </w:tcPr>
          <w:p w14:paraId="0502810B" w14:textId="77777777" w:rsidR="00DA702B" w:rsidRPr="00DA702B" w:rsidRDefault="00DA702B" w:rsidP="00DA702B">
            <w:pPr>
              <w:rPr>
                <w:sz w:val="20"/>
                <w:szCs w:val="20"/>
              </w:rPr>
            </w:pPr>
          </w:p>
        </w:tc>
        <w:tc>
          <w:tcPr>
            <w:tcW w:w="1800" w:type="dxa"/>
          </w:tcPr>
          <w:p w14:paraId="4C1D357F" w14:textId="77777777" w:rsidR="00DA702B" w:rsidRPr="00DA702B" w:rsidRDefault="00DA702B" w:rsidP="00DA702B">
            <w:pPr>
              <w:rPr>
                <w:sz w:val="20"/>
                <w:szCs w:val="20"/>
              </w:rPr>
            </w:pPr>
          </w:p>
        </w:tc>
        <w:tc>
          <w:tcPr>
            <w:tcW w:w="1800" w:type="dxa"/>
          </w:tcPr>
          <w:p w14:paraId="179A3350" w14:textId="77777777" w:rsidR="00DA702B" w:rsidRPr="00DA702B" w:rsidRDefault="00DA702B" w:rsidP="00DA702B">
            <w:pPr>
              <w:rPr>
                <w:sz w:val="20"/>
                <w:szCs w:val="20"/>
              </w:rPr>
            </w:pPr>
          </w:p>
        </w:tc>
        <w:tc>
          <w:tcPr>
            <w:tcW w:w="1800" w:type="dxa"/>
          </w:tcPr>
          <w:p w14:paraId="11AF464D" w14:textId="77777777" w:rsidR="00DA702B" w:rsidRPr="00DA702B" w:rsidRDefault="00DA702B" w:rsidP="00DA702B">
            <w:pPr>
              <w:rPr>
                <w:sz w:val="20"/>
                <w:szCs w:val="20"/>
              </w:rPr>
            </w:pPr>
          </w:p>
        </w:tc>
        <w:tc>
          <w:tcPr>
            <w:tcW w:w="1800" w:type="dxa"/>
          </w:tcPr>
          <w:p w14:paraId="0C28C155" w14:textId="77777777" w:rsidR="00DA702B" w:rsidRPr="00DA702B" w:rsidRDefault="00DA702B" w:rsidP="00DA702B">
            <w:pPr>
              <w:rPr>
                <w:sz w:val="20"/>
                <w:szCs w:val="20"/>
              </w:rPr>
            </w:pPr>
          </w:p>
        </w:tc>
        <w:tc>
          <w:tcPr>
            <w:tcW w:w="1800" w:type="dxa"/>
          </w:tcPr>
          <w:p w14:paraId="128D86B0" w14:textId="77777777" w:rsidR="00DA702B" w:rsidRPr="00DA702B" w:rsidRDefault="00DA702B" w:rsidP="00DA702B">
            <w:pPr>
              <w:rPr>
                <w:sz w:val="20"/>
                <w:szCs w:val="20"/>
              </w:rPr>
            </w:pPr>
          </w:p>
        </w:tc>
        <w:tc>
          <w:tcPr>
            <w:tcW w:w="1800" w:type="dxa"/>
          </w:tcPr>
          <w:p w14:paraId="5A74D93D" w14:textId="77777777" w:rsidR="00DA702B" w:rsidRPr="00DA702B" w:rsidRDefault="00DA702B" w:rsidP="00DA702B">
            <w:pPr>
              <w:rPr>
                <w:sz w:val="20"/>
                <w:szCs w:val="20"/>
              </w:rPr>
            </w:pPr>
          </w:p>
        </w:tc>
        <w:tc>
          <w:tcPr>
            <w:tcW w:w="1800" w:type="dxa"/>
          </w:tcPr>
          <w:p w14:paraId="4FBEE80E" w14:textId="77777777" w:rsidR="00DA702B" w:rsidRPr="00DA702B" w:rsidRDefault="00DA702B" w:rsidP="00DA702B">
            <w:pPr>
              <w:rPr>
                <w:sz w:val="20"/>
                <w:szCs w:val="20"/>
              </w:rPr>
            </w:pPr>
          </w:p>
        </w:tc>
      </w:tr>
      <w:tr w:rsidR="00DA702B" w:rsidRPr="00DA702B" w14:paraId="3B58839A" w14:textId="77777777" w:rsidTr="00247007">
        <w:trPr>
          <w:cantSplit/>
          <w:trHeight w:val="346"/>
          <w:tblHeader/>
        </w:trPr>
        <w:tc>
          <w:tcPr>
            <w:tcW w:w="1800" w:type="dxa"/>
          </w:tcPr>
          <w:p w14:paraId="4CB97326" w14:textId="77777777" w:rsidR="00DA702B" w:rsidRPr="00DA702B" w:rsidRDefault="00DA702B" w:rsidP="00DA702B">
            <w:pPr>
              <w:rPr>
                <w:sz w:val="20"/>
                <w:szCs w:val="20"/>
              </w:rPr>
            </w:pPr>
          </w:p>
        </w:tc>
        <w:tc>
          <w:tcPr>
            <w:tcW w:w="1800" w:type="dxa"/>
          </w:tcPr>
          <w:p w14:paraId="01836395" w14:textId="77777777" w:rsidR="00DA702B" w:rsidRPr="00DA702B" w:rsidRDefault="00DA702B" w:rsidP="00DA702B">
            <w:pPr>
              <w:rPr>
                <w:sz w:val="20"/>
                <w:szCs w:val="20"/>
              </w:rPr>
            </w:pPr>
          </w:p>
        </w:tc>
        <w:tc>
          <w:tcPr>
            <w:tcW w:w="1800" w:type="dxa"/>
          </w:tcPr>
          <w:p w14:paraId="288FF863" w14:textId="77777777" w:rsidR="00DA702B" w:rsidRPr="00DA702B" w:rsidRDefault="00DA702B" w:rsidP="00DA702B">
            <w:pPr>
              <w:rPr>
                <w:sz w:val="20"/>
                <w:szCs w:val="20"/>
              </w:rPr>
            </w:pPr>
          </w:p>
        </w:tc>
        <w:tc>
          <w:tcPr>
            <w:tcW w:w="1800" w:type="dxa"/>
          </w:tcPr>
          <w:p w14:paraId="3638BCB7" w14:textId="77777777" w:rsidR="00DA702B" w:rsidRPr="00DA702B" w:rsidRDefault="00DA702B" w:rsidP="00DA702B">
            <w:pPr>
              <w:rPr>
                <w:sz w:val="20"/>
                <w:szCs w:val="20"/>
              </w:rPr>
            </w:pPr>
          </w:p>
        </w:tc>
        <w:tc>
          <w:tcPr>
            <w:tcW w:w="1800" w:type="dxa"/>
          </w:tcPr>
          <w:p w14:paraId="39AC9A26" w14:textId="77777777" w:rsidR="00DA702B" w:rsidRPr="00DA702B" w:rsidRDefault="00DA702B" w:rsidP="00DA702B">
            <w:pPr>
              <w:rPr>
                <w:sz w:val="20"/>
                <w:szCs w:val="20"/>
              </w:rPr>
            </w:pPr>
          </w:p>
        </w:tc>
        <w:tc>
          <w:tcPr>
            <w:tcW w:w="1800" w:type="dxa"/>
          </w:tcPr>
          <w:p w14:paraId="2DA287E9" w14:textId="77777777" w:rsidR="00DA702B" w:rsidRPr="00DA702B" w:rsidRDefault="00DA702B" w:rsidP="00DA702B">
            <w:pPr>
              <w:rPr>
                <w:sz w:val="20"/>
                <w:szCs w:val="20"/>
              </w:rPr>
            </w:pPr>
          </w:p>
        </w:tc>
        <w:tc>
          <w:tcPr>
            <w:tcW w:w="1800" w:type="dxa"/>
          </w:tcPr>
          <w:p w14:paraId="4F44C2E5" w14:textId="77777777" w:rsidR="00DA702B" w:rsidRPr="00DA702B" w:rsidRDefault="00DA702B" w:rsidP="00DA702B">
            <w:pPr>
              <w:rPr>
                <w:sz w:val="20"/>
                <w:szCs w:val="20"/>
              </w:rPr>
            </w:pPr>
          </w:p>
        </w:tc>
        <w:tc>
          <w:tcPr>
            <w:tcW w:w="1800" w:type="dxa"/>
          </w:tcPr>
          <w:p w14:paraId="1BF5AF73" w14:textId="77777777" w:rsidR="00DA702B" w:rsidRPr="00DA702B" w:rsidRDefault="00DA702B" w:rsidP="00DA702B">
            <w:pPr>
              <w:rPr>
                <w:sz w:val="20"/>
                <w:szCs w:val="20"/>
              </w:rPr>
            </w:pPr>
          </w:p>
        </w:tc>
      </w:tr>
      <w:tr w:rsidR="00DA702B" w:rsidRPr="00DA702B" w14:paraId="7CBED6AC" w14:textId="77777777" w:rsidTr="00247007">
        <w:trPr>
          <w:cantSplit/>
          <w:trHeight w:val="346"/>
          <w:tblHeader/>
        </w:trPr>
        <w:tc>
          <w:tcPr>
            <w:tcW w:w="1800" w:type="dxa"/>
          </w:tcPr>
          <w:p w14:paraId="4DBD86F5" w14:textId="77777777" w:rsidR="00DA702B" w:rsidRPr="00DA702B" w:rsidRDefault="00DA702B" w:rsidP="00DA702B">
            <w:pPr>
              <w:rPr>
                <w:sz w:val="20"/>
                <w:szCs w:val="20"/>
              </w:rPr>
            </w:pPr>
          </w:p>
        </w:tc>
        <w:tc>
          <w:tcPr>
            <w:tcW w:w="1800" w:type="dxa"/>
          </w:tcPr>
          <w:p w14:paraId="7AEF40F0" w14:textId="77777777" w:rsidR="00DA702B" w:rsidRPr="00DA702B" w:rsidRDefault="00DA702B" w:rsidP="00DA702B">
            <w:pPr>
              <w:rPr>
                <w:sz w:val="20"/>
                <w:szCs w:val="20"/>
              </w:rPr>
            </w:pPr>
          </w:p>
        </w:tc>
        <w:tc>
          <w:tcPr>
            <w:tcW w:w="1800" w:type="dxa"/>
          </w:tcPr>
          <w:p w14:paraId="479B3285" w14:textId="77777777" w:rsidR="00DA702B" w:rsidRPr="00DA702B" w:rsidRDefault="00DA702B" w:rsidP="00DA702B">
            <w:pPr>
              <w:rPr>
                <w:sz w:val="20"/>
                <w:szCs w:val="20"/>
              </w:rPr>
            </w:pPr>
          </w:p>
        </w:tc>
        <w:tc>
          <w:tcPr>
            <w:tcW w:w="1800" w:type="dxa"/>
          </w:tcPr>
          <w:p w14:paraId="27EDF18F" w14:textId="77777777" w:rsidR="00DA702B" w:rsidRPr="00DA702B" w:rsidRDefault="00DA702B" w:rsidP="00DA702B">
            <w:pPr>
              <w:rPr>
                <w:sz w:val="20"/>
                <w:szCs w:val="20"/>
              </w:rPr>
            </w:pPr>
          </w:p>
        </w:tc>
        <w:tc>
          <w:tcPr>
            <w:tcW w:w="1800" w:type="dxa"/>
          </w:tcPr>
          <w:p w14:paraId="6E58BB3C" w14:textId="77777777" w:rsidR="00DA702B" w:rsidRPr="00DA702B" w:rsidRDefault="00DA702B" w:rsidP="00DA702B">
            <w:pPr>
              <w:rPr>
                <w:sz w:val="20"/>
                <w:szCs w:val="20"/>
              </w:rPr>
            </w:pPr>
          </w:p>
        </w:tc>
        <w:tc>
          <w:tcPr>
            <w:tcW w:w="1800" w:type="dxa"/>
          </w:tcPr>
          <w:p w14:paraId="5D13E727" w14:textId="77777777" w:rsidR="00DA702B" w:rsidRPr="00DA702B" w:rsidRDefault="00DA702B" w:rsidP="00DA702B">
            <w:pPr>
              <w:rPr>
                <w:sz w:val="20"/>
                <w:szCs w:val="20"/>
              </w:rPr>
            </w:pPr>
          </w:p>
        </w:tc>
        <w:tc>
          <w:tcPr>
            <w:tcW w:w="1800" w:type="dxa"/>
          </w:tcPr>
          <w:p w14:paraId="5F97B4D5" w14:textId="77777777" w:rsidR="00DA702B" w:rsidRPr="00DA702B" w:rsidRDefault="00DA702B" w:rsidP="00DA702B">
            <w:pPr>
              <w:rPr>
                <w:sz w:val="20"/>
                <w:szCs w:val="20"/>
              </w:rPr>
            </w:pPr>
          </w:p>
        </w:tc>
        <w:tc>
          <w:tcPr>
            <w:tcW w:w="1800" w:type="dxa"/>
          </w:tcPr>
          <w:p w14:paraId="5A013E46" w14:textId="77777777" w:rsidR="00DA702B" w:rsidRPr="00DA702B" w:rsidRDefault="00DA702B" w:rsidP="00DA702B">
            <w:pPr>
              <w:rPr>
                <w:sz w:val="20"/>
                <w:szCs w:val="20"/>
              </w:rPr>
            </w:pPr>
          </w:p>
        </w:tc>
      </w:tr>
      <w:tr w:rsidR="00DA702B" w:rsidRPr="00DA702B" w14:paraId="7FF96773" w14:textId="77777777" w:rsidTr="00247007">
        <w:trPr>
          <w:cantSplit/>
          <w:trHeight w:val="346"/>
          <w:tblHeader/>
        </w:trPr>
        <w:tc>
          <w:tcPr>
            <w:tcW w:w="1800" w:type="dxa"/>
          </w:tcPr>
          <w:p w14:paraId="403E7D1F" w14:textId="77777777" w:rsidR="00DA702B" w:rsidRPr="00DA702B" w:rsidRDefault="00DA702B" w:rsidP="00DA702B">
            <w:pPr>
              <w:rPr>
                <w:sz w:val="20"/>
                <w:szCs w:val="20"/>
              </w:rPr>
            </w:pPr>
          </w:p>
        </w:tc>
        <w:tc>
          <w:tcPr>
            <w:tcW w:w="1800" w:type="dxa"/>
          </w:tcPr>
          <w:p w14:paraId="3852D2D2" w14:textId="77777777" w:rsidR="00DA702B" w:rsidRPr="00DA702B" w:rsidRDefault="00DA702B" w:rsidP="00DA702B">
            <w:pPr>
              <w:rPr>
                <w:sz w:val="20"/>
                <w:szCs w:val="20"/>
              </w:rPr>
            </w:pPr>
          </w:p>
        </w:tc>
        <w:tc>
          <w:tcPr>
            <w:tcW w:w="1800" w:type="dxa"/>
          </w:tcPr>
          <w:p w14:paraId="5C6EA3D8" w14:textId="77777777" w:rsidR="00DA702B" w:rsidRPr="00DA702B" w:rsidRDefault="00DA702B" w:rsidP="00DA702B">
            <w:pPr>
              <w:rPr>
                <w:sz w:val="20"/>
                <w:szCs w:val="20"/>
              </w:rPr>
            </w:pPr>
          </w:p>
        </w:tc>
        <w:tc>
          <w:tcPr>
            <w:tcW w:w="1800" w:type="dxa"/>
          </w:tcPr>
          <w:p w14:paraId="1B908258" w14:textId="77777777" w:rsidR="00DA702B" w:rsidRPr="00DA702B" w:rsidRDefault="00DA702B" w:rsidP="00DA702B">
            <w:pPr>
              <w:rPr>
                <w:sz w:val="20"/>
                <w:szCs w:val="20"/>
              </w:rPr>
            </w:pPr>
          </w:p>
        </w:tc>
        <w:tc>
          <w:tcPr>
            <w:tcW w:w="1800" w:type="dxa"/>
          </w:tcPr>
          <w:p w14:paraId="11E51A87" w14:textId="77777777" w:rsidR="00DA702B" w:rsidRPr="00DA702B" w:rsidRDefault="00DA702B" w:rsidP="00DA702B">
            <w:pPr>
              <w:rPr>
                <w:sz w:val="20"/>
                <w:szCs w:val="20"/>
              </w:rPr>
            </w:pPr>
          </w:p>
        </w:tc>
        <w:tc>
          <w:tcPr>
            <w:tcW w:w="1800" w:type="dxa"/>
          </w:tcPr>
          <w:p w14:paraId="1D375522" w14:textId="77777777" w:rsidR="00DA702B" w:rsidRPr="00DA702B" w:rsidRDefault="00DA702B" w:rsidP="00DA702B">
            <w:pPr>
              <w:rPr>
                <w:sz w:val="20"/>
                <w:szCs w:val="20"/>
              </w:rPr>
            </w:pPr>
          </w:p>
        </w:tc>
        <w:tc>
          <w:tcPr>
            <w:tcW w:w="1800" w:type="dxa"/>
          </w:tcPr>
          <w:p w14:paraId="6EC9B3A5" w14:textId="77777777" w:rsidR="00DA702B" w:rsidRPr="00DA702B" w:rsidRDefault="00DA702B" w:rsidP="00DA702B">
            <w:pPr>
              <w:rPr>
                <w:sz w:val="20"/>
                <w:szCs w:val="20"/>
              </w:rPr>
            </w:pPr>
          </w:p>
        </w:tc>
        <w:tc>
          <w:tcPr>
            <w:tcW w:w="1800" w:type="dxa"/>
          </w:tcPr>
          <w:p w14:paraId="4AFDA6EB" w14:textId="77777777" w:rsidR="00DA702B" w:rsidRPr="00DA702B" w:rsidRDefault="00DA702B" w:rsidP="00DA702B">
            <w:pPr>
              <w:rPr>
                <w:sz w:val="20"/>
                <w:szCs w:val="20"/>
              </w:rPr>
            </w:pPr>
          </w:p>
        </w:tc>
      </w:tr>
      <w:tr w:rsidR="00DA702B" w:rsidRPr="00DA702B" w14:paraId="2D2036A3" w14:textId="77777777" w:rsidTr="00247007">
        <w:trPr>
          <w:cantSplit/>
          <w:trHeight w:val="346"/>
          <w:tblHeader/>
        </w:trPr>
        <w:tc>
          <w:tcPr>
            <w:tcW w:w="1800" w:type="dxa"/>
          </w:tcPr>
          <w:p w14:paraId="1E029E11" w14:textId="77777777" w:rsidR="00DA702B" w:rsidRPr="00DA702B" w:rsidRDefault="00DA702B" w:rsidP="00DA702B">
            <w:pPr>
              <w:rPr>
                <w:sz w:val="20"/>
                <w:szCs w:val="20"/>
              </w:rPr>
            </w:pPr>
          </w:p>
        </w:tc>
        <w:tc>
          <w:tcPr>
            <w:tcW w:w="1800" w:type="dxa"/>
          </w:tcPr>
          <w:p w14:paraId="6576AC3E" w14:textId="77777777" w:rsidR="00DA702B" w:rsidRPr="00DA702B" w:rsidRDefault="00DA702B" w:rsidP="00DA702B">
            <w:pPr>
              <w:rPr>
                <w:sz w:val="20"/>
                <w:szCs w:val="20"/>
              </w:rPr>
            </w:pPr>
          </w:p>
        </w:tc>
        <w:tc>
          <w:tcPr>
            <w:tcW w:w="1800" w:type="dxa"/>
          </w:tcPr>
          <w:p w14:paraId="14BABDF6" w14:textId="77777777" w:rsidR="00DA702B" w:rsidRPr="00DA702B" w:rsidRDefault="00DA702B" w:rsidP="00DA702B">
            <w:pPr>
              <w:rPr>
                <w:sz w:val="20"/>
                <w:szCs w:val="20"/>
              </w:rPr>
            </w:pPr>
          </w:p>
        </w:tc>
        <w:tc>
          <w:tcPr>
            <w:tcW w:w="1800" w:type="dxa"/>
          </w:tcPr>
          <w:p w14:paraId="5B164E5F" w14:textId="77777777" w:rsidR="00DA702B" w:rsidRPr="00DA702B" w:rsidRDefault="00DA702B" w:rsidP="00DA702B">
            <w:pPr>
              <w:rPr>
                <w:sz w:val="20"/>
                <w:szCs w:val="20"/>
              </w:rPr>
            </w:pPr>
          </w:p>
        </w:tc>
        <w:tc>
          <w:tcPr>
            <w:tcW w:w="1800" w:type="dxa"/>
          </w:tcPr>
          <w:p w14:paraId="01C981B6" w14:textId="77777777" w:rsidR="00DA702B" w:rsidRPr="00DA702B" w:rsidRDefault="00DA702B" w:rsidP="00DA702B">
            <w:pPr>
              <w:rPr>
                <w:sz w:val="20"/>
                <w:szCs w:val="20"/>
              </w:rPr>
            </w:pPr>
          </w:p>
        </w:tc>
        <w:tc>
          <w:tcPr>
            <w:tcW w:w="1800" w:type="dxa"/>
          </w:tcPr>
          <w:p w14:paraId="2A81C583" w14:textId="77777777" w:rsidR="00DA702B" w:rsidRPr="00DA702B" w:rsidRDefault="00DA702B" w:rsidP="00DA702B">
            <w:pPr>
              <w:rPr>
                <w:sz w:val="20"/>
                <w:szCs w:val="20"/>
              </w:rPr>
            </w:pPr>
          </w:p>
        </w:tc>
        <w:tc>
          <w:tcPr>
            <w:tcW w:w="1800" w:type="dxa"/>
          </w:tcPr>
          <w:p w14:paraId="4F82F461" w14:textId="77777777" w:rsidR="00DA702B" w:rsidRPr="00DA702B" w:rsidRDefault="00DA702B" w:rsidP="00DA702B">
            <w:pPr>
              <w:rPr>
                <w:sz w:val="20"/>
                <w:szCs w:val="20"/>
              </w:rPr>
            </w:pPr>
          </w:p>
        </w:tc>
        <w:tc>
          <w:tcPr>
            <w:tcW w:w="1800" w:type="dxa"/>
          </w:tcPr>
          <w:p w14:paraId="6DE60A26" w14:textId="77777777" w:rsidR="00DA702B" w:rsidRPr="00DA702B" w:rsidRDefault="00DA702B" w:rsidP="00DA702B">
            <w:pPr>
              <w:rPr>
                <w:sz w:val="20"/>
                <w:szCs w:val="20"/>
              </w:rPr>
            </w:pPr>
          </w:p>
        </w:tc>
      </w:tr>
      <w:tr w:rsidR="00DA702B" w:rsidRPr="00DA702B" w14:paraId="709097FE" w14:textId="77777777" w:rsidTr="00247007">
        <w:trPr>
          <w:cantSplit/>
          <w:trHeight w:val="346"/>
          <w:tblHeader/>
        </w:trPr>
        <w:tc>
          <w:tcPr>
            <w:tcW w:w="1800" w:type="dxa"/>
          </w:tcPr>
          <w:p w14:paraId="47DCD52B" w14:textId="77777777" w:rsidR="00DA702B" w:rsidRPr="00DA702B" w:rsidRDefault="00DA702B" w:rsidP="00DA702B">
            <w:pPr>
              <w:rPr>
                <w:sz w:val="20"/>
                <w:szCs w:val="20"/>
              </w:rPr>
            </w:pPr>
          </w:p>
        </w:tc>
        <w:tc>
          <w:tcPr>
            <w:tcW w:w="1800" w:type="dxa"/>
          </w:tcPr>
          <w:p w14:paraId="7DEAB72C" w14:textId="77777777" w:rsidR="00DA702B" w:rsidRPr="00DA702B" w:rsidRDefault="00DA702B" w:rsidP="00DA702B">
            <w:pPr>
              <w:rPr>
                <w:sz w:val="20"/>
                <w:szCs w:val="20"/>
              </w:rPr>
            </w:pPr>
          </w:p>
        </w:tc>
        <w:tc>
          <w:tcPr>
            <w:tcW w:w="1800" w:type="dxa"/>
          </w:tcPr>
          <w:p w14:paraId="30820A0C" w14:textId="77777777" w:rsidR="00DA702B" w:rsidRPr="00DA702B" w:rsidRDefault="00DA702B" w:rsidP="00DA702B">
            <w:pPr>
              <w:rPr>
                <w:sz w:val="20"/>
                <w:szCs w:val="20"/>
              </w:rPr>
            </w:pPr>
          </w:p>
        </w:tc>
        <w:tc>
          <w:tcPr>
            <w:tcW w:w="1800" w:type="dxa"/>
          </w:tcPr>
          <w:p w14:paraId="07C839F7" w14:textId="77777777" w:rsidR="00DA702B" w:rsidRPr="00DA702B" w:rsidRDefault="00DA702B" w:rsidP="00DA702B">
            <w:pPr>
              <w:rPr>
                <w:sz w:val="20"/>
                <w:szCs w:val="20"/>
              </w:rPr>
            </w:pPr>
          </w:p>
        </w:tc>
        <w:tc>
          <w:tcPr>
            <w:tcW w:w="1800" w:type="dxa"/>
          </w:tcPr>
          <w:p w14:paraId="276476C6" w14:textId="77777777" w:rsidR="00DA702B" w:rsidRPr="00DA702B" w:rsidRDefault="00DA702B" w:rsidP="00DA702B">
            <w:pPr>
              <w:rPr>
                <w:sz w:val="20"/>
                <w:szCs w:val="20"/>
              </w:rPr>
            </w:pPr>
          </w:p>
        </w:tc>
        <w:tc>
          <w:tcPr>
            <w:tcW w:w="1800" w:type="dxa"/>
          </w:tcPr>
          <w:p w14:paraId="542D4CB1" w14:textId="77777777" w:rsidR="00DA702B" w:rsidRPr="00DA702B" w:rsidRDefault="00DA702B" w:rsidP="00DA702B">
            <w:pPr>
              <w:rPr>
                <w:sz w:val="20"/>
                <w:szCs w:val="20"/>
              </w:rPr>
            </w:pPr>
          </w:p>
        </w:tc>
        <w:tc>
          <w:tcPr>
            <w:tcW w:w="1800" w:type="dxa"/>
          </w:tcPr>
          <w:p w14:paraId="68E3F612" w14:textId="77777777" w:rsidR="00DA702B" w:rsidRPr="00DA702B" w:rsidRDefault="00DA702B" w:rsidP="00DA702B">
            <w:pPr>
              <w:rPr>
                <w:sz w:val="20"/>
                <w:szCs w:val="20"/>
              </w:rPr>
            </w:pPr>
          </w:p>
        </w:tc>
        <w:tc>
          <w:tcPr>
            <w:tcW w:w="1800" w:type="dxa"/>
          </w:tcPr>
          <w:p w14:paraId="0C63ED3B" w14:textId="77777777" w:rsidR="00DA702B" w:rsidRPr="00DA702B" w:rsidRDefault="00DA702B" w:rsidP="00DA702B">
            <w:pPr>
              <w:rPr>
                <w:sz w:val="20"/>
                <w:szCs w:val="20"/>
              </w:rPr>
            </w:pPr>
          </w:p>
        </w:tc>
      </w:tr>
    </w:tbl>
    <w:p w14:paraId="55F8512E" w14:textId="20257DF1" w:rsidR="00A76C26" w:rsidRDefault="00A76C26" w:rsidP="00DA702B">
      <w:pPr>
        <w:spacing w:before="480"/>
        <w:rPr>
          <w:sz w:val="20"/>
          <w:szCs w:val="20"/>
        </w:rPr>
      </w:pPr>
      <w:r>
        <w:rPr>
          <w:sz w:val="20"/>
          <w:szCs w:val="20"/>
        </w:rPr>
        <w:br w:type="page"/>
      </w:r>
    </w:p>
    <w:p w14:paraId="6C61E3DB" w14:textId="77777777" w:rsidR="00A76C26" w:rsidRPr="007E7CA5" w:rsidRDefault="00A76C26" w:rsidP="00A8093A">
      <w:pPr>
        <w:pStyle w:val="Heading1"/>
        <w:numPr>
          <w:ilvl w:val="0"/>
          <w:numId w:val="0"/>
        </w:numPr>
      </w:pPr>
      <w:r w:rsidRPr="007E7CA5">
        <w:lastRenderedPageBreak/>
        <w:t>Boiler/Steam Generator/Steam Generating Unit Attributes</w:t>
      </w:r>
    </w:p>
    <w:p w14:paraId="026F27DF" w14:textId="77777777" w:rsidR="00A76C26" w:rsidRPr="007E7CA5" w:rsidRDefault="00A76C26" w:rsidP="00A8093A">
      <w:pPr>
        <w:pStyle w:val="Heading1"/>
        <w:numPr>
          <w:ilvl w:val="0"/>
          <w:numId w:val="0"/>
        </w:numPr>
      </w:pPr>
      <w:r w:rsidRPr="007E7CA5">
        <w:t>Form OP-UA6 (Page 19)</w:t>
      </w:r>
    </w:p>
    <w:p w14:paraId="7D594B48" w14:textId="77777777" w:rsidR="00A76C26" w:rsidRPr="007E7CA5" w:rsidRDefault="00A76C26" w:rsidP="00A8093A">
      <w:pPr>
        <w:pStyle w:val="Heading1"/>
        <w:numPr>
          <w:ilvl w:val="0"/>
          <w:numId w:val="0"/>
        </w:numPr>
      </w:pPr>
      <w:r w:rsidRPr="007E7CA5">
        <w:t>Federal Operating Permit Program</w:t>
      </w:r>
    </w:p>
    <w:p w14:paraId="65AA0EFB" w14:textId="77777777" w:rsidR="00A76C26" w:rsidRPr="007E7CA5" w:rsidRDefault="00A76C26" w:rsidP="00A8093A">
      <w:pPr>
        <w:pStyle w:val="Heading1"/>
        <w:numPr>
          <w:ilvl w:val="0"/>
          <w:numId w:val="0"/>
        </w:numPr>
      </w:pPr>
      <w:bookmarkStart w:id="181" w:name="TBL_8a"/>
      <w:r w:rsidRPr="007E7CA5">
        <w:t>Table 8a</w:t>
      </w:r>
      <w:bookmarkEnd w:id="181"/>
      <w:r w:rsidRPr="007E7CA5">
        <w:t>:  Title 30 Texas Administrative Code Chapter 113 (30 TAC Chapter 113)</w:t>
      </w:r>
    </w:p>
    <w:p w14:paraId="480D8D79" w14:textId="77777777" w:rsidR="00A76C26" w:rsidRPr="007E7CA5" w:rsidRDefault="00A76C26" w:rsidP="00A8093A">
      <w:pPr>
        <w:pStyle w:val="Heading1"/>
        <w:numPr>
          <w:ilvl w:val="0"/>
          <w:numId w:val="0"/>
        </w:numPr>
      </w:pPr>
      <w:r w:rsidRPr="007E7CA5">
        <w:t>Subchapter D:  Hospital/Medical/Infections Waste Incinerators</w:t>
      </w:r>
    </w:p>
    <w:p w14:paraId="4AF93013" w14:textId="77777777" w:rsidR="00A76C26" w:rsidRPr="00EB04A0" w:rsidRDefault="00A76C26" w:rsidP="00A76C26">
      <w:pPr>
        <w:jc w:val="center"/>
        <w:outlineLvl w:val="0"/>
        <w:rPr>
          <w:b/>
          <w:bCs/>
        </w:rPr>
      </w:pPr>
      <w:r w:rsidRPr="00EB04A0">
        <w:rPr>
          <w:b/>
          <w:bCs/>
        </w:rPr>
        <w:t>Texas Commission on Environmental Quality</w:t>
      </w:r>
    </w:p>
    <w:p w14:paraId="595D53BA" w14:textId="77777777" w:rsidR="00DA702B" w:rsidRPr="00DA702B" w:rsidRDefault="00DA702B" w:rsidP="00DA702B">
      <w:pPr>
        <w:spacing w:before="48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8a:  Title 30 Texas Administrative Code Chapter 113 (30 TAC Chapter 113)&#10;Subchapter D:  Hospital/Medical/Infections Waste Incinerators&#10;"/>
      </w:tblPr>
      <w:tblGrid>
        <w:gridCol w:w="4800"/>
        <w:gridCol w:w="4800"/>
        <w:gridCol w:w="4800"/>
      </w:tblGrid>
      <w:tr w:rsidR="00DA702B" w:rsidRPr="00DA702B" w14:paraId="7001B88F" w14:textId="77777777" w:rsidTr="00247007">
        <w:trPr>
          <w:cantSplit/>
          <w:tblHeader/>
        </w:trPr>
        <w:tc>
          <w:tcPr>
            <w:tcW w:w="4800" w:type="dxa"/>
            <w:shd w:val="clear" w:color="auto" w:fill="D9D9D9" w:themeFill="background1" w:themeFillShade="D9"/>
          </w:tcPr>
          <w:p w14:paraId="324F416E"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58DEC22"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50A89FA7"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5086EA69" w14:textId="77777777" w:rsidTr="00247007">
        <w:trPr>
          <w:cantSplit/>
          <w:tblHeader/>
        </w:trPr>
        <w:tc>
          <w:tcPr>
            <w:tcW w:w="4800" w:type="dxa"/>
          </w:tcPr>
          <w:p w14:paraId="0D123F90" w14:textId="77777777" w:rsidR="00DA702B" w:rsidRPr="00DA702B" w:rsidRDefault="00DA702B" w:rsidP="00DA702B">
            <w:pPr>
              <w:rPr>
                <w:rFonts w:asciiTheme="majorHAnsi" w:hAnsiTheme="majorHAnsi" w:cstheme="majorHAnsi"/>
              </w:rPr>
            </w:pPr>
          </w:p>
        </w:tc>
        <w:tc>
          <w:tcPr>
            <w:tcW w:w="4800" w:type="dxa"/>
          </w:tcPr>
          <w:p w14:paraId="101D234C" w14:textId="77777777" w:rsidR="00DA702B" w:rsidRPr="00DA702B" w:rsidRDefault="00DA702B" w:rsidP="00DA702B">
            <w:pPr>
              <w:rPr>
                <w:rFonts w:asciiTheme="majorHAnsi" w:hAnsiTheme="majorHAnsi" w:cstheme="majorHAnsi"/>
              </w:rPr>
            </w:pPr>
          </w:p>
        </w:tc>
        <w:tc>
          <w:tcPr>
            <w:tcW w:w="4800" w:type="dxa"/>
          </w:tcPr>
          <w:p w14:paraId="48DFE5FD" w14:textId="77777777" w:rsidR="00DA702B" w:rsidRPr="00DA702B" w:rsidRDefault="00DA702B" w:rsidP="00DA702B">
            <w:pPr>
              <w:rPr>
                <w:rFonts w:asciiTheme="majorHAnsi" w:hAnsiTheme="majorHAnsi" w:cstheme="majorHAnsi"/>
              </w:rPr>
            </w:pPr>
          </w:p>
        </w:tc>
      </w:tr>
    </w:tbl>
    <w:p w14:paraId="62DB8D44"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8a:  Title 30 Texas Administrative Code Chapter 113 (30 TAC Chapter 113)&#10;Subchapter D:  Hospital/Medical/Infections Waste Incinerators&#10;Texas Commission on Environmental Quality&#10;"/>
      </w:tblPr>
      <w:tblGrid>
        <w:gridCol w:w="1308"/>
        <w:gridCol w:w="1309"/>
        <w:gridCol w:w="1309"/>
        <w:gridCol w:w="1309"/>
        <w:gridCol w:w="1309"/>
        <w:gridCol w:w="1309"/>
        <w:gridCol w:w="1309"/>
        <w:gridCol w:w="1309"/>
        <w:gridCol w:w="1309"/>
        <w:gridCol w:w="1310"/>
        <w:gridCol w:w="1310"/>
      </w:tblGrid>
      <w:tr w:rsidR="00DA702B" w:rsidRPr="00DA702B" w14:paraId="74CA159F" w14:textId="77777777" w:rsidTr="00247007">
        <w:trPr>
          <w:cantSplit/>
          <w:tblHeader/>
        </w:trPr>
        <w:tc>
          <w:tcPr>
            <w:tcW w:w="1308" w:type="dxa"/>
            <w:shd w:val="clear" w:color="auto" w:fill="D9D9D9" w:themeFill="background1" w:themeFillShade="D9"/>
            <w:vAlign w:val="center"/>
          </w:tcPr>
          <w:p w14:paraId="1BC762B7" w14:textId="77777777" w:rsidR="00DA702B" w:rsidRPr="00DA702B" w:rsidRDefault="00DA702B" w:rsidP="00DA702B">
            <w:pPr>
              <w:jc w:val="center"/>
              <w:rPr>
                <w:sz w:val="20"/>
                <w:szCs w:val="20"/>
              </w:rPr>
            </w:pPr>
            <w:r w:rsidRPr="00DA702B">
              <w:rPr>
                <w:b/>
                <w:sz w:val="20"/>
                <w:szCs w:val="20"/>
              </w:rPr>
              <w:t>Unit ID No.</w:t>
            </w:r>
          </w:p>
        </w:tc>
        <w:tc>
          <w:tcPr>
            <w:tcW w:w="1309" w:type="dxa"/>
            <w:shd w:val="clear" w:color="auto" w:fill="D9D9D9" w:themeFill="background1" w:themeFillShade="D9"/>
            <w:vAlign w:val="center"/>
          </w:tcPr>
          <w:p w14:paraId="4B22C75E" w14:textId="77777777" w:rsidR="00DA702B" w:rsidRPr="00DA702B" w:rsidRDefault="00DA702B" w:rsidP="00DA702B">
            <w:pPr>
              <w:jc w:val="center"/>
              <w:rPr>
                <w:b/>
                <w:sz w:val="20"/>
                <w:szCs w:val="20"/>
              </w:rPr>
            </w:pPr>
            <w:r w:rsidRPr="00DA702B">
              <w:rPr>
                <w:b/>
                <w:sz w:val="20"/>
                <w:szCs w:val="20"/>
              </w:rPr>
              <w:t>SOP</w:t>
            </w:r>
          </w:p>
          <w:p w14:paraId="10474688" w14:textId="77777777" w:rsidR="00DA702B" w:rsidRPr="00DA702B" w:rsidRDefault="00DA702B" w:rsidP="00DA702B">
            <w:pPr>
              <w:jc w:val="center"/>
              <w:rPr>
                <w:sz w:val="20"/>
                <w:szCs w:val="20"/>
              </w:rPr>
            </w:pPr>
            <w:r w:rsidRPr="00DA702B">
              <w:rPr>
                <w:b/>
                <w:sz w:val="20"/>
                <w:szCs w:val="20"/>
              </w:rPr>
              <w:t>Index No.</w:t>
            </w:r>
          </w:p>
        </w:tc>
        <w:tc>
          <w:tcPr>
            <w:tcW w:w="1309" w:type="dxa"/>
            <w:shd w:val="clear" w:color="auto" w:fill="D9D9D9" w:themeFill="background1" w:themeFillShade="D9"/>
            <w:vAlign w:val="center"/>
          </w:tcPr>
          <w:p w14:paraId="196979AB" w14:textId="77777777" w:rsidR="00DA702B" w:rsidRPr="00DA702B" w:rsidRDefault="00DA702B" w:rsidP="00DA702B">
            <w:pPr>
              <w:jc w:val="center"/>
              <w:rPr>
                <w:sz w:val="20"/>
                <w:szCs w:val="20"/>
              </w:rPr>
            </w:pPr>
            <w:r w:rsidRPr="00DA702B">
              <w:rPr>
                <w:b/>
                <w:sz w:val="20"/>
                <w:szCs w:val="20"/>
              </w:rPr>
              <w:t>Construction Date</w:t>
            </w:r>
          </w:p>
        </w:tc>
        <w:tc>
          <w:tcPr>
            <w:tcW w:w="1309" w:type="dxa"/>
            <w:shd w:val="clear" w:color="auto" w:fill="D9D9D9" w:themeFill="background1" w:themeFillShade="D9"/>
            <w:vAlign w:val="center"/>
          </w:tcPr>
          <w:p w14:paraId="7E6D59AD" w14:textId="77777777" w:rsidR="00DA702B" w:rsidRPr="00DA702B" w:rsidRDefault="00DA702B" w:rsidP="00DA702B">
            <w:pPr>
              <w:jc w:val="center"/>
              <w:rPr>
                <w:sz w:val="20"/>
                <w:szCs w:val="20"/>
              </w:rPr>
            </w:pPr>
            <w:r w:rsidRPr="00DA702B">
              <w:rPr>
                <w:b/>
                <w:sz w:val="20"/>
                <w:szCs w:val="20"/>
              </w:rPr>
              <w:t>Combustor Type</w:t>
            </w:r>
          </w:p>
        </w:tc>
        <w:tc>
          <w:tcPr>
            <w:tcW w:w="1309" w:type="dxa"/>
            <w:shd w:val="clear" w:color="auto" w:fill="D9D9D9" w:themeFill="background1" w:themeFillShade="D9"/>
            <w:vAlign w:val="center"/>
          </w:tcPr>
          <w:p w14:paraId="441649C5" w14:textId="77777777" w:rsidR="00DA702B" w:rsidRPr="00DA702B" w:rsidRDefault="00DA702B" w:rsidP="00DA702B">
            <w:pPr>
              <w:jc w:val="center"/>
              <w:rPr>
                <w:sz w:val="20"/>
                <w:szCs w:val="20"/>
              </w:rPr>
            </w:pPr>
            <w:r w:rsidRPr="00DA702B">
              <w:rPr>
                <w:b/>
                <w:sz w:val="20"/>
                <w:szCs w:val="20"/>
              </w:rPr>
              <w:t>Type of Waste</w:t>
            </w:r>
          </w:p>
        </w:tc>
        <w:tc>
          <w:tcPr>
            <w:tcW w:w="1309" w:type="dxa"/>
            <w:shd w:val="clear" w:color="auto" w:fill="D9D9D9" w:themeFill="background1" w:themeFillShade="D9"/>
            <w:vAlign w:val="center"/>
          </w:tcPr>
          <w:p w14:paraId="2618D13A" w14:textId="77777777" w:rsidR="00DA702B" w:rsidRPr="00DA702B" w:rsidRDefault="00DA702B" w:rsidP="00DA702B">
            <w:pPr>
              <w:jc w:val="center"/>
              <w:rPr>
                <w:sz w:val="20"/>
                <w:szCs w:val="20"/>
              </w:rPr>
            </w:pPr>
            <w:r w:rsidRPr="00DA702B">
              <w:rPr>
                <w:b/>
                <w:sz w:val="20"/>
                <w:szCs w:val="20"/>
              </w:rPr>
              <w:t>Co-Fired Combustor</w:t>
            </w:r>
          </w:p>
        </w:tc>
        <w:tc>
          <w:tcPr>
            <w:tcW w:w="1309" w:type="dxa"/>
            <w:shd w:val="clear" w:color="auto" w:fill="D9D9D9" w:themeFill="background1" w:themeFillShade="D9"/>
            <w:vAlign w:val="center"/>
          </w:tcPr>
          <w:p w14:paraId="211F5C90" w14:textId="77777777" w:rsidR="00DA702B" w:rsidRPr="00DA702B" w:rsidRDefault="00DA702B" w:rsidP="00DA702B">
            <w:pPr>
              <w:jc w:val="center"/>
              <w:rPr>
                <w:sz w:val="20"/>
                <w:szCs w:val="20"/>
              </w:rPr>
            </w:pPr>
            <w:r w:rsidRPr="00DA702B">
              <w:rPr>
                <w:b/>
                <w:sz w:val="20"/>
                <w:szCs w:val="20"/>
              </w:rPr>
              <w:t>HMIWI Size</w:t>
            </w:r>
          </w:p>
        </w:tc>
        <w:tc>
          <w:tcPr>
            <w:tcW w:w="1309" w:type="dxa"/>
            <w:shd w:val="clear" w:color="auto" w:fill="D9D9D9" w:themeFill="background1" w:themeFillShade="D9"/>
            <w:vAlign w:val="center"/>
          </w:tcPr>
          <w:p w14:paraId="4B2EC685" w14:textId="77777777" w:rsidR="00DA702B" w:rsidRPr="00DA702B" w:rsidRDefault="00DA702B" w:rsidP="00DA702B">
            <w:pPr>
              <w:jc w:val="center"/>
              <w:rPr>
                <w:sz w:val="20"/>
                <w:szCs w:val="20"/>
              </w:rPr>
            </w:pPr>
            <w:r w:rsidRPr="00DA702B">
              <w:rPr>
                <w:b/>
                <w:sz w:val="20"/>
                <w:szCs w:val="20"/>
              </w:rPr>
              <w:t>Control Device</w:t>
            </w:r>
          </w:p>
        </w:tc>
        <w:tc>
          <w:tcPr>
            <w:tcW w:w="1309" w:type="dxa"/>
            <w:shd w:val="clear" w:color="auto" w:fill="D9D9D9" w:themeFill="background1" w:themeFillShade="D9"/>
            <w:vAlign w:val="center"/>
          </w:tcPr>
          <w:p w14:paraId="5C82BDB9" w14:textId="77777777" w:rsidR="00DA702B" w:rsidRPr="00DA702B" w:rsidRDefault="00DA702B" w:rsidP="00DA702B">
            <w:pPr>
              <w:jc w:val="center"/>
              <w:rPr>
                <w:sz w:val="20"/>
                <w:szCs w:val="20"/>
              </w:rPr>
            </w:pPr>
            <w:r w:rsidRPr="00DA702B">
              <w:rPr>
                <w:b/>
                <w:sz w:val="20"/>
                <w:szCs w:val="20"/>
              </w:rPr>
              <w:t>PM CEMS</w:t>
            </w:r>
          </w:p>
        </w:tc>
        <w:tc>
          <w:tcPr>
            <w:tcW w:w="1310" w:type="dxa"/>
            <w:shd w:val="clear" w:color="auto" w:fill="D9D9D9" w:themeFill="background1" w:themeFillShade="D9"/>
            <w:vAlign w:val="center"/>
          </w:tcPr>
          <w:p w14:paraId="1EB54125" w14:textId="77777777" w:rsidR="00DA702B" w:rsidRPr="00DA702B" w:rsidRDefault="00DA702B" w:rsidP="00DA702B">
            <w:pPr>
              <w:jc w:val="center"/>
              <w:rPr>
                <w:sz w:val="20"/>
                <w:szCs w:val="20"/>
              </w:rPr>
            </w:pPr>
            <w:r w:rsidRPr="00DA702B">
              <w:rPr>
                <w:b/>
                <w:sz w:val="20"/>
                <w:szCs w:val="20"/>
              </w:rPr>
              <w:t>Opacity Monitoring</w:t>
            </w:r>
          </w:p>
        </w:tc>
        <w:tc>
          <w:tcPr>
            <w:tcW w:w="1310" w:type="dxa"/>
            <w:shd w:val="clear" w:color="auto" w:fill="D9D9D9" w:themeFill="background1" w:themeFillShade="D9"/>
            <w:vAlign w:val="center"/>
          </w:tcPr>
          <w:p w14:paraId="2A90E13D" w14:textId="77777777" w:rsidR="00DA702B" w:rsidRPr="00DA702B" w:rsidRDefault="00DA702B" w:rsidP="00DA702B">
            <w:pPr>
              <w:jc w:val="center"/>
              <w:rPr>
                <w:b/>
                <w:sz w:val="20"/>
                <w:szCs w:val="20"/>
              </w:rPr>
            </w:pPr>
            <w:r w:rsidRPr="00DA702B">
              <w:rPr>
                <w:b/>
                <w:sz w:val="20"/>
                <w:szCs w:val="20"/>
              </w:rPr>
              <w:t>Approved Equivalent</w:t>
            </w:r>
          </w:p>
          <w:p w14:paraId="131DAEDD" w14:textId="77777777" w:rsidR="00DA702B" w:rsidRPr="00DA702B" w:rsidRDefault="00DA702B" w:rsidP="00DA702B">
            <w:pPr>
              <w:jc w:val="center"/>
              <w:rPr>
                <w:sz w:val="20"/>
                <w:szCs w:val="20"/>
              </w:rPr>
            </w:pPr>
            <w:r w:rsidRPr="00DA702B">
              <w:rPr>
                <w:b/>
                <w:sz w:val="20"/>
                <w:szCs w:val="20"/>
              </w:rPr>
              <w:t>ID No.</w:t>
            </w:r>
          </w:p>
        </w:tc>
      </w:tr>
      <w:tr w:rsidR="00DA702B" w:rsidRPr="00DA702B" w14:paraId="5ABC1424" w14:textId="77777777" w:rsidTr="00247007">
        <w:trPr>
          <w:cantSplit/>
          <w:trHeight w:val="346"/>
          <w:tblHeader/>
        </w:trPr>
        <w:tc>
          <w:tcPr>
            <w:tcW w:w="1308" w:type="dxa"/>
          </w:tcPr>
          <w:p w14:paraId="07AC5D97" w14:textId="77777777" w:rsidR="00DA702B" w:rsidRPr="00DA702B" w:rsidRDefault="00DA702B" w:rsidP="00DA702B">
            <w:pPr>
              <w:rPr>
                <w:sz w:val="20"/>
                <w:szCs w:val="20"/>
              </w:rPr>
            </w:pPr>
          </w:p>
        </w:tc>
        <w:tc>
          <w:tcPr>
            <w:tcW w:w="1309" w:type="dxa"/>
          </w:tcPr>
          <w:p w14:paraId="7A8F21D3" w14:textId="77777777" w:rsidR="00DA702B" w:rsidRPr="00DA702B" w:rsidRDefault="00DA702B" w:rsidP="00DA702B">
            <w:pPr>
              <w:rPr>
                <w:sz w:val="20"/>
                <w:szCs w:val="20"/>
              </w:rPr>
            </w:pPr>
          </w:p>
        </w:tc>
        <w:tc>
          <w:tcPr>
            <w:tcW w:w="1309" w:type="dxa"/>
          </w:tcPr>
          <w:p w14:paraId="60118FCA" w14:textId="77777777" w:rsidR="00DA702B" w:rsidRPr="00DA702B" w:rsidRDefault="00DA702B" w:rsidP="00DA702B">
            <w:pPr>
              <w:rPr>
                <w:sz w:val="20"/>
                <w:szCs w:val="20"/>
              </w:rPr>
            </w:pPr>
          </w:p>
        </w:tc>
        <w:tc>
          <w:tcPr>
            <w:tcW w:w="1309" w:type="dxa"/>
          </w:tcPr>
          <w:p w14:paraId="1CC62734" w14:textId="77777777" w:rsidR="00DA702B" w:rsidRPr="00DA702B" w:rsidRDefault="00DA702B" w:rsidP="00DA702B">
            <w:pPr>
              <w:rPr>
                <w:sz w:val="20"/>
                <w:szCs w:val="20"/>
              </w:rPr>
            </w:pPr>
          </w:p>
        </w:tc>
        <w:tc>
          <w:tcPr>
            <w:tcW w:w="1309" w:type="dxa"/>
          </w:tcPr>
          <w:p w14:paraId="78DAC22A" w14:textId="77777777" w:rsidR="00DA702B" w:rsidRPr="00DA702B" w:rsidRDefault="00DA702B" w:rsidP="00DA702B">
            <w:pPr>
              <w:rPr>
                <w:sz w:val="20"/>
                <w:szCs w:val="20"/>
              </w:rPr>
            </w:pPr>
          </w:p>
        </w:tc>
        <w:tc>
          <w:tcPr>
            <w:tcW w:w="1309" w:type="dxa"/>
          </w:tcPr>
          <w:p w14:paraId="7B57C203" w14:textId="77777777" w:rsidR="00DA702B" w:rsidRPr="00DA702B" w:rsidRDefault="00DA702B" w:rsidP="00DA702B">
            <w:pPr>
              <w:rPr>
                <w:sz w:val="20"/>
                <w:szCs w:val="20"/>
              </w:rPr>
            </w:pPr>
          </w:p>
        </w:tc>
        <w:tc>
          <w:tcPr>
            <w:tcW w:w="1309" w:type="dxa"/>
          </w:tcPr>
          <w:p w14:paraId="70BAD78F" w14:textId="77777777" w:rsidR="00DA702B" w:rsidRPr="00DA702B" w:rsidRDefault="00DA702B" w:rsidP="00DA702B">
            <w:pPr>
              <w:rPr>
                <w:sz w:val="20"/>
                <w:szCs w:val="20"/>
              </w:rPr>
            </w:pPr>
          </w:p>
        </w:tc>
        <w:tc>
          <w:tcPr>
            <w:tcW w:w="1309" w:type="dxa"/>
          </w:tcPr>
          <w:p w14:paraId="4AEC8D7F" w14:textId="77777777" w:rsidR="00DA702B" w:rsidRPr="00DA702B" w:rsidRDefault="00DA702B" w:rsidP="00DA702B">
            <w:pPr>
              <w:rPr>
                <w:sz w:val="20"/>
                <w:szCs w:val="20"/>
              </w:rPr>
            </w:pPr>
          </w:p>
        </w:tc>
        <w:tc>
          <w:tcPr>
            <w:tcW w:w="1309" w:type="dxa"/>
          </w:tcPr>
          <w:p w14:paraId="6FFD2769" w14:textId="77777777" w:rsidR="00DA702B" w:rsidRPr="00DA702B" w:rsidRDefault="00DA702B" w:rsidP="00DA702B">
            <w:pPr>
              <w:rPr>
                <w:sz w:val="20"/>
                <w:szCs w:val="20"/>
              </w:rPr>
            </w:pPr>
          </w:p>
        </w:tc>
        <w:tc>
          <w:tcPr>
            <w:tcW w:w="1310" w:type="dxa"/>
          </w:tcPr>
          <w:p w14:paraId="5DDDE506" w14:textId="77777777" w:rsidR="00DA702B" w:rsidRPr="00DA702B" w:rsidRDefault="00DA702B" w:rsidP="00DA702B">
            <w:pPr>
              <w:rPr>
                <w:sz w:val="20"/>
                <w:szCs w:val="20"/>
              </w:rPr>
            </w:pPr>
          </w:p>
        </w:tc>
        <w:tc>
          <w:tcPr>
            <w:tcW w:w="1310" w:type="dxa"/>
          </w:tcPr>
          <w:p w14:paraId="24A7F704" w14:textId="77777777" w:rsidR="00DA702B" w:rsidRPr="00DA702B" w:rsidRDefault="00DA702B" w:rsidP="00DA702B">
            <w:pPr>
              <w:rPr>
                <w:sz w:val="20"/>
                <w:szCs w:val="20"/>
              </w:rPr>
            </w:pPr>
          </w:p>
        </w:tc>
      </w:tr>
      <w:tr w:rsidR="00DA702B" w:rsidRPr="00DA702B" w14:paraId="086301C7" w14:textId="77777777" w:rsidTr="00247007">
        <w:trPr>
          <w:cantSplit/>
          <w:trHeight w:val="346"/>
          <w:tblHeader/>
        </w:trPr>
        <w:tc>
          <w:tcPr>
            <w:tcW w:w="1308" w:type="dxa"/>
          </w:tcPr>
          <w:p w14:paraId="7C5D920D" w14:textId="77777777" w:rsidR="00DA702B" w:rsidRPr="00DA702B" w:rsidRDefault="00DA702B" w:rsidP="00DA702B">
            <w:pPr>
              <w:rPr>
                <w:sz w:val="20"/>
                <w:szCs w:val="20"/>
              </w:rPr>
            </w:pPr>
          </w:p>
        </w:tc>
        <w:tc>
          <w:tcPr>
            <w:tcW w:w="1309" w:type="dxa"/>
          </w:tcPr>
          <w:p w14:paraId="2CB8E8EC" w14:textId="77777777" w:rsidR="00DA702B" w:rsidRPr="00DA702B" w:rsidRDefault="00DA702B" w:rsidP="00DA702B">
            <w:pPr>
              <w:rPr>
                <w:sz w:val="20"/>
                <w:szCs w:val="20"/>
              </w:rPr>
            </w:pPr>
          </w:p>
        </w:tc>
        <w:tc>
          <w:tcPr>
            <w:tcW w:w="1309" w:type="dxa"/>
          </w:tcPr>
          <w:p w14:paraId="4CCC644D" w14:textId="77777777" w:rsidR="00DA702B" w:rsidRPr="00DA702B" w:rsidRDefault="00DA702B" w:rsidP="00DA702B">
            <w:pPr>
              <w:rPr>
                <w:sz w:val="20"/>
                <w:szCs w:val="20"/>
              </w:rPr>
            </w:pPr>
          </w:p>
        </w:tc>
        <w:tc>
          <w:tcPr>
            <w:tcW w:w="1309" w:type="dxa"/>
          </w:tcPr>
          <w:p w14:paraId="5830AB26" w14:textId="77777777" w:rsidR="00DA702B" w:rsidRPr="00DA702B" w:rsidRDefault="00DA702B" w:rsidP="00DA702B">
            <w:pPr>
              <w:rPr>
                <w:sz w:val="20"/>
                <w:szCs w:val="20"/>
              </w:rPr>
            </w:pPr>
          </w:p>
        </w:tc>
        <w:tc>
          <w:tcPr>
            <w:tcW w:w="1309" w:type="dxa"/>
          </w:tcPr>
          <w:p w14:paraId="5E22AE17" w14:textId="77777777" w:rsidR="00DA702B" w:rsidRPr="00DA702B" w:rsidRDefault="00DA702B" w:rsidP="00DA702B">
            <w:pPr>
              <w:rPr>
                <w:sz w:val="20"/>
                <w:szCs w:val="20"/>
              </w:rPr>
            </w:pPr>
          </w:p>
        </w:tc>
        <w:tc>
          <w:tcPr>
            <w:tcW w:w="1309" w:type="dxa"/>
          </w:tcPr>
          <w:p w14:paraId="737D87A9" w14:textId="77777777" w:rsidR="00DA702B" w:rsidRPr="00DA702B" w:rsidRDefault="00DA702B" w:rsidP="00DA702B">
            <w:pPr>
              <w:rPr>
                <w:sz w:val="20"/>
                <w:szCs w:val="20"/>
              </w:rPr>
            </w:pPr>
          </w:p>
        </w:tc>
        <w:tc>
          <w:tcPr>
            <w:tcW w:w="1309" w:type="dxa"/>
          </w:tcPr>
          <w:p w14:paraId="31CA6065" w14:textId="77777777" w:rsidR="00DA702B" w:rsidRPr="00DA702B" w:rsidRDefault="00DA702B" w:rsidP="00DA702B">
            <w:pPr>
              <w:rPr>
                <w:sz w:val="20"/>
                <w:szCs w:val="20"/>
              </w:rPr>
            </w:pPr>
          </w:p>
        </w:tc>
        <w:tc>
          <w:tcPr>
            <w:tcW w:w="1309" w:type="dxa"/>
          </w:tcPr>
          <w:p w14:paraId="3BE0E23A" w14:textId="77777777" w:rsidR="00DA702B" w:rsidRPr="00DA702B" w:rsidRDefault="00DA702B" w:rsidP="00DA702B">
            <w:pPr>
              <w:rPr>
                <w:sz w:val="20"/>
                <w:szCs w:val="20"/>
              </w:rPr>
            </w:pPr>
          </w:p>
        </w:tc>
        <w:tc>
          <w:tcPr>
            <w:tcW w:w="1309" w:type="dxa"/>
          </w:tcPr>
          <w:p w14:paraId="3D539540" w14:textId="77777777" w:rsidR="00DA702B" w:rsidRPr="00DA702B" w:rsidRDefault="00DA702B" w:rsidP="00DA702B">
            <w:pPr>
              <w:rPr>
                <w:sz w:val="20"/>
                <w:szCs w:val="20"/>
              </w:rPr>
            </w:pPr>
          </w:p>
        </w:tc>
        <w:tc>
          <w:tcPr>
            <w:tcW w:w="1310" w:type="dxa"/>
          </w:tcPr>
          <w:p w14:paraId="4A918B58" w14:textId="77777777" w:rsidR="00DA702B" w:rsidRPr="00DA702B" w:rsidRDefault="00DA702B" w:rsidP="00DA702B">
            <w:pPr>
              <w:rPr>
                <w:sz w:val="20"/>
                <w:szCs w:val="20"/>
              </w:rPr>
            </w:pPr>
          </w:p>
        </w:tc>
        <w:tc>
          <w:tcPr>
            <w:tcW w:w="1310" w:type="dxa"/>
          </w:tcPr>
          <w:p w14:paraId="4C9B99AB" w14:textId="77777777" w:rsidR="00DA702B" w:rsidRPr="00DA702B" w:rsidRDefault="00DA702B" w:rsidP="00DA702B">
            <w:pPr>
              <w:rPr>
                <w:sz w:val="20"/>
                <w:szCs w:val="20"/>
              </w:rPr>
            </w:pPr>
          </w:p>
        </w:tc>
      </w:tr>
      <w:tr w:rsidR="00DA702B" w:rsidRPr="00DA702B" w14:paraId="7812CB3D" w14:textId="77777777" w:rsidTr="00247007">
        <w:trPr>
          <w:cantSplit/>
          <w:trHeight w:val="346"/>
          <w:tblHeader/>
        </w:trPr>
        <w:tc>
          <w:tcPr>
            <w:tcW w:w="1308" w:type="dxa"/>
          </w:tcPr>
          <w:p w14:paraId="5947DBCD" w14:textId="77777777" w:rsidR="00DA702B" w:rsidRPr="00DA702B" w:rsidRDefault="00DA702B" w:rsidP="00DA702B">
            <w:pPr>
              <w:rPr>
                <w:sz w:val="20"/>
                <w:szCs w:val="20"/>
              </w:rPr>
            </w:pPr>
          </w:p>
        </w:tc>
        <w:tc>
          <w:tcPr>
            <w:tcW w:w="1309" w:type="dxa"/>
          </w:tcPr>
          <w:p w14:paraId="34C81D44" w14:textId="77777777" w:rsidR="00DA702B" w:rsidRPr="00DA702B" w:rsidRDefault="00DA702B" w:rsidP="00DA702B">
            <w:pPr>
              <w:rPr>
                <w:sz w:val="20"/>
                <w:szCs w:val="20"/>
              </w:rPr>
            </w:pPr>
          </w:p>
        </w:tc>
        <w:tc>
          <w:tcPr>
            <w:tcW w:w="1309" w:type="dxa"/>
          </w:tcPr>
          <w:p w14:paraId="7C1792B7" w14:textId="77777777" w:rsidR="00DA702B" w:rsidRPr="00DA702B" w:rsidRDefault="00DA702B" w:rsidP="00DA702B">
            <w:pPr>
              <w:rPr>
                <w:sz w:val="20"/>
                <w:szCs w:val="20"/>
              </w:rPr>
            </w:pPr>
          </w:p>
        </w:tc>
        <w:tc>
          <w:tcPr>
            <w:tcW w:w="1309" w:type="dxa"/>
          </w:tcPr>
          <w:p w14:paraId="2F646E98" w14:textId="77777777" w:rsidR="00DA702B" w:rsidRPr="00DA702B" w:rsidRDefault="00DA702B" w:rsidP="00DA702B">
            <w:pPr>
              <w:rPr>
                <w:sz w:val="20"/>
                <w:szCs w:val="20"/>
              </w:rPr>
            </w:pPr>
          </w:p>
        </w:tc>
        <w:tc>
          <w:tcPr>
            <w:tcW w:w="1309" w:type="dxa"/>
          </w:tcPr>
          <w:p w14:paraId="3AF3774A" w14:textId="77777777" w:rsidR="00DA702B" w:rsidRPr="00DA702B" w:rsidRDefault="00DA702B" w:rsidP="00DA702B">
            <w:pPr>
              <w:rPr>
                <w:sz w:val="20"/>
                <w:szCs w:val="20"/>
              </w:rPr>
            </w:pPr>
          </w:p>
        </w:tc>
        <w:tc>
          <w:tcPr>
            <w:tcW w:w="1309" w:type="dxa"/>
          </w:tcPr>
          <w:p w14:paraId="293422F5" w14:textId="77777777" w:rsidR="00DA702B" w:rsidRPr="00DA702B" w:rsidRDefault="00DA702B" w:rsidP="00DA702B">
            <w:pPr>
              <w:rPr>
                <w:sz w:val="20"/>
                <w:szCs w:val="20"/>
              </w:rPr>
            </w:pPr>
          </w:p>
        </w:tc>
        <w:tc>
          <w:tcPr>
            <w:tcW w:w="1309" w:type="dxa"/>
          </w:tcPr>
          <w:p w14:paraId="502DD902" w14:textId="77777777" w:rsidR="00DA702B" w:rsidRPr="00DA702B" w:rsidRDefault="00DA702B" w:rsidP="00DA702B">
            <w:pPr>
              <w:rPr>
                <w:sz w:val="20"/>
                <w:szCs w:val="20"/>
              </w:rPr>
            </w:pPr>
          </w:p>
        </w:tc>
        <w:tc>
          <w:tcPr>
            <w:tcW w:w="1309" w:type="dxa"/>
          </w:tcPr>
          <w:p w14:paraId="09EB10EC" w14:textId="77777777" w:rsidR="00DA702B" w:rsidRPr="00DA702B" w:rsidRDefault="00DA702B" w:rsidP="00DA702B">
            <w:pPr>
              <w:rPr>
                <w:sz w:val="20"/>
                <w:szCs w:val="20"/>
              </w:rPr>
            </w:pPr>
          </w:p>
        </w:tc>
        <w:tc>
          <w:tcPr>
            <w:tcW w:w="1309" w:type="dxa"/>
          </w:tcPr>
          <w:p w14:paraId="19F4F67E" w14:textId="77777777" w:rsidR="00DA702B" w:rsidRPr="00DA702B" w:rsidRDefault="00DA702B" w:rsidP="00DA702B">
            <w:pPr>
              <w:rPr>
                <w:sz w:val="20"/>
                <w:szCs w:val="20"/>
              </w:rPr>
            </w:pPr>
          </w:p>
        </w:tc>
        <w:tc>
          <w:tcPr>
            <w:tcW w:w="1310" w:type="dxa"/>
          </w:tcPr>
          <w:p w14:paraId="65A1018F" w14:textId="77777777" w:rsidR="00DA702B" w:rsidRPr="00DA702B" w:rsidRDefault="00DA702B" w:rsidP="00DA702B">
            <w:pPr>
              <w:rPr>
                <w:sz w:val="20"/>
                <w:szCs w:val="20"/>
              </w:rPr>
            </w:pPr>
          </w:p>
        </w:tc>
        <w:tc>
          <w:tcPr>
            <w:tcW w:w="1310" w:type="dxa"/>
          </w:tcPr>
          <w:p w14:paraId="6CC5B738" w14:textId="77777777" w:rsidR="00DA702B" w:rsidRPr="00DA702B" w:rsidRDefault="00DA702B" w:rsidP="00DA702B">
            <w:pPr>
              <w:rPr>
                <w:sz w:val="20"/>
                <w:szCs w:val="20"/>
              </w:rPr>
            </w:pPr>
          </w:p>
        </w:tc>
      </w:tr>
      <w:tr w:rsidR="00DA702B" w:rsidRPr="00DA702B" w14:paraId="07F8F56B" w14:textId="77777777" w:rsidTr="00247007">
        <w:trPr>
          <w:cantSplit/>
          <w:trHeight w:val="346"/>
          <w:tblHeader/>
        </w:trPr>
        <w:tc>
          <w:tcPr>
            <w:tcW w:w="1308" w:type="dxa"/>
          </w:tcPr>
          <w:p w14:paraId="040BD295" w14:textId="77777777" w:rsidR="00DA702B" w:rsidRPr="00DA702B" w:rsidRDefault="00DA702B" w:rsidP="00DA702B">
            <w:pPr>
              <w:rPr>
                <w:sz w:val="20"/>
                <w:szCs w:val="20"/>
              </w:rPr>
            </w:pPr>
          </w:p>
        </w:tc>
        <w:tc>
          <w:tcPr>
            <w:tcW w:w="1309" w:type="dxa"/>
          </w:tcPr>
          <w:p w14:paraId="549A5580" w14:textId="77777777" w:rsidR="00DA702B" w:rsidRPr="00DA702B" w:rsidRDefault="00DA702B" w:rsidP="00DA702B">
            <w:pPr>
              <w:rPr>
                <w:sz w:val="20"/>
                <w:szCs w:val="20"/>
              </w:rPr>
            </w:pPr>
          </w:p>
        </w:tc>
        <w:tc>
          <w:tcPr>
            <w:tcW w:w="1309" w:type="dxa"/>
          </w:tcPr>
          <w:p w14:paraId="3FCEF241" w14:textId="77777777" w:rsidR="00DA702B" w:rsidRPr="00DA702B" w:rsidRDefault="00DA702B" w:rsidP="00DA702B">
            <w:pPr>
              <w:rPr>
                <w:sz w:val="20"/>
                <w:szCs w:val="20"/>
              </w:rPr>
            </w:pPr>
          </w:p>
        </w:tc>
        <w:tc>
          <w:tcPr>
            <w:tcW w:w="1309" w:type="dxa"/>
          </w:tcPr>
          <w:p w14:paraId="013090E4" w14:textId="77777777" w:rsidR="00DA702B" w:rsidRPr="00DA702B" w:rsidRDefault="00DA702B" w:rsidP="00DA702B">
            <w:pPr>
              <w:rPr>
                <w:sz w:val="20"/>
                <w:szCs w:val="20"/>
              </w:rPr>
            </w:pPr>
          </w:p>
        </w:tc>
        <w:tc>
          <w:tcPr>
            <w:tcW w:w="1309" w:type="dxa"/>
          </w:tcPr>
          <w:p w14:paraId="3F33362C" w14:textId="77777777" w:rsidR="00DA702B" w:rsidRPr="00DA702B" w:rsidRDefault="00DA702B" w:rsidP="00DA702B">
            <w:pPr>
              <w:rPr>
                <w:sz w:val="20"/>
                <w:szCs w:val="20"/>
              </w:rPr>
            </w:pPr>
          </w:p>
        </w:tc>
        <w:tc>
          <w:tcPr>
            <w:tcW w:w="1309" w:type="dxa"/>
          </w:tcPr>
          <w:p w14:paraId="2AB20A6E" w14:textId="77777777" w:rsidR="00DA702B" w:rsidRPr="00DA702B" w:rsidRDefault="00DA702B" w:rsidP="00DA702B">
            <w:pPr>
              <w:rPr>
                <w:sz w:val="20"/>
                <w:szCs w:val="20"/>
              </w:rPr>
            </w:pPr>
          </w:p>
        </w:tc>
        <w:tc>
          <w:tcPr>
            <w:tcW w:w="1309" w:type="dxa"/>
          </w:tcPr>
          <w:p w14:paraId="0B46F81A" w14:textId="77777777" w:rsidR="00DA702B" w:rsidRPr="00DA702B" w:rsidRDefault="00DA702B" w:rsidP="00DA702B">
            <w:pPr>
              <w:rPr>
                <w:sz w:val="20"/>
                <w:szCs w:val="20"/>
              </w:rPr>
            </w:pPr>
          </w:p>
        </w:tc>
        <w:tc>
          <w:tcPr>
            <w:tcW w:w="1309" w:type="dxa"/>
          </w:tcPr>
          <w:p w14:paraId="3CA8C4A1" w14:textId="77777777" w:rsidR="00DA702B" w:rsidRPr="00DA702B" w:rsidRDefault="00DA702B" w:rsidP="00DA702B">
            <w:pPr>
              <w:rPr>
                <w:sz w:val="20"/>
                <w:szCs w:val="20"/>
              </w:rPr>
            </w:pPr>
          </w:p>
        </w:tc>
        <w:tc>
          <w:tcPr>
            <w:tcW w:w="1309" w:type="dxa"/>
          </w:tcPr>
          <w:p w14:paraId="318C1D65" w14:textId="77777777" w:rsidR="00DA702B" w:rsidRPr="00DA702B" w:rsidRDefault="00DA702B" w:rsidP="00DA702B">
            <w:pPr>
              <w:rPr>
                <w:sz w:val="20"/>
                <w:szCs w:val="20"/>
              </w:rPr>
            </w:pPr>
          </w:p>
        </w:tc>
        <w:tc>
          <w:tcPr>
            <w:tcW w:w="1310" w:type="dxa"/>
          </w:tcPr>
          <w:p w14:paraId="67507B6A" w14:textId="77777777" w:rsidR="00DA702B" w:rsidRPr="00DA702B" w:rsidRDefault="00DA702B" w:rsidP="00DA702B">
            <w:pPr>
              <w:rPr>
                <w:sz w:val="20"/>
                <w:szCs w:val="20"/>
              </w:rPr>
            </w:pPr>
          </w:p>
        </w:tc>
        <w:tc>
          <w:tcPr>
            <w:tcW w:w="1310" w:type="dxa"/>
          </w:tcPr>
          <w:p w14:paraId="159B758A" w14:textId="77777777" w:rsidR="00DA702B" w:rsidRPr="00DA702B" w:rsidRDefault="00DA702B" w:rsidP="00DA702B">
            <w:pPr>
              <w:rPr>
                <w:sz w:val="20"/>
                <w:szCs w:val="20"/>
              </w:rPr>
            </w:pPr>
          </w:p>
        </w:tc>
      </w:tr>
      <w:tr w:rsidR="00DA702B" w:rsidRPr="00DA702B" w14:paraId="28A043F8" w14:textId="77777777" w:rsidTr="00247007">
        <w:trPr>
          <w:cantSplit/>
          <w:trHeight w:val="346"/>
          <w:tblHeader/>
        </w:trPr>
        <w:tc>
          <w:tcPr>
            <w:tcW w:w="1308" w:type="dxa"/>
          </w:tcPr>
          <w:p w14:paraId="74EBCBE1" w14:textId="77777777" w:rsidR="00DA702B" w:rsidRPr="00DA702B" w:rsidRDefault="00DA702B" w:rsidP="00DA702B">
            <w:pPr>
              <w:rPr>
                <w:sz w:val="20"/>
                <w:szCs w:val="20"/>
              </w:rPr>
            </w:pPr>
          </w:p>
        </w:tc>
        <w:tc>
          <w:tcPr>
            <w:tcW w:w="1309" w:type="dxa"/>
          </w:tcPr>
          <w:p w14:paraId="14F977EB" w14:textId="77777777" w:rsidR="00DA702B" w:rsidRPr="00DA702B" w:rsidRDefault="00DA702B" w:rsidP="00DA702B">
            <w:pPr>
              <w:rPr>
                <w:sz w:val="20"/>
                <w:szCs w:val="20"/>
              </w:rPr>
            </w:pPr>
          </w:p>
        </w:tc>
        <w:tc>
          <w:tcPr>
            <w:tcW w:w="1309" w:type="dxa"/>
          </w:tcPr>
          <w:p w14:paraId="417A2B8B" w14:textId="77777777" w:rsidR="00DA702B" w:rsidRPr="00DA702B" w:rsidRDefault="00DA702B" w:rsidP="00DA702B">
            <w:pPr>
              <w:rPr>
                <w:sz w:val="20"/>
                <w:szCs w:val="20"/>
              </w:rPr>
            </w:pPr>
          </w:p>
        </w:tc>
        <w:tc>
          <w:tcPr>
            <w:tcW w:w="1309" w:type="dxa"/>
          </w:tcPr>
          <w:p w14:paraId="06E53DAE" w14:textId="77777777" w:rsidR="00DA702B" w:rsidRPr="00DA702B" w:rsidRDefault="00DA702B" w:rsidP="00DA702B">
            <w:pPr>
              <w:rPr>
                <w:sz w:val="20"/>
                <w:szCs w:val="20"/>
              </w:rPr>
            </w:pPr>
          </w:p>
        </w:tc>
        <w:tc>
          <w:tcPr>
            <w:tcW w:w="1309" w:type="dxa"/>
          </w:tcPr>
          <w:p w14:paraId="237BE8F2" w14:textId="77777777" w:rsidR="00DA702B" w:rsidRPr="00DA702B" w:rsidRDefault="00DA702B" w:rsidP="00DA702B">
            <w:pPr>
              <w:rPr>
                <w:sz w:val="20"/>
                <w:szCs w:val="20"/>
              </w:rPr>
            </w:pPr>
          </w:p>
        </w:tc>
        <w:tc>
          <w:tcPr>
            <w:tcW w:w="1309" w:type="dxa"/>
          </w:tcPr>
          <w:p w14:paraId="63A4503F" w14:textId="77777777" w:rsidR="00DA702B" w:rsidRPr="00DA702B" w:rsidRDefault="00DA702B" w:rsidP="00DA702B">
            <w:pPr>
              <w:rPr>
                <w:sz w:val="20"/>
                <w:szCs w:val="20"/>
              </w:rPr>
            </w:pPr>
          </w:p>
        </w:tc>
        <w:tc>
          <w:tcPr>
            <w:tcW w:w="1309" w:type="dxa"/>
          </w:tcPr>
          <w:p w14:paraId="31A773E7" w14:textId="77777777" w:rsidR="00DA702B" w:rsidRPr="00DA702B" w:rsidRDefault="00DA702B" w:rsidP="00DA702B">
            <w:pPr>
              <w:rPr>
                <w:sz w:val="20"/>
                <w:szCs w:val="20"/>
              </w:rPr>
            </w:pPr>
          </w:p>
        </w:tc>
        <w:tc>
          <w:tcPr>
            <w:tcW w:w="1309" w:type="dxa"/>
          </w:tcPr>
          <w:p w14:paraId="001637CB" w14:textId="77777777" w:rsidR="00DA702B" w:rsidRPr="00DA702B" w:rsidRDefault="00DA702B" w:rsidP="00DA702B">
            <w:pPr>
              <w:rPr>
                <w:sz w:val="20"/>
                <w:szCs w:val="20"/>
              </w:rPr>
            </w:pPr>
          </w:p>
        </w:tc>
        <w:tc>
          <w:tcPr>
            <w:tcW w:w="1309" w:type="dxa"/>
          </w:tcPr>
          <w:p w14:paraId="6F67162C" w14:textId="77777777" w:rsidR="00DA702B" w:rsidRPr="00DA702B" w:rsidRDefault="00DA702B" w:rsidP="00DA702B">
            <w:pPr>
              <w:rPr>
                <w:sz w:val="20"/>
                <w:szCs w:val="20"/>
              </w:rPr>
            </w:pPr>
          </w:p>
        </w:tc>
        <w:tc>
          <w:tcPr>
            <w:tcW w:w="1310" w:type="dxa"/>
          </w:tcPr>
          <w:p w14:paraId="60CA955D" w14:textId="77777777" w:rsidR="00DA702B" w:rsidRPr="00DA702B" w:rsidRDefault="00DA702B" w:rsidP="00DA702B">
            <w:pPr>
              <w:rPr>
                <w:sz w:val="20"/>
                <w:szCs w:val="20"/>
              </w:rPr>
            </w:pPr>
          </w:p>
        </w:tc>
        <w:tc>
          <w:tcPr>
            <w:tcW w:w="1310" w:type="dxa"/>
          </w:tcPr>
          <w:p w14:paraId="56D0F051" w14:textId="77777777" w:rsidR="00DA702B" w:rsidRPr="00DA702B" w:rsidRDefault="00DA702B" w:rsidP="00DA702B">
            <w:pPr>
              <w:rPr>
                <w:sz w:val="20"/>
                <w:szCs w:val="20"/>
              </w:rPr>
            </w:pPr>
          </w:p>
        </w:tc>
      </w:tr>
      <w:tr w:rsidR="00DA702B" w:rsidRPr="00DA702B" w14:paraId="080CB8CA" w14:textId="77777777" w:rsidTr="00247007">
        <w:trPr>
          <w:cantSplit/>
          <w:trHeight w:val="346"/>
          <w:tblHeader/>
        </w:trPr>
        <w:tc>
          <w:tcPr>
            <w:tcW w:w="1308" w:type="dxa"/>
          </w:tcPr>
          <w:p w14:paraId="275C5431" w14:textId="77777777" w:rsidR="00DA702B" w:rsidRPr="00DA702B" w:rsidRDefault="00DA702B" w:rsidP="00DA702B">
            <w:pPr>
              <w:rPr>
                <w:sz w:val="20"/>
                <w:szCs w:val="20"/>
              </w:rPr>
            </w:pPr>
          </w:p>
        </w:tc>
        <w:tc>
          <w:tcPr>
            <w:tcW w:w="1309" w:type="dxa"/>
          </w:tcPr>
          <w:p w14:paraId="1C16A023" w14:textId="77777777" w:rsidR="00DA702B" w:rsidRPr="00DA702B" w:rsidRDefault="00DA702B" w:rsidP="00DA702B">
            <w:pPr>
              <w:rPr>
                <w:sz w:val="20"/>
                <w:szCs w:val="20"/>
              </w:rPr>
            </w:pPr>
          </w:p>
        </w:tc>
        <w:tc>
          <w:tcPr>
            <w:tcW w:w="1309" w:type="dxa"/>
          </w:tcPr>
          <w:p w14:paraId="2B0A2B5E" w14:textId="77777777" w:rsidR="00DA702B" w:rsidRPr="00DA702B" w:rsidRDefault="00DA702B" w:rsidP="00DA702B">
            <w:pPr>
              <w:rPr>
                <w:sz w:val="20"/>
                <w:szCs w:val="20"/>
              </w:rPr>
            </w:pPr>
          </w:p>
        </w:tc>
        <w:tc>
          <w:tcPr>
            <w:tcW w:w="1309" w:type="dxa"/>
          </w:tcPr>
          <w:p w14:paraId="402E8805" w14:textId="77777777" w:rsidR="00DA702B" w:rsidRPr="00DA702B" w:rsidRDefault="00DA702B" w:rsidP="00DA702B">
            <w:pPr>
              <w:rPr>
                <w:sz w:val="20"/>
                <w:szCs w:val="20"/>
              </w:rPr>
            </w:pPr>
          </w:p>
        </w:tc>
        <w:tc>
          <w:tcPr>
            <w:tcW w:w="1309" w:type="dxa"/>
          </w:tcPr>
          <w:p w14:paraId="5424FD9C" w14:textId="77777777" w:rsidR="00DA702B" w:rsidRPr="00DA702B" w:rsidRDefault="00DA702B" w:rsidP="00DA702B">
            <w:pPr>
              <w:rPr>
                <w:sz w:val="20"/>
                <w:szCs w:val="20"/>
              </w:rPr>
            </w:pPr>
          </w:p>
        </w:tc>
        <w:tc>
          <w:tcPr>
            <w:tcW w:w="1309" w:type="dxa"/>
          </w:tcPr>
          <w:p w14:paraId="2A2222B0" w14:textId="77777777" w:rsidR="00DA702B" w:rsidRPr="00DA702B" w:rsidRDefault="00DA702B" w:rsidP="00DA702B">
            <w:pPr>
              <w:rPr>
                <w:sz w:val="20"/>
                <w:szCs w:val="20"/>
              </w:rPr>
            </w:pPr>
          </w:p>
        </w:tc>
        <w:tc>
          <w:tcPr>
            <w:tcW w:w="1309" w:type="dxa"/>
          </w:tcPr>
          <w:p w14:paraId="7A998BAE" w14:textId="77777777" w:rsidR="00DA702B" w:rsidRPr="00DA702B" w:rsidRDefault="00DA702B" w:rsidP="00DA702B">
            <w:pPr>
              <w:rPr>
                <w:sz w:val="20"/>
                <w:szCs w:val="20"/>
              </w:rPr>
            </w:pPr>
          </w:p>
        </w:tc>
        <w:tc>
          <w:tcPr>
            <w:tcW w:w="1309" w:type="dxa"/>
          </w:tcPr>
          <w:p w14:paraId="6F9098EE" w14:textId="77777777" w:rsidR="00DA702B" w:rsidRPr="00DA702B" w:rsidRDefault="00DA702B" w:rsidP="00DA702B">
            <w:pPr>
              <w:rPr>
                <w:sz w:val="20"/>
                <w:szCs w:val="20"/>
              </w:rPr>
            </w:pPr>
          </w:p>
        </w:tc>
        <w:tc>
          <w:tcPr>
            <w:tcW w:w="1309" w:type="dxa"/>
          </w:tcPr>
          <w:p w14:paraId="1947D315" w14:textId="77777777" w:rsidR="00DA702B" w:rsidRPr="00DA702B" w:rsidRDefault="00DA702B" w:rsidP="00DA702B">
            <w:pPr>
              <w:rPr>
                <w:sz w:val="20"/>
                <w:szCs w:val="20"/>
              </w:rPr>
            </w:pPr>
          </w:p>
        </w:tc>
        <w:tc>
          <w:tcPr>
            <w:tcW w:w="1310" w:type="dxa"/>
          </w:tcPr>
          <w:p w14:paraId="73798067" w14:textId="77777777" w:rsidR="00DA702B" w:rsidRPr="00DA702B" w:rsidRDefault="00DA702B" w:rsidP="00DA702B">
            <w:pPr>
              <w:rPr>
                <w:sz w:val="20"/>
                <w:szCs w:val="20"/>
              </w:rPr>
            </w:pPr>
          </w:p>
        </w:tc>
        <w:tc>
          <w:tcPr>
            <w:tcW w:w="1310" w:type="dxa"/>
          </w:tcPr>
          <w:p w14:paraId="173FDCF7" w14:textId="77777777" w:rsidR="00DA702B" w:rsidRPr="00DA702B" w:rsidRDefault="00DA702B" w:rsidP="00DA702B">
            <w:pPr>
              <w:rPr>
                <w:sz w:val="20"/>
                <w:szCs w:val="20"/>
              </w:rPr>
            </w:pPr>
          </w:p>
        </w:tc>
      </w:tr>
      <w:tr w:rsidR="00DA702B" w:rsidRPr="00DA702B" w14:paraId="4E5992FD" w14:textId="77777777" w:rsidTr="00247007">
        <w:trPr>
          <w:cantSplit/>
          <w:trHeight w:val="346"/>
          <w:tblHeader/>
        </w:trPr>
        <w:tc>
          <w:tcPr>
            <w:tcW w:w="1308" w:type="dxa"/>
          </w:tcPr>
          <w:p w14:paraId="6B19D4AD" w14:textId="77777777" w:rsidR="00DA702B" w:rsidRPr="00DA702B" w:rsidRDefault="00DA702B" w:rsidP="00DA702B">
            <w:pPr>
              <w:rPr>
                <w:sz w:val="20"/>
                <w:szCs w:val="20"/>
              </w:rPr>
            </w:pPr>
          </w:p>
        </w:tc>
        <w:tc>
          <w:tcPr>
            <w:tcW w:w="1309" w:type="dxa"/>
          </w:tcPr>
          <w:p w14:paraId="5900F2FF" w14:textId="77777777" w:rsidR="00DA702B" w:rsidRPr="00DA702B" w:rsidRDefault="00DA702B" w:rsidP="00DA702B">
            <w:pPr>
              <w:rPr>
                <w:sz w:val="20"/>
                <w:szCs w:val="20"/>
              </w:rPr>
            </w:pPr>
          </w:p>
        </w:tc>
        <w:tc>
          <w:tcPr>
            <w:tcW w:w="1309" w:type="dxa"/>
          </w:tcPr>
          <w:p w14:paraId="14770E1C" w14:textId="77777777" w:rsidR="00DA702B" w:rsidRPr="00DA702B" w:rsidRDefault="00DA702B" w:rsidP="00DA702B">
            <w:pPr>
              <w:rPr>
                <w:sz w:val="20"/>
                <w:szCs w:val="20"/>
              </w:rPr>
            </w:pPr>
          </w:p>
        </w:tc>
        <w:tc>
          <w:tcPr>
            <w:tcW w:w="1309" w:type="dxa"/>
          </w:tcPr>
          <w:p w14:paraId="36650A1C" w14:textId="77777777" w:rsidR="00DA702B" w:rsidRPr="00DA702B" w:rsidRDefault="00DA702B" w:rsidP="00DA702B">
            <w:pPr>
              <w:rPr>
                <w:sz w:val="20"/>
                <w:szCs w:val="20"/>
              </w:rPr>
            </w:pPr>
          </w:p>
        </w:tc>
        <w:tc>
          <w:tcPr>
            <w:tcW w:w="1309" w:type="dxa"/>
          </w:tcPr>
          <w:p w14:paraId="5D41A804" w14:textId="77777777" w:rsidR="00DA702B" w:rsidRPr="00DA702B" w:rsidRDefault="00DA702B" w:rsidP="00DA702B">
            <w:pPr>
              <w:rPr>
                <w:sz w:val="20"/>
                <w:szCs w:val="20"/>
              </w:rPr>
            </w:pPr>
          </w:p>
        </w:tc>
        <w:tc>
          <w:tcPr>
            <w:tcW w:w="1309" w:type="dxa"/>
          </w:tcPr>
          <w:p w14:paraId="3AD7851C" w14:textId="77777777" w:rsidR="00DA702B" w:rsidRPr="00DA702B" w:rsidRDefault="00DA702B" w:rsidP="00DA702B">
            <w:pPr>
              <w:rPr>
                <w:sz w:val="20"/>
                <w:szCs w:val="20"/>
              </w:rPr>
            </w:pPr>
          </w:p>
        </w:tc>
        <w:tc>
          <w:tcPr>
            <w:tcW w:w="1309" w:type="dxa"/>
          </w:tcPr>
          <w:p w14:paraId="791A4CF9" w14:textId="77777777" w:rsidR="00DA702B" w:rsidRPr="00DA702B" w:rsidRDefault="00DA702B" w:rsidP="00DA702B">
            <w:pPr>
              <w:rPr>
                <w:sz w:val="20"/>
                <w:szCs w:val="20"/>
              </w:rPr>
            </w:pPr>
          </w:p>
        </w:tc>
        <w:tc>
          <w:tcPr>
            <w:tcW w:w="1309" w:type="dxa"/>
          </w:tcPr>
          <w:p w14:paraId="0107E971" w14:textId="77777777" w:rsidR="00DA702B" w:rsidRPr="00DA702B" w:rsidRDefault="00DA702B" w:rsidP="00DA702B">
            <w:pPr>
              <w:rPr>
                <w:sz w:val="20"/>
                <w:szCs w:val="20"/>
              </w:rPr>
            </w:pPr>
          </w:p>
        </w:tc>
        <w:tc>
          <w:tcPr>
            <w:tcW w:w="1309" w:type="dxa"/>
          </w:tcPr>
          <w:p w14:paraId="279346A1" w14:textId="77777777" w:rsidR="00DA702B" w:rsidRPr="00DA702B" w:rsidRDefault="00DA702B" w:rsidP="00DA702B">
            <w:pPr>
              <w:rPr>
                <w:sz w:val="20"/>
                <w:szCs w:val="20"/>
              </w:rPr>
            </w:pPr>
          </w:p>
        </w:tc>
        <w:tc>
          <w:tcPr>
            <w:tcW w:w="1310" w:type="dxa"/>
          </w:tcPr>
          <w:p w14:paraId="58095944" w14:textId="77777777" w:rsidR="00DA702B" w:rsidRPr="00DA702B" w:rsidRDefault="00DA702B" w:rsidP="00DA702B">
            <w:pPr>
              <w:rPr>
                <w:sz w:val="20"/>
                <w:szCs w:val="20"/>
              </w:rPr>
            </w:pPr>
          </w:p>
        </w:tc>
        <w:tc>
          <w:tcPr>
            <w:tcW w:w="1310" w:type="dxa"/>
          </w:tcPr>
          <w:p w14:paraId="79B275AE" w14:textId="77777777" w:rsidR="00DA702B" w:rsidRPr="00DA702B" w:rsidRDefault="00DA702B" w:rsidP="00DA702B">
            <w:pPr>
              <w:rPr>
                <w:sz w:val="20"/>
                <w:szCs w:val="20"/>
              </w:rPr>
            </w:pPr>
          </w:p>
        </w:tc>
      </w:tr>
      <w:tr w:rsidR="00DA702B" w:rsidRPr="00DA702B" w14:paraId="2E6772AC" w14:textId="77777777" w:rsidTr="00247007">
        <w:trPr>
          <w:cantSplit/>
          <w:trHeight w:val="346"/>
          <w:tblHeader/>
        </w:trPr>
        <w:tc>
          <w:tcPr>
            <w:tcW w:w="1308" w:type="dxa"/>
          </w:tcPr>
          <w:p w14:paraId="5D68DAA3" w14:textId="77777777" w:rsidR="00DA702B" w:rsidRPr="00DA702B" w:rsidRDefault="00DA702B" w:rsidP="00DA702B">
            <w:pPr>
              <w:rPr>
                <w:sz w:val="20"/>
                <w:szCs w:val="20"/>
              </w:rPr>
            </w:pPr>
          </w:p>
        </w:tc>
        <w:tc>
          <w:tcPr>
            <w:tcW w:w="1309" w:type="dxa"/>
          </w:tcPr>
          <w:p w14:paraId="1A987A2E" w14:textId="77777777" w:rsidR="00DA702B" w:rsidRPr="00DA702B" w:rsidRDefault="00DA702B" w:rsidP="00DA702B">
            <w:pPr>
              <w:rPr>
                <w:sz w:val="20"/>
                <w:szCs w:val="20"/>
              </w:rPr>
            </w:pPr>
          </w:p>
        </w:tc>
        <w:tc>
          <w:tcPr>
            <w:tcW w:w="1309" w:type="dxa"/>
          </w:tcPr>
          <w:p w14:paraId="6693FDD1" w14:textId="77777777" w:rsidR="00DA702B" w:rsidRPr="00DA702B" w:rsidRDefault="00DA702B" w:rsidP="00DA702B">
            <w:pPr>
              <w:rPr>
                <w:sz w:val="20"/>
                <w:szCs w:val="20"/>
              </w:rPr>
            </w:pPr>
          </w:p>
        </w:tc>
        <w:tc>
          <w:tcPr>
            <w:tcW w:w="1309" w:type="dxa"/>
          </w:tcPr>
          <w:p w14:paraId="567D233A" w14:textId="77777777" w:rsidR="00DA702B" w:rsidRPr="00DA702B" w:rsidRDefault="00DA702B" w:rsidP="00DA702B">
            <w:pPr>
              <w:rPr>
                <w:sz w:val="20"/>
                <w:szCs w:val="20"/>
              </w:rPr>
            </w:pPr>
          </w:p>
        </w:tc>
        <w:tc>
          <w:tcPr>
            <w:tcW w:w="1309" w:type="dxa"/>
          </w:tcPr>
          <w:p w14:paraId="19BD3BEB" w14:textId="77777777" w:rsidR="00DA702B" w:rsidRPr="00DA702B" w:rsidRDefault="00DA702B" w:rsidP="00DA702B">
            <w:pPr>
              <w:rPr>
                <w:sz w:val="20"/>
                <w:szCs w:val="20"/>
              </w:rPr>
            </w:pPr>
          </w:p>
        </w:tc>
        <w:tc>
          <w:tcPr>
            <w:tcW w:w="1309" w:type="dxa"/>
          </w:tcPr>
          <w:p w14:paraId="0BB063AA" w14:textId="77777777" w:rsidR="00DA702B" w:rsidRPr="00DA702B" w:rsidRDefault="00DA702B" w:rsidP="00DA702B">
            <w:pPr>
              <w:rPr>
                <w:sz w:val="20"/>
                <w:szCs w:val="20"/>
              </w:rPr>
            </w:pPr>
          </w:p>
        </w:tc>
        <w:tc>
          <w:tcPr>
            <w:tcW w:w="1309" w:type="dxa"/>
          </w:tcPr>
          <w:p w14:paraId="08EC3A91" w14:textId="77777777" w:rsidR="00DA702B" w:rsidRPr="00DA702B" w:rsidRDefault="00DA702B" w:rsidP="00DA702B">
            <w:pPr>
              <w:rPr>
                <w:sz w:val="20"/>
                <w:szCs w:val="20"/>
              </w:rPr>
            </w:pPr>
          </w:p>
        </w:tc>
        <w:tc>
          <w:tcPr>
            <w:tcW w:w="1309" w:type="dxa"/>
          </w:tcPr>
          <w:p w14:paraId="698F7CED" w14:textId="77777777" w:rsidR="00DA702B" w:rsidRPr="00DA702B" w:rsidRDefault="00DA702B" w:rsidP="00DA702B">
            <w:pPr>
              <w:rPr>
                <w:sz w:val="20"/>
                <w:szCs w:val="20"/>
              </w:rPr>
            </w:pPr>
          </w:p>
        </w:tc>
        <w:tc>
          <w:tcPr>
            <w:tcW w:w="1309" w:type="dxa"/>
          </w:tcPr>
          <w:p w14:paraId="40B88F67" w14:textId="77777777" w:rsidR="00DA702B" w:rsidRPr="00DA702B" w:rsidRDefault="00DA702B" w:rsidP="00DA702B">
            <w:pPr>
              <w:rPr>
                <w:sz w:val="20"/>
                <w:szCs w:val="20"/>
              </w:rPr>
            </w:pPr>
          </w:p>
        </w:tc>
        <w:tc>
          <w:tcPr>
            <w:tcW w:w="1310" w:type="dxa"/>
          </w:tcPr>
          <w:p w14:paraId="03622D33" w14:textId="77777777" w:rsidR="00DA702B" w:rsidRPr="00DA702B" w:rsidRDefault="00DA702B" w:rsidP="00DA702B">
            <w:pPr>
              <w:rPr>
                <w:sz w:val="20"/>
                <w:szCs w:val="20"/>
              </w:rPr>
            </w:pPr>
          </w:p>
        </w:tc>
        <w:tc>
          <w:tcPr>
            <w:tcW w:w="1310" w:type="dxa"/>
          </w:tcPr>
          <w:p w14:paraId="686CBBA4" w14:textId="77777777" w:rsidR="00DA702B" w:rsidRPr="00DA702B" w:rsidRDefault="00DA702B" w:rsidP="00DA702B">
            <w:pPr>
              <w:rPr>
                <w:sz w:val="20"/>
                <w:szCs w:val="20"/>
              </w:rPr>
            </w:pPr>
          </w:p>
        </w:tc>
      </w:tr>
      <w:tr w:rsidR="00DA702B" w:rsidRPr="00DA702B" w14:paraId="373440B6" w14:textId="77777777" w:rsidTr="00247007">
        <w:trPr>
          <w:cantSplit/>
          <w:trHeight w:val="346"/>
          <w:tblHeader/>
        </w:trPr>
        <w:tc>
          <w:tcPr>
            <w:tcW w:w="1308" w:type="dxa"/>
          </w:tcPr>
          <w:p w14:paraId="51A70022" w14:textId="77777777" w:rsidR="00DA702B" w:rsidRPr="00DA702B" w:rsidRDefault="00DA702B" w:rsidP="00DA702B">
            <w:pPr>
              <w:rPr>
                <w:sz w:val="20"/>
                <w:szCs w:val="20"/>
              </w:rPr>
            </w:pPr>
          </w:p>
        </w:tc>
        <w:tc>
          <w:tcPr>
            <w:tcW w:w="1309" w:type="dxa"/>
          </w:tcPr>
          <w:p w14:paraId="0EBCF56A" w14:textId="77777777" w:rsidR="00DA702B" w:rsidRPr="00DA702B" w:rsidRDefault="00DA702B" w:rsidP="00DA702B">
            <w:pPr>
              <w:rPr>
                <w:sz w:val="20"/>
                <w:szCs w:val="20"/>
              </w:rPr>
            </w:pPr>
          </w:p>
        </w:tc>
        <w:tc>
          <w:tcPr>
            <w:tcW w:w="1309" w:type="dxa"/>
          </w:tcPr>
          <w:p w14:paraId="021FADEA" w14:textId="77777777" w:rsidR="00DA702B" w:rsidRPr="00DA702B" w:rsidRDefault="00DA702B" w:rsidP="00DA702B">
            <w:pPr>
              <w:rPr>
                <w:sz w:val="20"/>
                <w:szCs w:val="20"/>
              </w:rPr>
            </w:pPr>
          </w:p>
        </w:tc>
        <w:tc>
          <w:tcPr>
            <w:tcW w:w="1309" w:type="dxa"/>
          </w:tcPr>
          <w:p w14:paraId="145FABA6" w14:textId="77777777" w:rsidR="00DA702B" w:rsidRPr="00DA702B" w:rsidRDefault="00DA702B" w:rsidP="00DA702B">
            <w:pPr>
              <w:rPr>
                <w:sz w:val="20"/>
                <w:szCs w:val="20"/>
              </w:rPr>
            </w:pPr>
          </w:p>
        </w:tc>
        <w:tc>
          <w:tcPr>
            <w:tcW w:w="1309" w:type="dxa"/>
          </w:tcPr>
          <w:p w14:paraId="3548B748" w14:textId="77777777" w:rsidR="00DA702B" w:rsidRPr="00DA702B" w:rsidRDefault="00DA702B" w:rsidP="00DA702B">
            <w:pPr>
              <w:rPr>
                <w:sz w:val="20"/>
                <w:szCs w:val="20"/>
              </w:rPr>
            </w:pPr>
          </w:p>
        </w:tc>
        <w:tc>
          <w:tcPr>
            <w:tcW w:w="1309" w:type="dxa"/>
          </w:tcPr>
          <w:p w14:paraId="41AC0392" w14:textId="77777777" w:rsidR="00DA702B" w:rsidRPr="00DA702B" w:rsidRDefault="00DA702B" w:rsidP="00DA702B">
            <w:pPr>
              <w:rPr>
                <w:sz w:val="20"/>
                <w:szCs w:val="20"/>
              </w:rPr>
            </w:pPr>
          </w:p>
        </w:tc>
        <w:tc>
          <w:tcPr>
            <w:tcW w:w="1309" w:type="dxa"/>
          </w:tcPr>
          <w:p w14:paraId="7F11DDA3" w14:textId="77777777" w:rsidR="00DA702B" w:rsidRPr="00DA702B" w:rsidRDefault="00DA702B" w:rsidP="00DA702B">
            <w:pPr>
              <w:rPr>
                <w:sz w:val="20"/>
                <w:szCs w:val="20"/>
              </w:rPr>
            </w:pPr>
          </w:p>
        </w:tc>
        <w:tc>
          <w:tcPr>
            <w:tcW w:w="1309" w:type="dxa"/>
          </w:tcPr>
          <w:p w14:paraId="6B70C21B" w14:textId="77777777" w:rsidR="00DA702B" w:rsidRPr="00DA702B" w:rsidRDefault="00DA702B" w:rsidP="00DA702B">
            <w:pPr>
              <w:rPr>
                <w:sz w:val="20"/>
                <w:szCs w:val="20"/>
              </w:rPr>
            </w:pPr>
          </w:p>
        </w:tc>
        <w:tc>
          <w:tcPr>
            <w:tcW w:w="1309" w:type="dxa"/>
          </w:tcPr>
          <w:p w14:paraId="5FD36471" w14:textId="77777777" w:rsidR="00DA702B" w:rsidRPr="00DA702B" w:rsidRDefault="00DA702B" w:rsidP="00DA702B">
            <w:pPr>
              <w:rPr>
                <w:sz w:val="20"/>
                <w:szCs w:val="20"/>
              </w:rPr>
            </w:pPr>
          </w:p>
        </w:tc>
        <w:tc>
          <w:tcPr>
            <w:tcW w:w="1310" w:type="dxa"/>
          </w:tcPr>
          <w:p w14:paraId="4BC12CC6" w14:textId="77777777" w:rsidR="00DA702B" w:rsidRPr="00DA702B" w:rsidRDefault="00DA702B" w:rsidP="00DA702B">
            <w:pPr>
              <w:rPr>
                <w:sz w:val="20"/>
                <w:szCs w:val="20"/>
              </w:rPr>
            </w:pPr>
          </w:p>
        </w:tc>
        <w:tc>
          <w:tcPr>
            <w:tcW w:w="1310" w:type="dxa"/>
          </w:tcPr>
          <w:p w14:paraId="4CDF8D15" w14:textId="77777777" w:rsidR="00DA702B" w:rsidRPr="00DA702B" w:rsidRDefault="00DA702B" w:rsidP="00DA702B">
            <w:pPr>
              <w:rPr>
                <w:sz w:val="20"/>
                <w:szCs w:val="20"/>
              </w:rPr>
            </w:pPr>
          </w:p>
        </w:tc>
      </w:tr>
      <w:tr w:rsidR="00DA702B" w:rsidRPr="00DA702B" w14:paraId="7E930401" w14:textId="77777777" w:rsidTr="00247007">
        <w:trPr>
          <w:cantSplit/>
          <w:trHeight w:val="346"/>
          <w:tblHeader/>
        </w:trPr>
        <w:tc>
          <w:tcPr>
            <w:tcW w:w="1308" w:type="dxa"/>
          </w:tcPr>
          <w:p w14:paraId="6AA3570A" w14:textId="77777777" w:rsidR="00DA702B" w:rsidRPr="00DA702B" w:rsidRDefault="00DA702B" w:rsidP="00DA702B">
            <w:pPr>
              <w:rPr>
                <w:sz w:val="20"/>
                <w:szCs w:val="20"/>
              </w:rPr>
            </w:pPr>
          </w:p>
        </w:tc>
        <w:tc>
          <w:tcPr>
            <w:tcW w:w="1309" w:type="dxa"/>
          </w:tcPr>
          <w:p w14:paraId="174EFB11" w14:textId="77777777" w:rsidR="00DA702B" w:rsidRPr="00DA702B" w:rsidRDefault="00DA702B" w:rsidP="00DA702B">
            <w:pPr>
              <w:rPr>
                <w:sz w:val="20"/>
                <w:szCs w:val="20"/>
              </w:rPr>
            </w:pPr>
          </w:p>
        </w:tc>
        <w:tc>
          <w:tcPr>
            <w:tcW w:w="1309" w:type="dxa"/>
          </w:tcPr>
          <w:p w14:paraId="4C028C3F" w14:textId="77777777" w:rsidR="00DA702B" w:rsidRPr="00DA702B" w:rsidRDefault="00DA702B" w:rsidP="00DA702B">
            <w:pPr>
              <w:rPr>
                <w:sz w:val="20"/>
                <w:szCs w:val="20"/>
              </w:rPr>
            </w:pPr>
          </w:p>
        </w:tc>
        <w:tc>
          <w:tcPr>
            <w:tcW w:w="1309" w:type="dxa"/>
          </w:tcPr>
          <w:p w14:paraId="18CB3B42" w14:textId="77777777" w:rsidR="00DA702B" w:rsidRPr="00DA702B" w:rsidRDefault="00DA702B" w:rsidP="00DA702B">
            <w:pPr>
              <w:rPr>
                <w:sz w:val="20"/>
                <w:szCs w:val="20"/>
              </w:rPr>
            </w:pPr>
          </w:p>
        </w:tc>
        <w:tc>
          <w:tcPr>
            <w:tcW w:w="1309" w:type="dxa"/>
          </w:tcPr>
          <w:p w14:paraId="47AD1BCF" w14:textId="77777777" w:rsidR="00DA702B" w:rsidRPr="00DA702B" w:rsidRDefault="00DA702B" w:rsidP="00DA702B">
            <w:pPr>
              <w:rPr>
                <w:sz w:val="20"/>
                <w:szCs w:val="20"/>
              </w:rPr>
            </w:pPr>
          </w:p>
        </w:tc>
        <w:tc>
          <w:tcPr>
            <w:tcW w:w="1309" w:type="dxa"/>
          </w:tcPr>
          <w:p w14:paraId="57109CF4" w14:textId="77777777" w:rsidR="00DA702B" w:rsidRPr="00DA702B" w:rsidRDefault="00DA702B" w:rsidP="00DA702B">
            <w:pPr>
              <w:rPr>
                <w:sz w:val="20"/>
                <w:szCs w:val="20"/>
              </w:rPr>
            </w:pPr>
          </w:p>
        </w:tc>
        <w:tc>
          <w:tcPr>
            <w:tcW w:w="1309" w:type="dxa"/>
          </w:tcPr>
          <w:p w14:paraId="336224CB" w14:textId="77777777" w:rsidR="00DA702B" w:rsidRPr="00DA702B" w:rsidRDefault="00DA702B" w:rsidP="00DA702B">
            <w:pPr>
              <w:rPr>
                <w:sz w:val="20"/>
                <w:szCs w:val="20"/>
              </w:rPr>
            </w:pPr>
          </w:p>
        </w:tc>
        <w:tc>
          <w:tcPr>
            <w:tcW w:w="1309" w:type="dxa"/>
          </w:tcPr>
          <w:p w14:paraId="572A45A7" w14:textId="77777777" w:rsidR="00DA702B" w:rsidRPr="00DA702B" w:rsidRDefault="00DA702B" w:rsidP="00DA702B">
            <w:pPr>
              <w:rPr>
                <w:sz w:val="20"/>
                <w:szCs w:val="20"/>
              </w:rPr>
            </w:pPr>
          </w:p>
        </w:tc>
        <w:tc>
          <w:tcPr>
            <w:tcW w:w="1309" w:type="dxa"/>
          </w:tcPr>
          <w:p w14:paraId="0BBF0391" w14:textId="77777777" w:rsidR="00DA702B" w:rsidRPr="00DA702B" w:rsidRDefault="00DA702B" w:rsidP="00DA702B">
            <w:pPr>
              <w:rPr>
                <w:sz w:val="20"/>
                <w:szCs w:val="20"/>
              </w:rPr>
            </w:pPr>
          </w:p>
        </w:tc>
        <w:tc>
          <w:tcPr>
            <w:tcW w:w="1310" w:type="dxa"/>
          </w:tcPr>
          <w:p w14:paraId="39F89ABB" w14:textId="77777777" w:rsidR="00DA702B" w:rsidRPr="00DA702B" w:rsidRDefault="00DA702B" w:rsidP="00DA702B">
            <w:pPr>
              <w:rPr>
                <w:sz w:val="20"/>
                <w:szCs w:val="20"/>
              </w:rPr>
            </w:pPr>
          </w:p>
        </w:tc>
        <w:tc>
          <w:tcPr>
            <w:tcW w:w="1310" w:type="dxa"/>
          </w:tcPr>
          <w:p w14:paraId="1154D599" w14:textId="77777777" w:rsidR="00DA702B" w:rsidRPr="00DA702B" w:rsidRDefault="00DA702B" w:rsidP="00DA702B">
            <w:pPr>
              <w:rPr>
                <w:sz w:val="20"/>
                <w:szCs w:val="20"/>
              </w:rPr>
            </w:pPr>
          </w:p>
        </w:tc>
      </w:tr>
    </w:tbl>
    <w:p w14:paraId="471DFECF" w14:textId="77777777" w:rsidR="00DA702B" w:rsidRPr="00DA702B" w:rsidRDefault="00DA702B" w:rsidP="00DA702B">
      <w:r w:rsidRPr="00DA702B">
        <w:br w:type="page"/>
      </w:r>
    </w:p>
    <w:p w14:paraId="64C5232A" w14:textId="77777777" w:rsidR="00DA702B" w:rsidRPr="00DA702B" w:rsidRDefault="00DA702B" w:rsidP="00A8093A">
      <w:pPr>
        <w:widowControl w:val="0"/>
        <w:jc w:val="center"/>
        <w:rPr>
          <w:rFonts w:eastAsiaTheme="majorEastAsia"/>
          <w:b/>
          <w:bCs/>
        </w:rPr>
      </w:pPr>
      <w:r w:rsidRPr="00DA702B">
        <w:rPr>
          <w:rFonts w:eastAsiaTheme="majorEastAsia"/>
          <w:b/>
          <w:bCs/>
        </w:rPr>
        <w:lastRenderedPageBreak/>
        <w:t>Boiler/Steam Generator/Steam Generating Unit Attributes</w:t>
      </w:r>
    </w:p>
    <w:p w14:paraId="79E2E589" w14:textId="77777777" w:rsidR="00DA702B" w:rsidRPr="00DA702B" w:rsidRDefault="00DA702B" w:rsidP="00A8093A">
      <w:pPr>
        <w:widowControl w:val="0"/>
        <w:jc w:val="center"/>
        <w:rPr>
          <w:rFonts w:eastAsiaTheme="majorEastAsia"/>
          <w:b/>
          <w:bCs/>
        </w:rPr>
      </w:pPr>
      <w:r w:rsidRPr="00DA702B">
        <w:rPr>
          <w:rFonts w:eastAsiaTheme="majorEastAsia"/>
          <w:b/>
          <w:bCs/>
        </w:rPr>
        <w:t>Form OP-UA6 (Page 20)</w:t>
      </w:r>
    </w:p>
    <w:p w14:paraId="108CAC76" w14:textId="77777777" w:rsidR="00DA702B" w:rsidRPr="00DA702B" w:rsidRDefault="00DA702B" w:rsidP="00A8093A">
      <w:pPr>
        <w:widowControl w:val="0"/>
        <w:jc w:val="center"/>
        <w:rPr>
          <w:rFonts w:eastAsiaTheme="majorEastAsia"/>
          <w:b/>
          <w:bCs/>
        </w:rPr>
      </w:pPr>
      <w:r w:rsidRPr="00DA702B">
        <w:rPr>
          <w:rFonts w:eastAsiaTheme="majorEastAsia"/>
          <w:b/>
          <w:bCs/>
        </w:rPr>
        <w:t>Federal Operating Permit Program</w:t>
      </w:r>
    </w:p>
    <w:p w14:paraId="7FC0EFB9" w14:textId="77777777" w:rsidR="00DA702B" w:rsidRPr="00DA702B" w:rsidRDefault="00DA702B" w:rsidP="00A8093A">
      <w:pPr>
        <w:widowControl w:val="0"/>
        <w:jc w:val="center"/>
        <w:rPr>
          <w:rFonts w:eastAsiaTheme="majorEastAsia"/>
          <w:b/>
          <w:bCs/>
        </w:rPr>
      </w:pPr>
      <w:bookmarkStart w:id="182" w:name="TBL_8b"/>
      <w:r w:rsidRPr="00DA702B">
        <w:rPr>
          <w:rFonts w:eastAsiaTheme="majorEastAsia"/>
          <w:b/>
          <w:bCs/>
        </w:rPr>
        <w:t>Table 8b</w:t>
      </w:r>
      <w:bookmarkEnd w:id="182"/>
      <w:r w:rsidRPr="00DA702B">
        <w:rPr>
          <w:rFonts w:eastAsiaTheme="majorEastAsia"/>
          <w:b/>
          <w:bCs/>
        </w:rPr>
        <w:t>:  Title 30 Texas Administrative Code Chapter 113 (30 TAC Chapter 113)</w:t>
      </w:r>
    </w:p>
    <w:p w14:paraId="27B989A4" w14:textId="77777777" w:rsidR="00DA702B" w:rsidRPr="00DA702B" w:rsidRDefault="00DA702B" w:rsidP="00A8093A">
      <w:pPr>
        <w:widowControl w:val="0"/>
        <w:jc w:val="center"/>
        <w:rPr>
          <w:rFonts w:eastAsiaTheme="majorEastAsia"/>
          <w:b/>
          <w:bCs/>
        </w:rPr>
      </w:pPr>
      <w:r w:rsidRPr="00DA702B">
        <w:rPr>
          <w:rFonts w:eastAsiaTheme="majorEastAsia"/>
          <w:b/>
          <w:bCs/>
        </w:rPr>
        <w:t>Subchapter D:  Hospital/Medical/Infections Waste Incinerators</w:t>
      </w:r>
    </w:p>
    <w:p w14:paraId="13E20EC1" w14:textId="77777777" w:rsidR="00DA702B" w:rsidRPr="00DA702B" w:rsidRDefault="00DA702B" w:rsidP="00593163">
      <w:pPr>
        <w:spacing w:after="360"/>
        <w:jc w:val="center"/>
        <w:outlineLvl w:val="0"/>
        <w:rPr>
          <w:b/>
          <w:bCs/>
        </w:rPr>
      </w:pPr>
      <w:r w:rsidRPr="00DA702B">
        <w:rPr>
          <w:b/>
          <w:bCs/>
        </w:rPr>
        <w:t>Texas Commission on Environmental Quality</w:t>
      </w:r>
    </w:p>
    <w:p w14:paraId="625CC21A"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8b:  Title 30 Texas Administrative Code Chapter 113 (30 TAC Chapter 113)&#10;Subchapter D:  Hospital/Medical/Infections Waste Incinerators&#10;"/>
      </w:tblPr>
      <w:tblGrid>
        <w:gridCol w:w="4800"/>
        <w:gridCol w:w="4800"/>
        <w:gridCol w:w="4800"/>
      </w:tblGrid>
      <w:tr w:rsidR="00DA702B" w:rsidRPr="00DA702B" w14:paraId="3460CE99" w14:textId="77777777" w:rsidTr="00247007">
        <w:trPr>
          <w:cantSplit/>
          <w:tblHeader/>
        </w:trPr>
        <w:tc>
          <w:tcPr>
            <w:tcW w:w="4800" w:type="dxa"/>
            <w:shd w:val="clear" w:color="auto" w:fill="D9D9D9" w:themeFill="background1" w:themeFillShade="D9"/>
          </w:tcPr>
          <w:p w14:paraId="1B8F3DEF"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6147AF2C"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1618116A"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52A95421" w14:textId="77777777" w:rsidTr="00247007">
        <w:trPr>
          <w:cantSplit/>
          <w:tblHeader/>
        </w:trPr>
        <w:tc>
          <w:tcPr>
            <w:tcW w:w="4800" w:type="dxa"/>
          </w:tcPr>
          <w:p w14:paraId="00E29B2D" w14:textId="77777777" w:rsidR="00DA702B" w:rsidRPr="00DA702B" w:rsidRDefault="00DA702B" w:rsidP="00DA702B">
            <w:pPr>
              <w:rPr>
                <w:rFonts w:asciiTheme="majorHAnsi" w:hAnsiTheme="majorHAnsi" w:cstheme="majorHAnsi"/>
              </w:rPr>
            </w:pPr>
          </w:p>
        </w:tc>
        <w:tc>
          <w:tcPr>
            <w:tcW w:w="4800" w:type="dxa"/>
          </w:tcPr>
          <w:p w14:paraId="1067CDCA" w14:textId="77777777" w:rsidR="00DA702B" w:rsidRPr="00DA702B" w:rsidRDefault="00DA702B" w:rsidP="00DA702B">
            <w:pPr>
              <w:rPr>
                <w:rFonts w:asciiTheme="majorHAnsi" w:hAnsiTheme="majorHAnsi" w:cstheme="majorHAnsi"/>
              </w:rPr>
            </w:pPr>
          </w:p>
        </w:tc>
        <w:tc>
          <w:tcPr>
            <w:tcW w:w="4800" w:type="dxa"/>
          </w:tcPr>
          <w:p w14:paraId="794E79F3" w14:textId="77777777" w:rsidR="00DA702B" w:rsidRPr="00DA702B" w:rsidRDefault="00DA702B" w:rsidP="00DA702B">
            <w:pPr>
              <w:rPr>
                <w:rFonts w:asciiTheme="majorHAnsi" w:hAnsiTheme="majorHAnsi" w:cstheme="majorHAnsi"/>
              </w:rPr>
            </w:pPr>
          </w:p>
        </w:tc>
      </w:tr>
    </w:tbl>
    <w:p w14:paraId="450D46FC"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8b:  Title 30 Texas Administrative Code Chapter 113 (30 TAC Chapter 113)&#10;Subchapter D:  Hospital/Medical/Infections Waste Incinerators&#10;"/>
      </w:tblPr>
      <w:tblGrid>
        <w:gridCol w:w="1600"/>
        <w:gridCol w:w="1600"/>
        <w:gridCol w:w="1600"/>
        <w:gridCol w:w="1600"/>
        <w:gridCol w:w="1600"/>
        <w:gridCol w:w="1600"/>
        <w:gridCol w:w="1600"/>
        <w:gridCol w:w="1600"/>
        <w:gridCol w:w="1600"/>
      </w:tblGrid>
      <w:tr w:rsidR="00DA702B" w:rsidRPr="00DA702B" w14:paraId="4D9DDD8E" w14:textId="77777777" w:rsidTr="00247007">
        <w:trPr>
          <w:cantSplit/>
          <w:tblHeader/>
        </w:trPr>
        <w:tc>
          <w:tcPr>
            <w:tcW w:w="1600" w:type="dxa"/>
            <w:shd w:val="clear" w:color="auto" w:fill="D9D9D9" w:themeFill="background1" w:themeFillShade="D9"/>
            <w:vAlign w:val="center"/>
          </w:tcPr>
          <w:p w14:paraId="296918F3" w14:textId="77777777" w:rsidR="00DA702B" w:rsidRPr="00DA702B" w:rsidRDefault="00DA702B" w:rsidP="00DA702B">
            <w:pPr>
              <w:jc w:val="center"/>
              <w:rPr>
                <w:sz w:val="20"/>
                <w:szCs w:val="20"/>
              </w:rPr>
            </w:pPr>
            <w:r w:rsidRPr="00DA702B">
              <w:rPr>
                <w:b/>
                <w:sz w:val="20"/>
                <w:szCs w:val="20"/>
              </w:rPr>
              <w:t>Unit ID No.</w:t>
            </w:r>
          </w:p>
        </w:tc>
        <w:tc>
          <w:tcPr>
            <w:tcW w:w="1600" w:type="dxa"/>
            <w:shd w:val="clear" w:color="auto" w:fill="D9D9D9" w:themeFill="background1" w:themeFillShade="D9"/>
            <w:vAlign w:val="center"/>
          </w:tcPr>
          <w:p w14:paraId="3FEEEF3B" w14:textId="77777777" w:rsidR="00DA702B" w:rsidRPr="00DA702B" w:rsidRDefault="00DA702B" w:rsidP="00DA702B">
            <w:pPr>
              <w:jc w:val="center"/>
              <w:rPr>
                <w:sz w:val="20"/>
                <w:szCs w:val="20"/>
              </w:rPr>
            </w:pPr>
            <w:r w:rsidRPr="00DA702B">
              <w:rPr>
                <w:b/>
                <w:sz w:val="20"/>
                <w:szCs w:val="20"/>
              </w:rPr>
              <w:t>SOP Index No.</w:t>
            </w:r>
          </w:p>
        </w:tc>
        <w:tc>
          <w:tcPr>
            <w:tcW w:w="1600" w:type="dxa"/>
            <w:shd w:val="clear" w:color="auto" w:fill="D9D9D9" w:themeFill="background1" w:themeFillShade="D9"/>
            <w:vAlign w:val="center"/>
          </w:tcPr>
          <w:p w14:paraId="4C5C72D0" w14:textId="77777777" w:rsidR="00DA702B" w:rsidRPr="00DA702B" w:rsidRDefault="00DA702B" w:rsidP="00DA702B">
            <w:pPr>
              <w:jc w:val="center"/>
              <w:rPr>
                <w:sz w:val="20"/>
                <w:szCs w:val="20"/>
              </w:rPr>
            </w:pPr>
            <w:r w:rsidRPr="00DA702B">
              <w:rPr>
                <w:b/>
                <w:sz w:val="20"/>
                <w:szCs w:val="20"/>
              </w:rPr>
              <w:t>Commercial Unit</w:t>
            </w:r>
          </w:p>
        </w:tc>
        <w:tc>
          <w:tcPr>
            <w:tcW w:w="1600" w:type="dxa"/>
            <w:shd w:val="clear" w:color="auto" w:fill="D9D9D9" w:themeFill="background1" w:themeFillShade="D9"/>
            <w:vAlign w:val="center"/>
          </w:tcPr>
          <w:p w14:paraId="11AD813D" w14:textId="77777777" w:rsidR="00DA702B" w:rsidRPr="00DA702B" w:rsidRDefault="00DA702B" w:rsidP="00DA702B">
            <w:pPr>
              <w:jc w:val="center"/>
              <w:rPr>
                <w:sz w:val="20"/>
                <w:szCs w:val="20"/>
              </w:rPr>
            </w:pPr>
            <w:r w:rsidRPr="00DA702B">
              <w:rPr>
                <w:b/>
                <w:sz w:val="20"/>
                <w:szCs w:val="20"/>
              </w:rPr>
              <w:t>CO Monitoring</w:t>
            </w:r>
          </w:p>
        </w:tc>
        <w:tc>
          <w:tcPr>
            <w:tcW w:w="1600" w:type="dxa"/>
            <w:shd w:val="clear" w:color="auto" w:fill="D9D9D9" w:themeFill="background1" w:themeFillShade="D9"/>
            <w:vAlign w:val="center"/>
          </w:tcPr>
          <w:p w14:paraId="4843B54F" w14:textId="77777777" w:rsidR="00DA702B" w:rsidRPr="00DA702B" w:rsidRDefault="00DA702B" w:rsidP="00DA702B">
            <w:pPr>
              <w:jc w:val="center"/>
              <w:rPr>
                <w:b/>
                <w:sz w:val="20"/>
                <w:szCs w:val="20"/>
              </w:rPr>
            </w:pPr>
            <w:r w:rsidRPr="00DA702B">
              <w:rPr>
                <w:b/>
                <w:sz w:val="20"/>
                <w:szCs w:val="20"/>
              </w:rPr>
              <w:t>Approved Equivalent</w:t>
            </w:r>
          </w:p>
          <w:p w14:paraId="688F81B8" w14:textId="77777777" w:rsidR="00DA702B" w:rsidRPr="00DA702B" w:rsidRDefault="00DA702B" w:rsidP="00DA702B">
            <w:pPr>
              <w:jc w:val="center"/>
              <w:rPr>
                <w:sz w:val="20"/>
                <w:szCs w:val="20"/>
              </w:rPr>
            </w:pPr>
            <w:r w:rsidRPr="00DA702B">
              <w:rPr>
                <w:b/>
                <w:sz w:val="20"/>
                <w:szCs w:val="20"/>
              </w:rPr>
              <w:t>ID No.</w:t>
            </w:r>
          </w:p>
        </w:tc>
        <w:tc>
          <w:tcPr>
            <w:tcW w:w="1600" w:type="dxa"/>
            <w:shd w:val="clear" w:color="auto" w:fill="D9D9D9" w:themeFill="background1" w:themeFillShade="D9"/>
            <w:vAlign w:val="center"/>
          </w:tcPr>
          <w:p w14:paraId="647070DE" w14:textId="77777777" w:rsidR="00DA702B" w:rsidRPr="00DA702B" w:rsidRDefault="00DA702B" w:rsidP="00DA702B">
            <w:pPr>
              <w:jc w:val="center"/>
              <w:rPr>
                <w:sz w:val="20"/>
                <w:szCs w:val="20"/>
              </w:rPr>
            </w:pPr>
            <w:r w:rsidRPr="00DA702B">
              <w:rPr>
                <w:b/>
                <w:sz w:val="20"/>
                <w:szCs w:val="20"/>
              </w:rPr>
              <w:t>Dioxins/ Furans CEMS</w:t>
            </w:r>
          </w:p>
        </w:tc>
        <w:tc>
          <w:tcPr>
            <w:tcW w:w="1600" w:type="dxa"/>
            <w:shd w:val="clear" w:color="auto" w:fill="D9D9D9" w:themeFill="background1" w:themeFillShade="D9"/>
            <w:vAlign w:val="center"/>
          </w:tcPr>
          <w:p w14:paraId="48A6EC9C" w14:textId="77777777" w:rsidR="00DA702B" w:rsidRPr="00DA702B" w:rsidRDefault="00DA702B" w:rsidP="00DA702B">
            <w:pPr>
              <w:jc w:val="center"/>
              <w:rPr>
                <w:sz w:val="20"/>
                <w:szCs w:val="20"/>
              </w:rPr>
            </w:pPr>
            <w:r w:rsidRPr="00DA702B">
              <w:rPr>
                <w:b/>
                <w:sz w:val="20"/>
                <w:szCs w:val="20"/>
              </w:rPr>
              <w:t>Toxic Equivalent Method</w:t>
            </w:r>
          </w:p>
        </w:tc>
        <w:tc>
          <w:tcPr>
            <w:tcW w:w="1600" w:type="dxa"/>
            <w:shd w:val="clear" w:color="auto" w:fill="D9D9D9" w:themeFill="background1" w:themeFillShade="D9"/>
            <w:vAlign w:val="center"/>
          </w:tcPr>
          <w:p w14:paraId="46CFEF18" w14:textId="77777777" w:rsidR="00DA702B" w:rsidRPr="00DA702B" w:rsidRDefault="00DA702B" w:rsidP="00DA702B">
            <w:pPr>
              <w:jc w:val="center"/>
              <w:rPr>
                <w:sz w:val="20"/>
                <w:szCs w:val="20"/>
              </w:rPr>
            </w:pPr>
            <w:r w:rsidRPr="00DA702B">
              <w:rPr>
                <w:b/>
                <w:sz w:val="20"/>
                <w:szCs w:val="20"/>
              </w:rPr>
              <w:t>HCL CEMS</w:t>
            </w:r>
          </w:p>
        </w:tc>
        <w:tc>
          <w:tcPr>
            <w:tcW w:w="1600" w:type="dxa"/>
            <w:shd w:val="clear" w:color="auto" w:fill="D9D9D9" w:themeFill="background1" w:themeFillShade="D9"/>
            <w:vAlign w:val="center"/>
          </w:tcPr>
          <w:p w14:paraId="32143E11" w14:textId="77777777" w:rsidR="00DA702B" w:rsidRPr="00DA702B" w:rsidRDefault="00DA702B" w:rsidP="00DA702B">
            <w:pPr>
              <w:jc w:val="center"/>
              <w:rPr>
                <w:sz w:val="20"/>
                <w:szCs w:val="20"/>
              </w:rPr>
            </w:pPr>
            <w:r w:rsidRPr="00DA702B">
              <w:rPr>
                <w:b/>
                <w:sz w:val="20"/>
                <w:szCs w:val="20"/>
              </w:rPr>
              <w:t>HCL Percentage Reduction Method</w:t>
            </w:r>
          </w:p>
        </w:tc>
      </w:tr>
      <w:tr w:rsidR="00DA702B" w:rsidRPr="00DA702B" w14:paraId="2188277A" w14:textId="77777777" w:rsidTr="00247007">
        <w:trPr>
          <w:cantSplit/>
          <w:trHeight w:val="346"/>
          <w:tblHeader/>
        </w:trPr>
        <w:tc>
          <w:tcPr>
            <w:tcW w:w="1600" w:type="dxa"/>
          </w:tcPr>
          <w:p w14:paraId="3C496016" w14:textId="77777777" w:rsidR="00DA702B" w:rsidRPr="00DA702B" w:rsidRDefault="00DA702B" w:rsidP="00DA702B">
            <w:pPr>
              <w:rPr>
                <w:sz w:val="20"/>
                <w:szCs w:val="20"/>
              </w:rPr>
            </w:pPr>
          </w:p>
        </w:tc>
        <w:tc>
          <w:tcPr>
            <w:tcW w:w="1600" w:type="dxa"/>
          </w:tcPr>
          <w:p w14:paraId="65F7FB1D" w14:textId="77777777" w:rsidR="00DA702B" w:rsidRPr="00DA702B" w:rsidRDefault="00DA702B" w:rsidP="00DA702B">
            <w:pPr>
              <w:rPr>
                <w:sz w:val="20"/>
                <w:szCs w:val="20"/>
              </w:rPr>
            </w:pPr>
          </w:p>
        </w:tc>
        <w:tc>
          <w:tcPr>
            <w:tcW w:w="1600" w:type="dxa"/>
          </w:tcPr>
          <w:p w14:paraId="7569808B" w14:textId="77777777" w:rsidR="00DA702B" w:rsidRPr="00DA702B" w:rsidRDefault="00DA702B" w:rsidP="00DA702B">
            <w:pPr>
              <w:rPr>
                <w:sz w:val="20"/>
                <w:szCs w:val="20"/>
              </w:rPr>
            </w:pPr>
          </w:p>
        </w:tc>
        <w:tc>
          <w:tcPr>
            <w:tcW w:w="1600" w:type="dxa"/>
          </w:tcPr>
          <w:p w14:paraId="6B753BBF" w14:textId="77777777" w:rsidR="00DA702B" w:rsidRPr="00DA702B" w:rsidRDefault="00DA702B" w:rsidP="00DA702B">
            <w:pPr>
              <w:rPr>
                <w:sz w:val="20"/>
                <w:szCs w:val="20"/>
              </w:rPr>
            </w:pPr>
          </w:p>
        </w:tc>
        <w:tc>
          <w:tcPr>
            <w:tcW w:w="1600" w:type="dxa"/>
          </w:tcPr>
          <w:p w14:paraId="0B81F3EB" w14:textId="77777777" w:rsidR="00DA702B" w:rsidRPr="00DA702B" w:rsidRDefault="00DA702B" w:rsidP="00DA702B">
            <w:pPr>
              <w:rPr>
                <w:sz w:val="20"/>
                <w:szCs w:val="20"/>
              </w:rPr>
            </w:pPr>
          </w:p>
        </w:tc>
        <w:tc>
          <w:tcPr>
            <w:tcW w:w="1600" w:type="dxa"/>
          </w:tcPr>
          <w:p w14:paraId="137736A5" w14:textId="77777777" w:rsidR="00DA702B" w:rsidRPr="00DA702B" w:rsidRDefault="00DA702B" w:rsidP="00DA702B">
            <w:pPr>
              <w:rPr>
                <w:sz w:val="20"/>
                <w:szCs w:val="20"/>
              </w:rPr>
            </w:pPr>
          </w:p>
        </w:tc>
        <w:tc>
          <w:tcPr>
            <w:tcW w:w="1600" w:type="dxa"/>
          </w:tcPr>
          <w:p w14:paraId="5F781B3A" w14:textId="77777777" w:rsidR="00DA702B" w:rsidRPr="00DA702B" w:rsidRDefault="00DA702B" w:rsidP="00DA702B">
            <w:pPr>
              <w:rPr>
                <w:sz w:val="20"/>
                <w:szCs w:val="20"/>
              </w:rPr>
            </w:pPr>
          </w:p>
        </w:tc>
        <w:tc>
          <w:tcPr>
            <w:tcW w:w="1600" w:type="dxa"/>
          </w:tcPr>
          <w:p w14:paraId="1DB95E42" w14:textId="77777777" w:rsidR="00DA702B" w:rsidRPr="00DA702B" w:rsidRDefault="00DA702B" w:rsidP="00DA702B">
            <w:pPr>
              <w:rPr>
                <w:sz w:val="20"/>
                <w:szCs w:val="20"/>
              </w:rPr>
            </w:pPr>
          </w:p>
        </w:tc>
        <w:tc>
          <w:tcPr>
            <w:tcW w:w="1600" w:type="dxa"/>
          </w:tcPr>
          <w:p w14:paraId="6B61C9D0" w14:textId="77777777" w:rsidR="00DA702B" w:rsidRPr="00DA702B" w:rsidRDefault="00DA702B" w:rsidP="00DA702B">
            <w:pPr>
              <w:rPr>
                <w:sz w:val="20"/>
                <w:szCs w:val="20"/>
              </w:rPr>
            </w:pPr>
          </w:p>
        </w:tc>
      </w:tr>
      <w:tr w:rsidR="00DA702B" w:rsidRPr="00DA702B" w14:paraId="03E79D12" w14:textId="77777777" w:rsidTr="00247007">
        <w:trPr>
          <w:cantSplit/>
          <w:trHeight w:val="346"/>
          <w:tblHeader/>
        </w:trPr>
        <w:tc>
          <w:tcPr>
            <w:tcW w:w="1600" w:type="dxa"/>
          </w:tcPr>
          <w:p w14:paraId="7F5F30FC" w14:textId="77777777" w:rsidR="00DA702B" w:rsidRPr="00DA702B" w:rsidRDefault="00DA702B" w:rsidP="00DA702B">
            <w:pPr>
              <w:rPr>
                <w:sz w:val="20"/>
                <w:szCs w:val="20"/>
              </w:rPr>
            </w:pPr>
          </w:p>
        </w:tc>
        <w:tc>
          <w:tcPr>
            <w:tcW w:w="1600" w:type="dxa"/>
          </w:tcPr>
          <w:p w14:paraId="01E72032" w14:textId="77777777" w:rsidR="00DA702B" w:rsidRPr="00DA702B" w:rsidRDefault="00DA702B" w:rsidP="00DA702B">
            <w:pPr>
              <w:rPr>
                <w:sz w:val="20"/>
                <w:szCs w:val="20"/>
              </w:rPr>
            </w:pPr>
          </w:p>
        </w:tc>
        <w:tc>
          <w:tcPr>
            <w:tcW w:w="1600" w:type="dxa"/>
          </w:tcPr>
          <w:p w14:paraId="1ACAE054" w14:textId="77777777" w:rsidR="00DA702B" w:rsidRPr="00DA702B" w:rsidRDefault="00DA702B" w:rsidP="00DA702B">
            <w:pPr>
              <w:rPr>
                <w:sz w:val="20"/>
                <w:szCs w:val="20"/>
              </w:rPr>
            </w:pPr>
          </w:p>
        </w:tc>
        <w:tc>
          <w:tcPr>
            <w:tcW w:w="1600" w:type="dxa"/>
          </w:tcPr>
          <w:p w14:paraId="740CB8E7" w14:textId="77777777" w:rsidR="00DA702B" w:rsidRPr="00DA702B" w:rsidRDefault="00DA702B" w:rsidP="00DA702B">
            <w:pPr>
              <w:rPr>
                <w:sz w:val="20"/>
                <w:szCs w:val="20"/>
              </w:rPr>
            </w:pPr>
          </w:p>
        </w:tc>
        <w:tc>
          <w:tcPr>
            <w:tcW w:w="1600" w:type="dxa"/>
          </w:tcPr>
          <w:p w14:paraId="271E6437" w14:textId="77777777" w:rsidR="00DA702B" w:rsidRPr="00DA702B" w:rsidRDefault="00DA702B" w:rsidP="00DA702B">
            <w:pPr>
              <w:rPr>
                <w:sz w:val="20"/>
                <w:szCs w:val="20"/>
              </w:rPr>
            </w:pPr>
          </w:p>
        </w:tc>
        <w:tc>
          <w:tcPr>
            <w:tcW w:w="1600" w:type="dxa"/>
          </w:tcPr>
          <w:p w14:paraId="53F753D7" w14:textId="77777777" w:rsidR="00DA702B" w:rsidRPr="00DA702B" w:rsidRDefault="00DA702B" w:rsidP="00DA702B">
            <w:pPr>
              <w:rPr>
                <w:sz w:val="20"/>
                <w:szCs w:val="20"/>
              </w:rPr>
            </w:pPr>
          </w:p>
        </w:tc>
        <w:tc>
          <w:tcPr>
            <w:tcW w:w="1600" w:type="dxa"/>
          </w:tcPr>
          <w:p w14:paraId="52585258" w14:textId="77777777" w:rsidR="00DA702B" w:rsidRPr="00DA702B" w:rsidRDefault="00DA702B" w:rsidP="00DA702B">
            <w:pPr>
              <w:rPr>
                <w:sz w:val="20"/>
                <w:szCs w:val="20"/>
              </w:rPr>
            </w:pPr>
          </w:p>
        </w:tc>
        <w:tc>
          <w:tcPr>
            <w:tcW w:w="1600" w:type="dxa"/>
          </w:tcPr>
          <w:p w14:paraId="215BE1BF" w14:textId="77777777" w:rsidR="00DA702B" w:rsidRPr="00DA702B" w:rsidRDefault="00DA702B" w:rsidP="00DA702B">
            <w:pPr>
              <w:rPr>
                <w:sz w:val="20"/>
                <w:szCs w:val="20"/>
              </w:rPr>
            </w:pPr>
          </w:p>
        </w:tc>
        <w:tc>
          <w:tcPr>
            <w:tcW w:w="1600" w:type="dxa"/>
          </w:tcPr>
          <w:p w14:paraId="5CF025D1" w14:textId="77777777" w:rsidR="00DA702B" w:rsidRPr="00DA702B" w:rsidRDefault="00DA702B" w:rsidP="00DA702B">
            <w:pPr>
              <w:rPr>
                <w:sz w:val="20"/>
                <w:szCs w:val="20"/>
              </w:rPr>
            </w:pPr>
          </w:p>
        </w:tc>
      </w:tr>
      <w:tr w:rsidR="00DA702B" w:rsidRPr="00DA702B" w14:paraId="2ADFB5FE" w14:textId="77777777" w:rsidTr="00247007">
        <w:trPr>
          <w:cantSplit/>
          <w:trHeight w:val="346"/>
          <w:tblHeader/>
        </w:trPr>
        <w:tc>
          <w:tcPr>
            <w:tcW w:w="1600" w:type="dxa"/>
          </w:tcPr>
          <w:p w14:paraId="67815C5B" w14:textId="77777777" w:rsidR="00DA702B" w:rsidRPr="00DA702B" w:rsidRDefault="00DA702B" w:rsidP="00DA702B">
            <w:pPr>
              <w:rPr>
                <w:sz w:val="20"/>
                <w:szCs w:val="20"/>
              </w:rPr>
            </w:pPr>
          </w:p>
        </w:tc>
        <w:tc>
          <w:tcPr>
            <w:tcW w:w="1600" w:type="dxa"/>
          </w:tcPr>
          <w:p w14:paraId="68C0FE53" w14:textId="77777777" w:rsidR="00DA702B" w:rsidRPr="00DA702B" w:rsidRDefault="00DA702B" w:rsidP="00DA702B">
            <w:pPr>
              <w:rPr>
                <w:sz w:val="20"/>
                <w:szCs w:val="20"/>
              </w:rPr>
            </w:pPr>
          </w:p>
        </w:tc>
        <w:tc>
          <w:tcPr>
            <w:tcW w:w="1600" w:type="dxa"/>
          </w:tcPr>
          <w:p w14:paraId="4EE9AC3D" w14:textId="77777777" w:rsidR="00DA702B" w:rsidRPr="00DA702B" w:rsidRDefault="00DA702B" w:rsidP="00DA702B">
            <w:pPr>
              <w:rPr>
                <w:sz w:val="20"/>
                <w:szCs w:val="20"/>
              </w:rPr>
            </w:pPr>
          </w:p>
        </w:tc>
        <w:tc>
          <w:tcPr>
            <w:tcW w:w="1600" w:type="dxa"/>
          </w:tcPr>
          <w:p w14:paraId="75818430" w14:textId="77777777" w:rsidR="00DA702B" w:rsidRPr="00DA702B" w:rsidRDefault="00DA702B" w:rsidP="00DA702B">
            <w:pPr>
              <w:rPr>
                <w:sz w:val="20"/>
                <w:szCs w:val="20"/>
              </w:rPr>
            </w:pPr>
          </w:p>
        </w:tc>
        <w:tc>
          <w:tcPr>
            <w:tcW w:w="1600" w:type="dxa"/>
          </w:tcPr>
          <w:p w14:paraId="04B91216" w14:textId="77777777" w:rsidR="00DA702B" w:rsidRPr="00DA702B" w:rsidRDefault="00DA702B" w:rsidP="00DA702B">
            <w:pPr>
              <w:rPr>
                <w:sz w:val="20"/>
                <w:szCs w:val="20"/>
              </w:rPr>
            </w:pPr>
          </w:p>
        </w:tc>
        <w:tc>
          <w:tcPr>
            <w:tcW w:w="1600" w:type="dxa"/>
          </w:tcPr>
          <w:p w14:paraId="4AF79827" w14:textId="77777777" w:rsidR="00DA702B" w:rsidRPr="00DA702B" w:rsidRDefault="00DA702B" w:rsidP="00DA702B">
            <w:pPr>
              <w:rPr>
                <w:sz w:val="20"/>
                <w:szCs w:val="20"/>
              </w:rPr>
            </w:pPr>
          </w:p>
        </w:tc>
        <w:tc>
          <w:tcPr>
            <w:tcW w:w="1600" w:type="dxa"/>
          </w:tcPr>
          <w:p w14:paraId="1794F8EC" w14:textId="77777777" w:rsidR="00DA702B" w:rsidRPr="00DA702B" w:rsidRDefault="00DA702B" w:rsidP="00DA702B">
            <w:pPr>
              <w:rPr>
                <w:sz w:val="20"/>
                <w:szCs w:val="20"/>
              </w:rPr>
            </w:pPr>
          </w:p>
        </w:tc>
        <w:tc>
          <w:tcPr>
            <w:tcW w:w="1600" w:type="dxa"/>
          </w:tcPr>
          <w:p w14:paraId="491E26AA" w14:textId="77777777" w:rsidR="00DA702B" w:rsidRPr="00DA702B" w:rsidRDefault="00DA702B" w:rsidP="00DA702B">
            <w:pPr>
              <w:rPr>
                <w:sz w:val="20"/>
                <w:szCs w:val="20"/>
              </w:rPr>
            </w:pPr>
          </w:p>
        </w:tc>
        <w:tc>
          <w:tcPr>
            <w:tcW w:w="1600" w:type="dxa"/>
          </w:tcPr>
          <w:p w14:paraId="24BE12B0" w14:textId="77777777" w:rsidR="00DA702B" w:rsidRPr="00DA702B" w:rsidRDefault="00DA702B" w:rsidP="00DA702B">
            <w:pPr>
              <w:rPr>
                <w:sz w:val="20"/>
                <w:szCs w:val="20"/>
              </w:rPr>
            </w:pPr>
          </w:p>
        </w:tc>
      </w:tr>
      <w:tr w:rsidR="00DA702B" w:rsidRPr="00DA702B" w14:paraId="1D133D6C" w14:textId="77777777" w:rsidTr="00247007">
        <w:trPr>
          <w:cantSplit/>
          <w:trHeight w:val="346"/>
          <w:tblHeader/>
        </w:trPr>
        <w:tc>
          <w:tcPr>
            <w:tcW w:w="1600" w:type="dxa"/>
          </w:tcPr>
          <w:p w14:paraId="635592C2" w14:textId="77777777" w:rsidR="00DA702B" w:rsidRPr="00DA702B" w:rsidRDefault="00DA702B" w:rsidP="00DA702B">
            <w:pPr>
              <w:rPr>
                <w:sz w:val="20"/>
                <w:szCs w:val="20"/>
              </w:rPr>
            </w:pPr>
          </w:p>
        </w:tc>
        <w:tc>
          <w:tcPr>
            <w:tcW w:w="1600" w:type="dxa"/>
          </w:tcPr>
          <w:p w14:paraId="64EC133C" w14:textId="77777777" w:rsidR="00DA702B" w:rsidRPr="00DA702B" w:rsidRDefault="00DA702B" w:rsidP="00DA702B">
            <w:pPr>
              <w:rPr>
                <w:sz w:val="20"/>
                <w:szCs w:val="20"/>
              </w:rPr>
            </w:pPr>
          </w:p>
        </w:tc>
        <w:tc>
          <w:tcPr>
            <w:tcW w:w="1600" w:type="dxa"/>
          </w:tcPr>
          <w:p w14:paraId="4FAAE12D" w14:textId="77777777" w:rsidR="00DA702B" w:rsidRPr="00DA702B" w:rsidRDefault="00DA702B" w:rsidP="00DA702B">
            <w:pPr>
              <w:rPr>
                <w:sz w:val="20"/>
                <w:szCs w:val="20"/>
              </w:rPr>
            </w:pPr>
          </w:p>
        </w:tc>
        <w:tc>
          <w:tcPr>
            <w:tcW w:w="1600" w:type="dxa"/>
          </w:tcPr>
          <w:p w14:paraId="698D6944" w14:textId="77777777" w:rsidR="00DA702B" w:rsidRPr="00DA702B" w:rsidRDefault="00DA702B" w:rsidP="00DA702B">
            <w:pPr>
              <w:rPr>
                <w:sz w:val="20"/>
                <w:szCs w:val="20"/>
              </w:rPr>
            </w:pPr>
          </w:p>
        </w:tc>
        <w:tc>
          <w:tcPr>
            <w:tcW w:w="1600" w:type="dxa"/>
          </w:tcPr>
          <w:p w14:paraId="710C4173" w14:textId="77777777" w:rsidR="00DA702B" w:rsidRPr="00DA702B" w:rsidRDefault="00DA702B" w:rsidP="00DA702B">
            <w:pPr>
              <w:rPr>
                <w:sz w:val="20"/>
                <w:szCs w:val="20"/>
              </w:rPr>
            </w:pPr>
          </w:p>
        </w:tc>
        <w:tc>
          <w:tcPr>
            <w:tcW w:w="1600" w:type="dxa"/>
          </w:tcPr>
          <w:p w14:paraId="7E37BA41" w14:textId="77777777" w:rsidR="00DA702B" w:rsidRPr="00DA702B" w:rsidRDefault="00DA702B" w:rsidP="00DA702B">
            <w:pPr>
              <w:rPr>
                <w:sz w:val="20"/>
                <w:szCs w:val="20"/>
              </w:rPr>
            </w:pPr>
          </w:p>
        </w:tc>
        <w:tc>
          <w:tcPr>
            <w:tcW w:w="1600" w:type="dxa"/>
          </w:tcPr>
          <w:p w14:paraId="3AF15BF4" w14:textId="77777777" w:rsidR="00DA702B" w:rsidRPr="00DA702B" w:rsidRDefault="00DA702B" w:rsidP="00DA702B">
            <w:pPr>
              <w:rPr>
                <w:sz w:val="20"/>
                <w:szCs w:val="20"/>
              </w:rPr>
            </w:pPr>
          </w:p>
        </w:tc>
        <w:tc>
          <w:tcPr>
            <w:tcW w:w="1600" w:type="dxa"/>
          </w:tcPr>
          <w:p w14:paraId="586181B8" w14:textId="77777777" w:rsidR="00DA702B" w:rsidRPr="00DA702B" w:rsidRDefault="00DA702B" w:rsidP="00DA702B">
            <w:pPr>
              <w:rPr>
                <w:sz w:val="20"/>
                <w:szCs w:val="20"/>
              </w:rPr>
            </w:pPr>
          </w:p>
        </w:tc>
        <w:tc>
          <w:tcPr>
            <w:tcW w:w="1600" w:type="dxa"/>
          </w:tcPr>
          <w:p w14:paraId="2FBA6722" w14:textId="77777777" w:rsidR="00DA702B" w:rsidRPr="00DA702B" w:rsidRDefault="00DA702B" w:rsidP="00DA702B">
            <w:pPr>
              <w:rPr>
                <w:sz w:val="20"/>
                <w:szCs w:val="20"/>
              </w:rPr>
            </w:pPr>
          </w:p>
        </w:tc>
      </w:tr>
      <w:tr w:rsidR="00DA702B" w:rsidRPr="00DA702B" w14:paraId="1A169C55" w14:textId="77777777" w:rsidTr="00247007">
        <w:trPr>
          <w:cantSplit/>
          <w:trHeight w:val="346"/>
          <w:tblHeader/>
        </w:trPr>
        <w:tc>
          <w:tcPr>
            <w:tcW w:w="1600" w:type="dxa"/>
          </w:tcPr>
          <w:p w14:paraId="06282950" w14:textId="77777777" w:rsidR="00DA702B" w:rsidRPr="00DA702B" w:rsidRDefault="00DA702B" w:rsidP="00DA702B">
            <w:pPr>
              <w:rPr>
                <w:sz w:val="20"/>
                <w:szCs w:val="20"/>
              </w:rPr>
            </w:pPr>
          </w:p>
        </w:tc>
        <w:tc>
          <w:tcPr>
            <w:tcW w:w="1600" w:type="dxa"/>
          </w:tcPr>
          <w:p w14:paraId="4DC583B4" w14:textId="77777777" w:rsidR="00DA702B" w:rsidRPr="00DA702B" w:rsidRDefault="00DA702B" w:rsidP="00DA702B">
            <w:pPr>
              <w:rPr>
                <w:sz w:val="20"/>
                <w:szCs w:val="20"/>
              </w:rPr>
            </w:pPr>
          </w:p>
        </w:tc>
        <w:tc>
          <w:tcPr>
            <w:tcW w:w="1600" w:type="dxa"/>
          </w:tcPr>
          <w:p w14:paraId="2D5A7F96" w14:textId="77777777" w:rsidR="00DA702B" w:rsidRPr="00DA702B" w:rsidRDefault="00DA702B" w:rsidP="00DA702B">
            <w:pPr>
              <w:rPr>
                <w:sz w:val="20"/>
                <w:szCs w:val="20"/>
              </w:rPr>
            </w:pPr>
          </w:p>
        </w:tc>
        <w:tc>
          <w:tcPr>
            <w:tcW w:w="1600" w:type="dxa"/>
          </w:tcPr>
          <w:p w14:paraId="03DD6640" w14:textId="77777777" w:rsidR="00DA702B" w:rsidRPr="00DA702B" w:rsidRDefault="00DA702B" w:rsidP="00DA702B">
            <w:pPr>
              <w:rPr>
                <w:sz w:val="20"/>
                <w:szCs w:val="20"/>
              </w:rPr>
            </w:pPr>
          </w:p>
        </w:tc>
        <w:tc>
          <w:tcPr>
            <w:tcW w:w="1600" w:type="dxa"/>
          </w:tcPr>
          <w:p w14:paraId="5FA86709" w14:textId="77777777" w:rsidR="00DA702B" w:rsidRPr="00DA702B" w:rsidRDefault="00DA702B" w:rsidP="00DA702B">
            <w:pPr>
              <w:rPr>
                <w:sz w:val="20"/>
                <w:szCs w:val="20"/>
              </w:rPr>
            </w:pPr>
          </w:p>
        </w:tc>
        <w:tc>
          <w:tcPr>
            <w:tcW w:w="1600" w:type="dxa"/>
          </w:tcPr>
          <w:p w14:paraId="5A85B08A" w14:textId="77777777" w:rsidR="00DA702B" w:rsidRPr="00DA702B" w:rsidRDefault="00DA702B" w:rsidP="00DA702B">
            <w:pPr>
              <w:rPr>
                <w:sz w:val="20"/>
                <w:szCs w:val="20"/>
              </w:rPr>
            </w:pPr>
          </w:p>
        </w:tc>
        <w:tc>
          <w:tcPr>
            <w:tcW w:w="1600" w:type="dxa"/>
          </w:tcPr>
          <w:p w14:paraId="55D28A07" w14:textId="77777777" w:rsidR="00DA702B" w:rsidRPr="00DA702B" w:rsidRDefault="00DA702B" w:rsidP="00DA702B">
            <w:pPr>
              <w:rPr>
                <w:sz w:val="20"/>
                <w:szCs w:val="20"/>
              </w:rPr>
            </w:pPr>
          </w:p>
        </w:tc>
        <w:tc>
          <w:tcPr>
            <w:tcW w:w="1600" w:type="dxa"/>
          </w:tcPr>
          <w:p w14:paraId="09061DF7" w14:textId="77777777" w:rsidR="00DA702B" w:rsidRPr="00DA702B" w:rsidRDefault="00DA702B" w:rsidP="00DA702B">
            <w:pPr>
              <w:rPr>
                <w:sz w:val="20"/>
                <w:szCs w:val="20"/>
              </w:rPr>
            </w:pPr>
          </w:p>
        </w:tc>
        <w:tc>
          <w:tcPr>
            <w:tcW w:w="1600" w:type="dxa"/>
          </w:tcPr>
          <w:p w14:paraId="4AB84407" w14:textId="77777777" w:rsidR="00DA702B" w:rsidRPr="00DA702B" w:rsidRDefault="00DA702B" w:rsidP="00DA702B">
            <w:pPr>
              <w:rPr>
                <w:sz w:val="20"/>
                <w:szCs w:val="20"/>
              </w:rPr>
            </w:pPr>
          </w:p>
        </w:tc>
      </w:tr>
      <w:tr w:rsidR="00DA702B" w:rsidRPr="00DA702B" w14:paraId="02EA659F" w14:textId="77777777" w:rsidTr="00247007">
        <w:trPr>
          <w:cantSplit/>
          <w:trHeight w:val="346"/>
          <w:tblHeader/>
        </w:trPr>
        <w:tc>
          <w:tcPr>
            <w:tcW w:w="1600" w:type="dxa"/>
          </w:tcPr>
          <w:p w14:paraId="70782FE9" w14:textId="77777777" w:rsidR="00DA702B" w:rsidRPr="00DA702B" w:rsidRDefault="00DA702B" w:rsidP="00DA702B">
            <w:pPr>
              <w:rPr>
                <w:sz w:val="20"/>
                <w:szCs w:val="20"/>
              </w:rPr>
            </w:pPr>
          </w:p>
        </w:tc>
        <w:tc>
          <w:tcPr>
            <w:tcW w:w="1600" w:type="dxa"/>
          </w:tcPr>
          <w:p w14:paraId="4DD2DEFA" w14:textId="77777777" w:rsidR="00DA702B" w:rsidRPr="00DA702B" w:rsidRDefault="00DA702B" w:rsidP="00DA702B">
            <w:pPr>
              <w:rPr>
                <w:sz w:val="20"/>
                <w:szCs w:val="20"/>
              </w:rPr>
            </w:pPr>
          </w:p>
        </w:tc>
        <w:tc>
          <w:tcPr>
            <w:tcW w:w="1600" w:type="dxa"/>
          </w:tcPr>
          <w:p w14:paraId="2DC0F4DD" w14:textId="77777777" w:rsidR="00DA702B" w:rsidRPr="00DA702B" w:rsidRDefault="00DA702B" w:rsidP="00DA702B">
            <w:pPr>
              <w:rPr>
                <w:sz w:val="20"/>
                <w:szCs w:val="20"/>
              </w:rPr>
            </w:pPr>
          </w:p>
        </w:tc>
        <w:tc>
          <w:tcPr>
            <w:tcW w:w="1600" w:type="dxa"/>
          </w:tcPr>
          <w:p w14:paraId="5E7E862B" w14:textId="77777777" w:rsidR="00DA702B" w:rsidRPr="00DA702B" w:rsidRDefault="00DA702B" w:rsidP="00DA702B">
            <w:pPr>
              <w:rPr>
                <w:sz w:val="20"/>
                <w:szCs w:val="20"/>
              </w:rPr>
            </w:pPr>
          </w:p>
        </w:tc>
        <w:tc>
          <w:tcPr>
            <w:tcW w:w="1600" w:type="dxa"/>
          </w:tcPr>
          <w:p w14:paraId="36EE0F31" w14:textId="77777777" w:rsidR="00DA702B" w:rsidRPr="00DA702B" w:rsidRDefault="00DA702B" w:rsidP="00DA702B">
            <w:pPr>
              <w:rPr>
                <w:sz w:val="20"/>
                <w:szCs w:val="20"/>
              </w:rPr>
            </w:pPr>
          </w:p>
        </w:tc>
        <w:tc>
          <w:tcPr>
            <w:tcW w:w="1600" w:type="dxa"/>
          </w:tcPr>
          <w:p w14:paraId="65C99008" w14:textId="77777777" w:rsidR="00DA702B" w:rsidRPr="00DA702B" w:rsidRDefault="00DA702B" w:rsidP="00DA702B">
            <w:pPr>
              <w:rPr>
                <w:sz w:val="20"/>
                <w:szCs w:val="20"/>
              </w:rPr>
            </w:pPr>
          </w:p>
        </w:tc>
        <w:tc>
          <w:tcPr>
            <w:tcW w:w="1600" w:type="dxa"/>
          </w:tcPr>
          <w:p w14:paraId="00A77CD2" w14:textId="77777777" w:rsidR="00DA702B" w:rsidRPr="00DA702B" w:rsidRDefault="00DA702B" w:rsidP="00DA702B">
            <w:pPr>
              <w:rPr>
                <w:sz w:val="20"/>
                <w:szCs w:val="20"/>
              </w:rPr>
            </w:pPr>
          </w:p>
        </w:tc>
        <w:tc>
          <w:tcPr>
            <w:tcW w:w="1600" w:type="dxa"/>
          </w:tcPr>
          <w:p w14:paraId="346C25B5" w14:textId="77777777" w:rsidR="00DA702B" w:rsidRPr="00DA702B" w:rsidRDefault="00DA702B" w:rsidP="00DA702B">
            <w:pPr>
              <w:rPr>
                <w:sz w:val="20"/>
                <w:szCs w:val="20"/>
              </w:rPr>
            </w:pPr>
          </w:p>
        </w:tc>
        <w:tc>
          <w:tcPr>
            <w:tcW w:w="1600" w:type="dxa"/>
          </w:tcPr>
          <w:p w14:paraId="33EF6B0B" w14:textId="77777777" w:rsidR="00DA702B" w:rsidRPr="00DA702B" w:rsidRDefault="00DA702B" w:rsidP="00DA702B">
            <w:pPr>
              <w:rPr>
                <w:sz w:val="20"/>
                <w:szCs w:val="20"/>
              </w:rPr>
            </w:pPr>
          </w:p>
        </w:tc>
      </w:tr>
      <w:tr w:rsidR="00DA702B" w:rsidRPr="00DA702B" w14:paraId="5817BDE8" w14:textId="77777777" w:rsidTr="00247007">
        <w:trPr>
          <w:cantSplit/>
          <w:trHeight w:val="346"/>
          <w:tblHeader/>
        </w:trPr>
        <w:tc>
          <w:tcPr>
            <w:tcW w:w="1600" w:type="dxa"/>
          </w:tcPr>
          <w:p w14:paraId="75492DB5" w14:textId="77777777" w:rsidR="00DA702B" w:rsidRPr="00DA702B" w:rsidRDefault="00DA702B" w:rsidP="00DA702B">
            <w:pPr>
              <w:rPr>
                <w:sz w:val="20"/>
                <w:szCs w:val="20"/>
              </w:rPr>
            </w:pPr>
          </w:p>
        </w:tc>
        <w:tc>
          <w:tcPr>
            <w:tcW w:w="1600" w:type="dxa"/>
          </w:tcPr>
          <w:p w14:paraId="136B7002" w14:textId="77777777" w:rsidR="00DA702B" w:rsidRPr="00DA702B" w:rsidRDefault="00DA702B" w:rsidP="00DA702B">
            <w:pPr>
              <w:rPr>
                <w:sz w:val="20"/>
                <w:szCs w:val="20"/>
              </w:rPr>
            </w:pPr>
          </w:p>
        </w:tc>
        <w:tc>
          <w:tcPr>
            <w:tcW w:w="1600" w:type="dxa"/>
          </w:tcPr>
          <w:p w14:paraId="1BB4B740" w14:textId="77777777" w:rsidR="00DA702B" w:rsidRPr="00DA702B" w:rsidRDefault="00DA702B" w:rsidP="00DA702B">
            <w:pPr>
              <w:rPr>
                <w:sz w:val="20"/>
                <w:szCs w:val="20"/>
              </w:rPr>
            </w:pPr>
          </w:p>
        </w:tc>
        <w:tc>
          <w:tcPr>
            <w:tcW w:w="1600" w:type="dxa"/>
          </w:tcPr>
          <w:p w14:paraId="7EE6C067" w14:textId="77777777" w:rsidR="00DA702B" w:rsidRPr="00DA702B" w:rsidRDefault="00DA702B" w:rsidP="00DA702B">
            <w:pPr>
              <w:rPr>
                <w:sz w:val="20"/>
                <w:szCs w:val="20"/>
              </w:rPr>
            </w:pPr>
          </w:p>
        </w:tc>
        <w:tc>
          <w:tcPr>
            <w:tcW w:w="1600" w:type="dxa"/>
          </w:tcPr>
          <w:p w14:paraId="75702B6C" w14:textId="77777777" w:rsidR="00DA702B" w:rsidRPr="00DA702B" w:rsidRDefault="00DA702B" w:rsidP="00DA702B">
            <w:pPr>
              <w:rPr>
                <w:sz w:val="20"/>
                <w:szCs w:val="20"/>
              </w:rPr>
            </w:pPr>
          </w:p>
        </w:tc>
        <w:tc>
          <w:tcPr>
            <w:tcW w:w="1600" w:type="dxa"/>
          </w:tcPr>
          <w:p w14:paraId="6B3EBFC0" w14:textId="77777777" w:rsidR="00DA702B" w:rsidRPr="00DA702B" w:rsidRDefault="00DA702B" w:rsidP="00DA702B">
            <w:pPr>
              <w:rPr>
                <w:sz w:val="20"/>
                <w:szCs w:val="20"/>
              </w:rPr>
            </w:pPr>
          </w:p>
        </w:tc>
        <w:tc>
          <w:tcPr>
            <w:tcW w:w="1600" w:type="dxa"/>
          </w:tcPr>
          <w:p w14:paraId="614F09C8" w14:textId="77777777" w:rsidR="00DA702B" w:rsidRPr="00DA702B" w:rsidRDefault="00DA702B" w:rsidP="00DA702B">
            <w:pPr>
              <w:rPr>
                <w:sz w:val="20"/>
                <w:szCs w:val="20"/>
              </w:rPr>
            </w:pPr>
          </w:p>
        </w:tc>
        <w:tc>
          <w:tcPr>
            <w:tcW w:w="1600" w:type="dxa"/>
          </w:tcPr>
          <w:p w14:paraId="30372030" w14:textId="77777777" w:rsidR="00DA702B" w:rsidRPr="00DA702B" w:rsidRDefault="00DA702B" w:rsidP="00DA702B">
            <w:pPr>
              <w:rPr>
                <w:sz w:val="20"/>
                <w:szCs w:val="20"/>
              </w:rPr>
            </w:pPr>
          </w:p>
        </w:tc>
        <w:tc>
          <w:tcPr>
            <w:tcW w:w="1600" w:type="dxa"/>
          </w:tcPr>
          <w:p w14:paraId="4DDAA5CE" w14:textId="77777777" w:rsidR="00DA702B" w:rsidRPr="00DA702B" w:rsidRDefault="00DA702B" w:rsidP="00DA702B">
            <w:pPr>
              <w:rPr>
                <w:sz w:val="20"/>
                <w:szCs w:val="20"/>
              </w:rPr>
            </w:pPr>
          </w:p>
        </w:tc>
      </w:tr>
      <w:tr w:rsidR="00DA702B" w:rsidRPr="00DA702B" w14:paraId="7EAD3C6E" w14:textId="77777777" w:rsidTr="00247007">
        <w:trPr>
          <w:cantSplit/>
          <w:trHeight w:val="346"/>
          <w:tblHeader/>
        </w:trPr>
        <w:tc>
          <w:tcPr>
            <w:tcW w:w="1600" w:type="dxa"/>
          </w:tcPr>
          <w:p w14:paraId="21DD409B" w14:textId="77777777" w:rsidR="00DA702B" w:rsidRPr="00DA702B" w:rsidRDefault="00DA702B" w:rsidP="00DA702B">
            <w:pPr>
              <w:rPr>
                <w:sz w:val="20"/>
                <w:szCs w:val="20"/>
              </w:rPr>
            </w:pPr>
          </w:p>
        </w:tc>
        <w:tc>
          <w:tcPr>
            <w:tcW w:w="1600" w:type="dxa"/>
          </w:tcPr>
          <w:p w14:paraId="40042D2F" w14:textId="77777777" w:rsidR="00DA702B" w:rsidRPr="00DA702B" w:rsidRDefault="00DA702B" w:rsidP="00DA702B">
            <w:pPr>
              <w:rPr>
                <w:sz w:val="20"/>
                <w:szCs w:val="20"/>
              </w:rPr>
            </w:pPr>
          </w:p>
        </w:tc>
        <w:tc>
          <w:tcPr>
            <w:tcW w:w="1600" w:type="dxa"/>
          </w:tcPr>
          <w:p w14:paraId="7B464AB9" w14:textId="77777777" w:rsidR="00DA702B" w:rsidRPr="00DA702B" w:rsidRDefault="00DA702B" w:rsidP="00DA702B">
            <w:pPr>
              <w:rPr>
                <w:sz w:val="20"/>
                <w:szCs w:val="20"/>
              </w:rPr>
            </w:pPr>
          </w:p>
        </w:tc>
        <w:tc>
          <w:tcPr>
            <w:tcW w:w="1600" w:type="dxa"/>
          </w:tcPr>
          <w:p w14:paraId="52AD9590" w14:textId="77777777" w:rsidR="00DA702B" w:rsidRPr="00DA702B" w:rsidRDefault="00DA702B" w:rsidP="00DA702B">
            <w:pPr>
              <w:rPr>
                <w:sz w:val="20"/>
                <w:szCs w:val="20"/>
              </w:rPr>
            </w:pPr>
          </w:p>
        </w:tc>
        <w:tc>
          <w:tcPr>
            <w:tcW w:w="1600" w:type="dxa"/>
          </w:tcPr>
          <w:p w14:paraId="684FA6FA" w14:textId="77777777" w:rsidR="00DA702B" w:rsidRPr="00DA702B" w:rsidRDefault="00DA702B" w:rsidP="00DA702B">
            <w:pPr>
              <w:rPr>
                <w:sz w:val="20"/>
                <w:szCs w:val="20"/>
              </w:rPr>
            </w:pPr>
          </w:p>
        </w:tc>
        <w:tc>
          <w:tcPr>
            <w:tcW w:w="1600" w:type="dxa"/>
          </w:tcPr>
          <w:p w14:paraId="52C5B3B7" w14:textId="77777777" w:rsidR="00DA702B" w:rsidRPr="00DA702B" w:rsidRDefault="00DA702B" w:rsidP="00DA702B">
            <w:pPr>
              <w:rPr>
                <w:sz w:val="20"/>
                <w:szCs w:val="20"/>
              </w:rPr>
            </w:pPr>
          </w:p>
        </w:tc>
        <w:tc>
          <w:tcPr>
            <w:tcW w:w="1600" w:type="dxa"/>
          </w:tcPr>
          <w:p w14:paraId="058C46BB" w14:textId="77777777" w:rsidR="00DA702B" w:rsidRPr="00DA702B" w:rsidRDefault="00DA702B" w:rsidP="00DA702B">
            <w:pPr>
              <w:rPr>
                <w:sz w:val="20"/>
                <w:szCs w:val="20"/>
              </w:rPr>
            </w:pPr>
          </w:p>
        </w:tc>
        <w:tc>
          <w:tcPr>
            <w:tcW w:w="1600" w:type="dxa"/>
          </w:tcPr>
          <w:p w14:paraId="71821FD7" w14:textId="77777777" w:rsidR="00DA702B" w:rsidRPr="00DA702B" w:rsidRDefault="00DA702B" w:rsidP="00DA702B">
            <w:pPr>
              <w:rPr>
                <w:sz w:val="20"/>
                <w:szCs w:val="20"/>
              </w:rPr>
            </w:pPr>
          </w:p>
        </w:tc>
        <w:tc>
          <w:tcPr>
            <w:tcW w:w="1600" w:type="dxa"/>
          </w:tcPr>
          <w:p w14:paraId="280C65E1" w14:textId="77777777" w:rsidR="00DA702B" w:rsidRPr="00DA702B" w:rsidRDefault="00DA702B" w:rsidP="00DA702B">
            <w:pPr>
              <w:rPr>
                <w:sz w:val="20"/>
                <w:szCs w:val="20"/>
              </w:rPr>
            </w:pPr>
          </w:p>
        </w:tc>
      </w:tr>
      <w:tr w:rsidR="00DA702B" w:rsidRPr="00DA702B" w14:paraId="4BE35640" w14:textId="77777777" w:rsidTr="00247007">
        <w:trPr>
          <w:cantSplit/>
          <w:trHeight w:val="346"/>
          <w:tblHeader/>
        </w:trPr>
        <w:tc>
          <w:tcPr>
            <w:tcW w:w="1600" w:type="dxa"/>
          </w:tcPr>
          <w:p w14:paraId="56F4440B" w14:textId="77777777" w:rsidR="00DA702B" w:rsidRPr="00DA702B" w:rsidRDefault="00DA702B" w:rsidP="00DA702B">
            <w:pPr>
              <w:rPr>
                <w:sz w:val="20"/>
                <w:szCs w:val="20"/>
              </w:rPr>
            </w:pPr>
          </w:p>
        </w:tc>
        <w:tc>
          <w:tcPr>
            <w:tcW w:w="1600" w:type="dxa"/>
          </w:tcPr>
          <w:p w14:paraId="73E32C0A" w14:textId="77777777" w:rsidR="00DA702B" w:rsidRPr="00DA702B" w:rsidRDefault="00DA702B" w:rsidP="00DA702B">
            <w:pPr>
              <w:rPr>
                <w:sz w:val="20"/>
                <w:szCs w:val="20"/>
              </w:rPr>
            </w:pPr>
          </w:p>
        </w:tc>
        <w:tc>
          <w:tcPr>
            <w:tcW w:w="1600" w:type="dxa"/>
          </w:tcPr>
          <w:p w14:paraId="6D1D77DD" w14:textId="77777777" w:rsidR="00DA702B" w:rsidRPr="00DA702B" w:rsidRDefault="00DA702B" w:rsidP="00DA702B">
            <w:pPr>
              <w:rPr>
                <w:sz w:val="20"/>
                <w:szCs w:val="20"/>
              </w:rPr>
            </w:pPr>
          </w:p>
        </w:tc>
        <w:tc>
          <w:tcPr>
            <w:tcW w:w="1600" w:type="dxa"/>
          </w:tcPr>
          <w:p w14:paraId="1E8C396C" w14:textId="77777777" w:rsidR="00DA702B" w:rsidRPr="00DA702B" w:rsidRDefault="00DA702B" w:rsidP="00DA702B">
            <w:pPr>
              <w:rPr>
                <w:sz w:val="20"/>
                <w:szCs w:val="20"/>
              </w:rPr>
            </w:pPr>
          </w:p>
        </w:tc>
        <w:tc>
          <w:tcPr>
            <w:tcW w:w="1600" w:type="dxa"/>
          </w:tcPr>
          <w:p w14:paraId="04839983" w14:textId="77777777" w:rsidR="00DA702B" w:rsidRPr="00DA702B" w:rsidRDefault="00DA702B" w:rsidP="00DA702B">
            <w:pPr>
              <w:rPr>
                <w:sz w:val="20"/>
                <w:szCs w:val="20"/>
              </w:rPr>
            </w:pPr>
          </w:p>
        </w:tc>
        <w:tc>
          <w:tcPr>
            <w:tcW w:w="1600" w:type="dxa"/>
          </w:tcPr>
          <w:p w14:paraId="47A4EFAF" w14:textId="77777777" w:rsidR="00DA702B" w:rsidRPr="00DA702B" w:rsidRDefault="00DA702B" w:rsidP="00DA702B">
            <w:pPr>
              <w:rPr>
                <w:sz w:val="20"/>
                <w:szCs w:val="20"/>
              </w:rPr>
            </w:pPr>
          </w:p>
        </w:tc>
        <w:tc>
          <w:tcPr>
            <w:tcW w:w="1600" w:type="dxa"/>
          </w:tcPr>
          <w:p w14:paraId="1D8BF627" w14:textId="77777777" w:rsidR="00DA702B" w:rsidRPr="00DA702B" w:rsidRDefault="00DA702B" w:rsidP="00DA702B">
            <w:pPr>
              <w:rPr>
                <w:sz w:val="20"/>
                <w:szCs w:val="20"/>
              </w:rPr>
            </w:pPr>
          </w:p>
        </w:tc>
        <w:tc>
          <w:tcPr>
            <w:tcW w:w="1600" w:type="dxa"/>
          </w:tcPr>
          <w:p w14:paraId="1D6EE706" w14:textId="77777777" w:rsidR="00DA702B" w:rsidRPr="00DA702B" w:rsidRDefault="00DA702B" w:rsidP="00DA702B">
            <w:pPr>
              <w:rPr>
                <w:sz w:val="20"/>
                <w:szCs w:val="20"/>
              </w:rPr>
            </w:pPr>
          </w:p>
        </w:tc>
        <w:tc>
          <w:tcPr>
            <w:tcW w:w="1600" w:type="dxa"/>
          </w:tcPr>
          <w:p w14:paraId="42A19524" w14:textId="77777777" w:rsidR="00DA702B" w:rsidRPr="00DA702B" w:rsidRDefault="00DA702B" w:rsidP="00DA702B">
            <w:pPr>
              <w:rPr>
                <w:sz w:val="20"/>
                <w:szCs w:val="20"/>
              </w:rPr>
            </w:pPr>
          </w:p>
        </w:tc>
      </w:tr>
      <w:tr w:rsidR="00DA702B" w:rsidRPr="00DA702B" w14:paraId="0099D96F" w14:textId="77777777" w:rsidTr="00247007">
        <w:trPr>
          <w:cantSplit/>
          <w:trHeight w:val="346"/>
          <w:tblHeader/>
        </w:trPr>
        <w:tc>
          <w:tcPr>
            <w:tcW w:w="1600" w:type="dxa"/>
          </w:tcPr>
          <w:p w14:paraId="6B70BCB9" w14:textId="77777777" w:rsidR="00DA702B" w:rsidRPr="00DA702B" w:rsidRDefault="00DA702B" w:rsidP="00DA702B">
            <w:pPr>
              <w:rPr>
                <w:sz w:val="20"/>
                <w:szCs w:val="20"/>
              </w:rPr>
            </w:pPr>
          </w:p>
        </w:tc>
        <w:tc>
          <w:tcPr>
            <w:tcW w:w="1600" w:type="dxa"/>
          </w:tcPr>
          <w:p w14:paraId="5F04FF7D" w14:textId="77777777" w:rsidR="00DA702B" w:rsidRPr="00DA702B" w:rsidRDefault="00DA702B" w:rsidP="00DA702B">
            <w:pPr>
              <w:rPr>
                <w:sz w:val="20"/>
                <w:szCs w:val="20"/>
              </w:rPr>
            </w:pPr>
          </w:p>
        </w:tc>
        <w:tc>
          <w:tcPr>
            <w:tcW w:w="1600" w:type="dxa"/>
          </w:tcPr>
          <w:p w14:paraId="5DCA4908" w14:textId="77777777" w:rsidR="00DA702B" w:rsidRPr="00DA702B" w:rsidRDefault="00DA702B" w:rsidP="00DA702B">
            <w:pPr>
              <w:rPr>
                <w:sz w:val="20"/>
                <w:szCs w:val="20"/>
              </w:rPr>
            </w:pPr>
          </w:p>
        </w:tc>
        <w:tc>
          <w:tcPr>
            <w:tcW w:w="1600" w:type="dxa"/>
          </w:tcPr>
          <w:p w14:paraId="3460A3F4" w14:textId="77777777" w:rsidR="00DA702B" w:rsidRPr="00DA702B" w:rsidRDefault="00DA702B" w:rsidP="00DA702B">
            <w:pPr>
              <w:rPr>
                <w:sz w:val="20"/>
                <w:szCs w:val="20"/>
              </w:rPr>
            </w:pPr>
          </w:p>
        </w:tc>
        <w:tc>
          <w:tcPr>
            <w:tcW w:w="1600" w:type="dxa"/>
          </w:tcPr>
          <w:p w14:paraId="7A7E9EA1" w14:textId="77777777" w:rsidR="00DA702B" w:rsidRPr="00DA702B" w:rsidRDefault="00DA702B" w:rsidP="00DA702B">
            <w:pPr>
              <w:rPr>
                <w:sz w:val="20"/>
                <w:szCs w:val="20"/>
              </w:rPr>
            </w:pPr>
          </w:p>
        </w:tc>
        <w:tc>
          <w:tcPr>
            <w:tcW w:w="1600" w:type="dxa"/>
          </w:tcPr>
          <w:p w14:paraId="66988245" w14:textId="77777777" w:rsidR="00DA702B" w:rsidRPr="00DA702B" w:rsidRDefault="00DA702B" w:rsidP="00DA702B">
            <w:pPr>
              <w:rPr>
                <w:sz w:val="20"/>
                <w:szCs w:val="20"/>
              </w:rPr>
            </w:pPr>
          </w:p>
        </w:tc>
        <w:tc>
          <w:tcPr>
            <w:tcW w:w="1600" w:type="dxa"/>
          </w:tcPr>
          <w:p w14:paraId="03CA6D9B" w14:textId="77777777" w:rsidR="00DA702B" w:rsidRPr="00DA702B" w:rsidRDefault="00DA702B" w:rsidP="00DA702B">
            <w:pPr>
              <w:rPr>
                <w:sz w:val="20"/>
                <w:szCs w:val="20"/>
              </w:rPr>
            </w:pPr>
          </w:p>
        </w:tc>
        <w:tc>
          <w:tcPr>
            <w:tcW w:w="1600" w:type="dxa"/>
          </w:tcPr>
          <w:p w14:paraId="07DB934D" w14:textId="77777777" w:rsidR="00DA702B" w:rsidRPr="00DA702B" w:rsidRDefault="00DA702B" w:rsidP="00DA702B">
            <w:pPr>
              <w:rPr>
                <w:sz w:val="20"/>
                <w:szCs w:val="20"/>
              </w:rPr>
            </w:pPr>
          </w:p>
        </w:tc>
        <w:tc>
          <w:tcPr>
            <w:tcW w:w="1600" w:type="dxa"/>
          </w:tcPr>
          <w:p w14:paraId="0DAEA919" w14:textId="77777777" w:rsidR="00DA702B" w:rsidRPr="00DA702B" w:rsidRDefault="00DA702B" w:rsidP="00DA702B">
            <w:pPr>
              <w:rPr>
                <w:sz w:val="20"/>
                <w:szCs w:val="20"/>
              </w:rPr>
            </w:pPr>
          </w:p>
        </w:tc>
      </w:tr>
    </w:tbl>
    <w:p w14:paraId="4654B66B" w14:textId="77777777" w:rsidR="00DA702B" w:rsidRPr="00DA702B" w:rsidRDefault="00DA702B" w:rsidP="00DA702B">
      <w:r w:rsidRPr="00DA702B">
        <w:br w:type="page"/>
      </w:r>
    </w:p>
    <w:p w14:paraId="3AE709F7" w14:textId="77777777" w:rsidR="00DA702B" w:rsidRPr="00DA702B" w:rsidRDefault="00DA702B" w:rsidP="0043713B">
      <w:pPr>
        <w:widowControl w:val="0"/>
        <w:jc w:val="center"/>
        <w:rPr>
          <w:rFonts w:eastAsiaTheme="majorEastAsia"/>
          <w:b/>
          <w:bCs/>
        </w:rPr>
      </w:pPr>
      <w:r w:rsidRPr="00DA702B">
        <w:rPr>
          <w:rFonts w:eastAsiaTheme="majorEastAsia"/>
          <w:b/>
          <w:bCs/>
        </w:rPr>
        <w:lastRenderedPageBreak/>
        <w:t>Boiler/Steam Generator/Steam Generating Unit Attributes</w:t>
      </w:r>
    </w:p>
    <w:p w14:paraId="4C7617DB" w14:textId="77777777" w:rsidR="00DA702B" w:rsidRPr="00DA702B" w:rsidRDefault="00DA702B" w:rsidP="0043713B">
      <w:pPr>
        <w:widowControl w:val="0"/>
        <w:jc w:val="center"/>
        <w:rPr>
          <w:rFonts w:eastAsiaTheme="majorEastAsia"/>
          <w:b/>
          <w:bCs/>
        </w:rPr>
      </w:pPr>
      <w:r w:rsidRPr="00DA702B">
        <w:rPr>
          <w:rFonts w:eastAsiaTheme="majorEastAsia"/>
          <w:b/>
          <w:bCs/>
        </w:rPr>
        <w:t>Form OP-UA6 (Page 21)</w:t>
      </w:r>
    </w:p>
    <w:p w14:paraId="697DFF34" w14:textId="77777777" w:rsidR="00DA702B" w:rsidRPr="00DA702B" w:rsidRDefault="00DA702B" w:rsidP="0043713B">
      <w:pPr>
        <w:widowControl w:val="0"/>
        <w:jc w:val="center"/>
        <w:rPr>
          <w:rFonts w:eastAsiaTheme="majorEastAsia"/>
          <w:b/>
          <w:bCs/>
        </w:rPr>
      </w:pPr>
      <w:r w:rsidRPr="00DA702B">
        <w:rPr>
          <w:rFonts w:eastAsiaTheme="majorEastAsia"/>
          <w:b/>
          <w:bCs/>
        </w:rPr>
        <w:t>Federal Operating Permit Program</w:t>
      </w:r>
    </w:p>
    <w:p w14:paraId="21B45525" w14:textId="77777777" w:rsidR="00DA702B" w:rsidRPr="00DA702B" w:rsidRDefault="00DA702B" w:rsidP="0043713B">
      <w:pPr>
        <w:widowControl w:val="0"/>
        <w:jc w:val="center"/>
        <w:rPr>
          <w:rFonts w:eastAsiaTheme="majorEastAsia"/>
          <w:b/>
          <w:bCs/>
        </w:rPr>
      </w:pPr>
      <w:bookmarkStart w:id="183" w:name="TBL_8c"/>
      <w:r w:rsidRPr="00DA702B">
        <w:rPr>
          <w:rFonts w:eastAsiaTheme="majorEastAsia"/>
          <w:b/>
          <w:bCs/>
        </w:rPr>
        <w:t>Table 8c</w:t>
      </w:r>
      <w:bookmarkEnd w:id="183"/>
      <w:r w:rsidRPr="00DA702B">
        <w:rPr>
          <w:rFonts w:eastAsiaTheme="majorEastAsia"/>
          <w:b/>
          <w:bCs/>
        </w:rPr>
        <w:t>:  Title 30 Texas Administrative Code Chapter 113 (30 TAC Chapter 113)</w:t>
      </w:r>
    </w:p>
    <w:p w14:paraId="1E332B75" w14:textId="77777777" w:rsidR="00DA702B" w:rsidRPr="00DA702B" w:rsidRDefault="00DA702B" w:rsidP="0043713B">
      <w:pPr>
        <w:widowControl w:val="0"/>
        <w:jc w:val="center"/>
        <w:rPr>
          <w:rFonts w:eastAsiaTheme="majorEastAsia"/>
          <w:b/>
          <w:bCs/>
        </w:rPr>
      </w:pPr>
      <w:r w:rsidRPr="00DA702B">
        <w:rPr>
          <w:rFonts w:eastAsiaTheme="majorEastAsia"/>
          <w:b/>
          <w:bCs/>
        </w:rPr>
        <w:t>Subchapter D:  Hospital/Medical/Infections Waste Incinerators</w:t>
      </w:r>
    </w:p>
    <w:p w14:paraId="2C16F821" w14:textId="77777777" w:rsidR="00DA702B" w:rsidRPr="00DA702B" w:rsidRDefault="00DA702B" w:rsidP="00DA702B">
      <w:pPr>
        <w:numPr>
          <w:ilvl w:val="0"/>
          <w:numId w:val="56"/>
        </w:numPr>
        <w:tabs>
          <w:tab w:val="num" w:pos="360"/>
        </w:tabs>
        <w:contextualSpacing/>
        <w:jc w:val="center"/>
        <w:outlineLvl w:val="0"/>
        <w:rPr>
          <w:b/>
          <w:bCs/>
        </w:rPr>
      </w:pPr>
      <w:r w:rsidRPr="00DA702B">
        <w:rPr>
          <w:b/>
          <w:bCs/>
        </w:rPr>
        <w:t>Texas Commission on Environmental Quality</w:t>
      </w:r>
    </w:p>
    <w:p w14:paraId="0839CE8D"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7:  Title 30 Texas Administrative Code Chapter 112 (30 TAC Chapter 112)&#10;Control of Air Pollution from Sulfur Compounds&#10;"/>
      </w:tblPr>
      <w:tblGrid>
        <w:gridCol w:w="4800"/>
        <w:gridCol w:w="4800"/>
        <w:gridCol w:w="4800"/>
      </w:tblGrid>
      <w:tr w:rsidR="00DA702B" w:rsidRPr="00DA702B" w14:paraId="0C52ADFC" w14:textId="77777777" w:rsidTr="00247007">
        <w:trPr>
          <w:cantSplit/>
          <w:tblHeader/>
        </w:trPr>
        <w:tc>
          <w:tcPr>
            <w:tcW w:w="4800" w:type="dxa"/>
            <w:shd w:val="clear" w:color="auto" w:fill="D9D9D9" w:themeFill="background1" w:themeFillShade="D9"/>
          </w:tcPr>
          <w:p w14:paraId="2CB5B26B"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18A7961"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485F5528"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4C52FE2B" w14:textId="77777777" w:rsidTr="00247007">
        <w:trPr>
          <w:cantSplit/>
          <w:tblHeader/>
        </w:trPr>
        <w:tc>
          <w:tcPr>
            <w:tcW w:w="4800" w:type="dxa"/>
          </w:tcPr>
          <w:p w14:paraId="5AE956D7" w14:textId="77777777" w:rsidR="00DA702B" w:rsidRPr="00DA702B" w:rsidRDefault="00DA702B" w:rsidP="00DA702B">
            <w:pPr>
              <w:rPr>
                <w:rFonts w:asciiTheme="majorHAnsi" w:hAnsiTheme="majorHAnsi" w:cstheme="majorHAnsi"/>
              </w:rPr>
            </w:pPr>
          </w:p>
        </w:tc>
        <w:tc>
          <w:tcPr>
            <w:tcW w:w="4800" w:type="dxa"/>
          </w:tcPr>
          <w:p w14:paraId="44B55C15" w14:textId="77777777" w:rsidR="00DA702B" w:rsidRPr="00DA702B" w:rsidRDefault="00DA702B" w:rsidP="00DA702B">
            <w:pPr>
              <w:rPr>
                <w:rFonts w:asciiTheme="majorHAnsi" w:hAnsiTheme="majorHAnsi" w:cstheme="majorHAnsi"/>
              </w:rPr>
            </w:pPr>
          </w:p>
        </w:tc>
        <w:tc>
          <w:tcPr>
            <w:tcW w:w="4800" w:type="dxa"/>
          </w:tcPr>
          <w:p w14:paraId="7C9A73A2" w14:textId="77777777" w:rsidR="00DA702B" w:rsidRPr="00DA702B" w:rsidRDefault="00DA702B" w:rsidP="00DA702B">
            <w:pPr>
              <w:rPr>
                <w:rFonts w:asciiTheme="majorHAnsi" w:hAnsiTheme="majorHAnsi" w:cstheme="majorHAnsi"/>
              </w:rPr>
            </w:pPr>
          </w:p>
        </w:tc>
      </w:tr>
    </w:tbl>
    <w:p w14:paraId="26ED9C40"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8c:  Title 30 Texas Administrative Code Chapter 113 (30 TAC Chapter 113)&#10;Subchapter D:  Hospital/Medical/Infections Waste Incinerators&#10;"/>
      </w:tblPr>
      <w:tblGrid>
        <w:gridCol w:w="1800"/>
        <w:gridCol w:w="1800"/>
        <w:gridCol w:w="1800"/>
        <w:gridCol w:w="1800"/>
        <w:gridCol w:w="1800"/>
        <w:gridCol w:w="1800"/>
        <w:gridCol w:w="1800"/>
        <w:gridCol w:w="1800"/>
      </w:tblGrid>
      <w:tr w:rsidR="00DA702B" w:rsidRPr="00DA702B" w14:paraId="6BDF1AE6" w14:textId="77777777" w:rsidTr="00247007">
        <w:trPr>
          <w:cantSplit/>
          <w:tblHeader/>
        </w:trPr>
        <w:tc>
          <w:tcPr>
            <w:tcW w:w="1800" w:type="dxa"/>
            <w:shd w:val="clear" w:color="auto" w:fill="D9D9D9" w:themeFill="background1" w:themeFillShade="D9"/>
            <w:vAlign w:val="center"/>
          </w:tcPr>
          <w:p w14:paraId="04901AEC" w14:textId="77777777" w:rsidR="00DA702B" w:rsidRPr="00DA702B" w:rsidRDefault="00DA702B" w:rsidP="00DA702B">
            <w:pPr>
              <w:rPr>
                <w:sz w:val="20"/>
                <w:szCs w:val="20"/>
              </w:rPr>
            </w:pPr>
            <w:r w:rsidRPr="00DA702B">
              <w:rPr>
                <w:b/>
                <w:sz w:val="20"/>
                <w:szCs w:val="20"/>
              </w:rPr>
              <w:t>Unit ID No.</w:t>
            </w:r>
          </w:p>
        </w:tc>
        <w:tc>
          <w:tcPr>
            <w:tcW w:w="1800" w:type="dxa"/>
            <w:shd w:val="clear" w:color="auto" w:fill="D9D9D9" w:themeFill="background1" w:themeFillShade="D9"/>
            <w:vAlign w:val="center"/>
          </w:tcPr>
          <w:p w14:paraId="276570C8" w14:textId="77777777" w:rsidR="00DA702B" w:rsidRPr="00DA702B" w:rsidRDefault="00DA702B" w:rsidP="00DA702B">
            <w:pPr>
              <w:rPr>
                <w:sz w:val="20"/>
                <w:szCs w:val="20"/>
              </w:rPr>
            </w:pPr>
            <w:r w:rsidRPr="00DA702B">
              <w:rPr>
                <w:b/>
                <w:sz w:val="20"/>
                <w:szCs w:val="20"/>
              </w:rPr>
              <w:t>SOP Index No.</w:t>
            </w:r>
          </w:p>
        </w:tc>
        <w:tc>
          <w:tcPr>
            <w:tcW w:w="1800" w:type="dxa"/>
            <w:shd w:val="clear" w:color="auto" w:fill="D9D9D9" w:themeFill="background1" w:themeFillShade="D9"/>
            <w:vAlign w:val="center"/>
          </w:tcPr>
          <w:p w14:paraId="79A4601A" w14:textId="77777777" w:rsidR="00DA702B" w:rsidRPr="00DA702B" w:rsidRDefault="00DA702B" w:rsidP="00DA702B">
            <w:pPr>
              <w:rPr>
                <w:sz w:val="20"/>
                <w:szCs w:val="20"/>
              </w:rPr>
            </w:pPr>
            <w:r w:rsidRPr="00DA702B">
              <w:rPr>
                <w:b/>
                <w:sz w:val="20"/>
                <w:szCs w:val="20"/>
              </w:rPr>
              <w:t>Pb CEMS</w:t>
            </w:r>
          </w:p>
        </w:tc>
        <w:tc>
          <w:tcPr>
            <w:tcW w:w="1800" w:type="dxa"/>
            <w:shd w:val="clear" w:color="auto" w:fill="D9D9D9" w:themeFill="background1" w:themeFillShade="D9"/>
            <w:vAlign w:val="center"/>
          </w:tcPr>
          <w:p w14:paraId="3207AF2C" w14:textId="77777777" w:rsidR="00DA702B" w:rsidRPr="00DA702B" w:rsidRDefault="00DA702B" w:rsidP="00DA702B">
            <w:pPr>
              <w:rPr>
                <w:sz w:val="20"/>
                <w:szCs w:val="20"/>
              </w:rPr>
            </w:pPr>
            <w:r w:rsidRPr="00DA702B">
              <w:rPr>
                <w:b/>
                <w:sz w:val="20"/>
                <w:szCs w:val="20"/>
              </w:rPr>
              <w:t>Pb % Reduction Method</w:t>
            </w:r>
          </w:p>
        </w:tc>
        <w:tc>
          <w:tcPr>
            <w:tcW w:w="1800" w:type="dxa"/>
            <w:shd w:val="clear" w:color="auto" w:fill="D9D9D9" w:themeFill="background1" w:themeFillShade="D9"/>
            <w:vAlign w:val="center"/>
          </w:tcPr>
          <w:p w14:paraId="6BD7E9D9" w14:textId="77777777" w:rsidR="00DA702B" w:rsidRPr="00DA702B" w:rsidRDefault="00DA702B" w:rsidP="00DA702B">
            <w:pPr>
              <w:rPr>
                <w:sz w:val="20"/>
                <w:szCs w:val="20"/>
              </w:rPr>
            </w:pPr>
            <w:r w:rsidRPr="00DA702B">
              <w:rPr>
                <w:b/>
                <w:sz w:val="20"/>
                <w:szCs w:val="20"/>
              </w:rPr>
              <w:t>Cd CEMS</w:t>
            </w:r>
          </w:p>
        </w:tc>
        <w:tc>
          <w:tcPr>
            <w:tcW w:w="1800" w:type="dxa"/>
            <w:shd w:val="clear" w:color="auto" w:fill="D9D9D9" w:themeFill="background1" w:themeFillShade="D9"/>
            <w:vAlign w:val="center"/>
          </w:tcPr>
          <w:p w14:paraId="553312E1" w14:textId="77777777" w:rsidR="00DA702B" w:rsidRPr="00DA702B" w:rsidRDefault="00DA702B" w:rsidP="00DA702B">
            <w:pPr>
              <w:rPr>
                <w:sz w:val="20"/>
                <w:szCs w:val="20"/>
              </w:rPr>
            </w:pPr>
            <w:r w:rsidRPr="00DA702B">
              <w:rPr>
                <w:b/>
                <w:sz w:val="20"/>
                <w:szCs w:val="20"/>
              </w:rPr>
              <w:t>Cd % Reduction Method</w:t>
            </w:r>
          </w:p>
        </w:tc>
        <w:tc>
          <w:tcPr>
            <w:tcW w:w="1800" w:type="dxa"/>
            <w:shd w:val="clear" w:color="auto" w:fill="D9D9D9" w:themeFill="background1" w:themeFillShade="D9"/>
            <w:vAlign w:val="center"/>
          </w:tcPr>
          <w:p w14:paraId="2368350E" w14:textId="77777777" w:rsidR="00DA702B" w:rsidRPr="00DA702B" w:rsidRDefault="00DA702B" w:rsidP="00DA702B">
            <w:pPr>
              <w:rPr>
                <w:sz w:val="20"/>
                <w:szCs w:val="20"/>
              </w:rPr>
            </w:pPr>
            <w:r w:rsidRPr="00DA702B">
              <w:rPr>
                <w:b/>
                <w:sz w:val="20"/>
                <w:szCs w:val="20"/>
              </w:rPr>
              <w:t>Hg CEMS</w:t>
            </w:r>
          </w:p>
        </w:tc>
        <w:tc>
          <w:tcPr>
            <w:tcW w:w="1800" w:type="dxa"/>
            <w:shd w:val="clear" w:color="auto" w:fill="D9D9D9" w:themeFill="background1" w:themeFillShade="D9"/>
            <w:vAlign w:val="center"/>
          </w:tcPr>
          <w:p w14:paraId="6FC82277" w14:textId="77777777" w:rsidR="00DA702B" w:rsidRPr="00DA702B" w:rsidRDefault="00DA702B" w:rsidP="00DA702B">
            <w:pPr>
              <w:rPr>
                <w:sz w:val="20"/>
                <w:szCs w:val="20"/>
              </w:rPr>
            </w:pPr>
            <w:r w:rsidRPr="00DA702B">
              <w:rPr>
                <w:b/>
                <w:sz w:val="20"/>
                <w:szCs w:val="20"/>
              </w:rPr>
              <w:t>Hg % Reduction Method</w:t>
            </w:r>
          </w:p>
        </w:tc>
      </w:tr>
      <w:tr w:rsidR="00DA702B" w:rsidRPr="00DA702B" w14:paraId="28F74C96" w14:textId="77777777" w:rsidTr="00247007">
        <w:trPr>
          <w:cantSplit/>
          <w:trHeight w:val="346"/>
          <w:tblHeader/>
        </w:trPr>
        <w:tc>
          <w:tcPr>
            <w:tcW w:w="1800" w:type="dxa"/>
          </w:tcPr>
          <w:p w14:paraId="6917EA81" w14:textId="77777777" w:rsidR="00DA702B" w:rsidRPr="00DA702B" w:rsidRDefault="00DA702B" w:rsidP="00DA702B">
            <w:pPr>
              <w:rPr>
                <w:sz w:val="20"/>
                <w:szCs w:val="20"/>
              </w:rPr>
            </w:pPr>
          </w:p>
        </w:tc>
        <w:tc>
          <w:tcPr>
            <w:tcW w:w="1800" w:type="dxa"/>
          </w:tcPr>
          <w:p w14:paraId="558C47EE" w14:textId="77777777" w:rsidR="00DA702B" w:rsidRPr="00DA702B" w:rsidRDefault="00DA702B" w:rsidP="00DA702B">
            <w:pPr>
              <w:rPr>
                <w:sz w:val="20"/>
                <w:szCs w:val="20"/>
              </w:rPr>
            </w:pPr>
          </w:p>
        </w:tc>
        <w:tc>
          <w:tcPr>
            <w:tcW w:w="1800" w:type="dxa"/>
          </w:tcPr>
          <w:p w14:paraId="01B052FA" w14:textId="77777777" w:rsidR="00DA702B" w:rsidRPr="00DA702B" w:rsidRDefault="00DA702B" w:rsidP="00DA702B">
            <w:pPr>
              <w:rPr>
                <w:sz w:val="20"/>
                <w:szCs w:val="20"/>
              </w:rPr>
            </w:pPr>
          </w:p>
        </w:tc>
        <w:tc>
          <w:tcPr>
            <w:tcW w:w="1800" w:type="dxa"/>
          </w:tcPr>
          <w:p w14:paraId="646BE84E" w14:textId="77777777" w:rsidR="00DA702B" w:rsidRPr="00DA702B" w:rsidRDefault="00DA702B" w:rsidP="00DA702B">
            <w:pPr>
              <w:rPr>
                <w:sz w:val="20"/>
                <w:szCs w:val="20"/>
              </w:rPr>
            </w:pPr>
          </w:p>
        </w:tc>
        <w:tc>
          <w:tcPr>
            <w:tcW w:w="1800" w:type="dxa"/>
          </w:tcPr>
          <w:p w14:paraId="1ABBEDFA" w14:textId="77777777" w:rsidR="00DA702B" w:rsidRPr="00DA702B" w:rsidRDefault="00DA702B" w:rsidP="00DA702B">
            <w:pPr>
              <w:rPr>
                <w:sz w:val="20"/>
                <w:szCs w:val="20"/>
              </w:rPr>
            </w:pPr>
          </w:p>
        </w:tc>
        <w:tc>
          <w:tcPr>
            <w:tcW w:w="1800" w:type="dxa"/>
          </w:tcPr>
          <w:p w14:paraId="36A5610B" w14:textId="77777777" w:rsidR="00DA702B" w:rsidRPr="00DA702B" w:rsidRDefault="00DA702B" w:rsidP="00DA702B">
            <w:pPr>
              <w:rPr>
                <w:sz w:val="20"/>
                <w:szCs w:val="20"/>
              </w:rPr>
            </w:pPr>
          </w:p>
        </w:tc>
        <w:tc>
          <w:tcPr>
            <w:tcW w:w="1800" w:type="dxa"/>
          </w:tcPr>
          <w:p w14:paraId="0188B8F1" w14:textId="77777777" w:rsidR="00DA702B" w:rsidRPr="00DA702B" w:rsidRDefault="00DA702B" w:rsidP="00DA702B">
            <w:pPr>
              <w:rPr>
                <w:sz w:val="20"/>
                <w:szCs w:val="20"/>
              </w:rPr>
            </w:pPr>
          </w:p>
        </w:tc>
        <w:tc>
          <w:tcPr>
            <w:tcW w:w="1800" w:type="dxa"/>
          </w:tcPr>
          <w:p w14:paraId="752BB623" w14:textId="77777777" w:rsidR="00DA702B" w:rsidRPr="00DA702B" w:rsidRDefault="00DA702B" w:rsidP="00DA702B">
            <w:pPr>
              <w:rPr>
                <w:sz w:val="20"/>
                <w:szCs w:val="20"/>
              </w:rPr>
            </w:pPr>
          </w:p>
        </w:tc>
      </w:tr>
      <w:tr w:rsidR="00DA702B" w:rsidRPr="00DA702B" w14:paraId="467E3E72" w14:textId="77777777" w:rsidTr="00247007">
        <w:trPr>
          <w:cantSplit/>
          <w:trHeight w:val="346"/>
          <w:tblHeader/>
        </w:trPr>
        <w:tc>
          <w:tcPr>
            <w:tcW w:w="1800" w:type="dxa"/>
          </w:tcPr>
          <w:p w14:paraId="3241DCDA" w14:textId="77777777" w:rsidR="00DA702B" w:rsidRPr="00DA702B" w:rsidRDefault="00DA702B" w:rsidP="00DA702B">
            <w:pPr>
              <w:rPr>
                <w:sz w:val="20"/>
                <w:szCs w:val="20"/>
              </w:rPr>
            </w:pPr>
          </w:p>
        </w:tc>
        <w:tc>
          <w:tcPr>
            <w:tcW w:w="1800" w:type="dxa"/>
          </w:tcPr>
          <w:p w14:paraId="23C2602D" w14:textId="77777777" w:rsidR="00DA702B" w:rsidRPr="00DA702B" w:rsidRDefault="00DA702B" w:rsidP="00DA702B">
            <w:pPr>
              <w:rPr>
                <w:sz w:val="20"/>
                <w:szCs w:val="20"/>
              </w:rPr>
            </w:pPr>
          </w:p>
        </w:tc>
        <w:tc>
          <w:tcPr>
            <w:tcW w:w="1800" w:type="dxa"/>
          </w:tcPr>
          <w:p w14:paraId="72F07509" w14:textId="77777777" w:rsidR="00DA702B" w:rsidRPr="00DA702B" w:rsidRDefault="00DA702B" w:rsidP="00DA702B">
            <w:pPr>
              <w:rPr>
                <w:sz w:val="20"/>
                <w:szCs w:val="20"/>
              </w:rPr>
            </w:pPr>
          </w:p>
        </w:tc>
        <w:tc>
          <w:tcPr>
            <w:tcW w:w="1800" w:type="dxa"/>
          </w:tcPr>
          <w:p w14:paraId="0DC6E08B" w14:textId="77777777" w:rsidR="00DA702B" w:rsidRPr="00DA702B" w:rsidRDefault="00DA702B" w:rsidP="00DA702B">
            <w:pPr>
              <w:rPr>
                <w:sz w:val="20"/>
                <w:szCs w:val="20"/>
              </w:rPr>
            </w:pPr>
          </w:p>
        </w:tc>
        <w:tc>
          <w:tcPr>
            <w:tcW w:w="1800" w:type="dxa"/>
          </w:tcPr>
          <w:p w14:paraId="21A0FB28" w14:textId="77777777" w:rsidR="00DA702B" w:rsidRPr="00DA702B" w:rsidRDefault="00DA702B" w:rsidP="00DA702B">
            <w:pPr>
              <w:rPr>
                <w:sz w:val="20"/>
                <w:szCs w:val="20"/>
              </w:rPr>
            </w:pPr>
          </w:p>
        </w:tc>
        <w:tc>
          <w:tcPr>
            <w:tcW w:w="1800" w:type="dxa"/>
          </w:tcPr>
          <w:p w14:paraId="37CFEC06" w14:textId="77777777" w:rsidR="00DA702B" w:rsidRPr="00DA702B" w:rsidRDefault="00DA702B" w:rsidP="00DA702B">
            <w:pPr>
              <w:rPr>
                <w:sz w:val="20"/>
                <w:szCs w:val="20"/>
              </w:rPr>
            </w:pPr>
          </w:p>
        </w:tc>
        <w:tc>
          <w:tcPr>
            <w:tcW w:w="1800" w:type="dxa"/>
          </w:tcPr>
          <w:p w14:paraId="3E9E6863" w14:textId="77777777" w:rsidR="00DA702B" w:rsidRPr="00DA702B" w:rsidRDefault="00DA702B" w:rsidP="00DA702B">
            <w:pPr>
              <w:rPr>
                <w:sz w:val="20"/>
                <w:szCs w:val="20"/>
              </w:rPr>
            </w:pPr>
          </w:p>
        </w:tc>
        <w:tc>
          <w:tcPr>
            <w:tcW w:w="1800" w:type="dxa"/>
          </w:tcPr>
          <w:p w14:paraId="5E177F5F" w14:textId="77777777" w:rsidR="00DA702B" w:rsidRPr="00DA702B" w:rsidRDefault="00DA702B" w:rsidP="00DA702B">
            <w:pPr>
              <w:rPr>
                <w:sz w:val="20"/>
                <w:szCs w:val="20"/>
              </w:rPr>
            </w:pPr>
          </w:p>
        </w:tc>
      </w:tr>
      <w:tr w:rsidR="00DA702B" w:rsidRPr="00DA702B" w14:paraId="79B81F5F" w14:textId="77777777" w:rsidTr="00247007">
        <w:trPr>
          <w:cantSplit/>
          <w:trHeight w:val="346"/>
          <w:tblHeader/>
        </w:trPr>
        <w:tc>
          <w:tcPr>
            <w:tcW w:w="1800" w:type="dxa"/>
          </w:tcPr>
          <w:p w14:paraId="742E7A92" w14:textId="77777777" w:rsidR="00DA702B" w:rsidRPr="00DA702B" w:rsidRDefault="00DA702B" w:rsidP="00DA702B">
            <w:pPr>
              <w:rPr>
                <w:sz w:val="20"/>
                <w:szCs w:val="20"/>
              </w:rPr>
            </w:pPr>
          </w:p>
        </w:tc>
        <w:tc>
          <w:tcPr>
            <w:tcW w:w="1800" w:type="dxa"/>
          </w:tcPr>
          <w:p w14:paraId="3621271B" w14:textId="77777777" w:rsidR="00DA702B" w:rsidRPr="00DA702B" w:rsidRDefault="00DA702B" w:rsidP="00DA702B">
            <w:pPr>
              <w:rPr>
                <w:sz w:val="20"/>
                <w:szCs w:val="20"/>
              </w:rPr>
            </w:pPr>
          </w:p>
        </w:tc>
        <w:tc>
          <w:tcPr>
            <w:tcW w:w="1800" w:type="dxa"/>
          </w:tcPr>
          <w:p w14:paraId="30E5F839" w14:textId="77777777" w:rsidR="00DA702B" w:rsidRPr="00DA702B" w:rsidRDefault="00DA702B" w:rsidP="00DA702B">
            <w:pPr>
              <w:rPr>
                <w:sz w:val="20"/>
                <w:szCs w:val="20"/>
              </w:rPr>
            </w:pPr>
          </w:p>
        </w:tc>
        <w:tc>
          <w:tcPr>
            <w:tcW w:w="1800" w:type="dxa"/>
          </w:tcPr>
          <w:p w14:paraId="01706C24" w14:textId="77777777" w:rsidR="00DA702B" w:rsidRPr="00DA702B" w:rsidRDefault="00DA702B" w:rsidP="00DA702B">
            <w:pPr>
              <w:rPr>
                <w:sz w:val="20"/>
                <w:szCs w:val="20"/>
              </w:rPr>
            </w:pPr>
          </w:p>
        </w:tc>
        <w:tc>
          <w:tcPr>
            <w:tcW w:w="1800" w:type="dxa"/>
          </w:tcPr>
          <w:p w14:paraId="50F154DA" w14:textId="77777777" w:rsidR="00DA702B" w:rsidRPr="00DA702B" w:rsidRDefault="00DA702B" w:rsidP="00DA702B">
            <w:pPr>
              <w:rPr>
                <w:sz w:val="20"/>
                <w:szCs w:val="20"/>
              </w:rPr>
            </w:pPr>
          </w:p>
        </w:tc>
        <w:tc>
          <w:tcPr>
            <w:tcW w:w="1800" w:type="dxa"/>
          </w:tcPr>
          <w:p w14:paraId="55511CBE" w14:textId="77777777" w:rsidR="00DA702B" w:rsidRPr="00DA702B" w:rsidRDefault="00DA702B" w:rsidP="00DA702B">
            <w:pPr>
              <w:rPr>
                <w:sz w:val="20"/>
                <w:szCs w:val="20"/>
              </w:rPr>
            </w:pPr>
          </w:p>
        </w:tc>
        <w:tc>
          <w:tcPr>
            <w:tcW w:w="1800" w:type="dxa"/>
          </w:tcPr>
          <w:p w14:paraId="23C87965" w14:textId="77777777" w:rsidR="00DA702B" w:rsidRPr="00DA702B" w:rsidRDefault="00DA702B" w:rsidP="00DA702B">
            <w:pPr>
              <w:rPr>
                <w:sz w:val="20"/>
                <w:szCs w:val="20"/>
              </w:rPr>
            </w:pPr>
          </w:p>
        </w:tc>
        <w:tc>
          <w:tcPr>
            <w:tcW w:w="1800" w:type="dxa"/>
          </w:tcPr>
          <w:p w14:paraId="5CE5DF65" w14:textId="77777777" w:rsidR="00DA702B" w:rsidRPr="00DA702B" w:rsidRDefault="00DA702B" w:rsidP="00DA702B">
            <w:pPr>
              <w:rPr>
                <w:sz w:val="20"/>
                <w:szCs w:val="20"/>
              </w:rPr>
            </w:pPr>
          </w:p>
        </w:tc>
      </w:tr>
      <w:tr w:rsidR="00DA702B" w:rsidRPr="00DA702B" w14:paraId="226A24B4" w14:textId="77777777" w:rsidTr="00247007">
        <w:trPr>
          <w:cantSplit/>
          <w:trHeight w:val="346"/>
          <w:tblHeader/>
        </w:trPr>
        <w:tc>
          <w:tcPr>
            <w:tcW w:w="1800" w:type="dxa"/>
          </w:tcPr>
          <w:p w14:paraId="27987F1E" w14:textId="77777777" w:rsidR="00DA702B" w:rsidRPr="00DA702B" w:rsidRDefault="00DA702B" w:rsidP="00DA702B">
            <w:pPr>
              <w:rPr>
                <w:sz w:val="20"/>
                <w:szCs w:val="20"/>
              </w:rPr>
            </w:pPr>
          </w:p>
        </w:tc>
        <w:tc>
          <w:tcPr>
            <w:tcW w:w="1800" w:type="dxa"/>
          </w:tcPr>
          <w:p w14:paraId="20516244" w14:textId="77777777" w:rsidR="00DA702B" w:rsidRPr="00DA702B" w:rsidRDefault="00DA702B" w:rsidP="00DA702B">
            <w:pPr>
              <w:rPr>
                <w:sz w:val="20"/>
                <w:szCs w:val="20"/>
              </w:rPr>
            </w:pPr>
          </w:p>
        </w:tc>
        <w:tc>
          <w:tcPr>
            <w:tcW w:w="1800" w:type="dxa"/>
          </w:tcPr>
          <w:p w14:paraId="6D337F4D" w14:textId="77777777" w:rsidR="00DA702B" w:rsidRPr="00DA702B" w:rsidRDefault="00DA702B" w:rsidP="00DA702B">
            <w:pPr>
              <w:rPr>
                <w:sz w:val="20"/>
                <w:szCs w:val="20"/>
              </w:rPr>
            </w:pPr>
          </w:p>
        </w:tc>
        <w:tc>
          <w:tcPr>
            <w:tcW w:w="1800" w:type="dxa"/>
          </w:tcPr>
          <w:p w14:paraId="6BA79A71" w14:textId="77777777" w:rsidR="00DA702B" w:rsidRPr="00DA702B" w:rsidRDefault="00DA702B" w:rsidP="00DA702B">
            <w:pPr>
              <w:rPr>
                <w:sz w:val="20"/>
                <w:szCs w:val="20"/>
              </w:rPr>
            </w:pPr>
          </w:p>
        </w:tc>
        <w:tc>
          <w:tcPr>
            <w:tcW w:w="1800" w:type="dxa"/>
          </w:tcPr>
          <w:p w14:paraId="17DCC96E" w14:textId="77777777" w:rsidR="00DA702B" w:rsidRPr="00DA702B" w:rsidRDefault="00DA702B" w:rsidP="00DA702B">
            <w:pPr>
              <w:rPr>
                <w:sz w:val="20"/>
                <w:szCs w:val="20"/>
              </w:rPr>
            </w:pPr>
          </w:p>
        </w:tc>
        <w:tc>
          <w:tcPr>
            <w:tcW w:w="1800" w:type="dxa"/>
          </w:tcPr>
          <w:p w14:paraId="0C28357D" w14:textId="77777777" w:rsidR="00DA702B" w:rsidRPr="00DA702B" w:rsidRDefault="00DA702B" w:rsidP="00DA702B">
            <w:pPr>
              <w:rPr>
                <w:sz w:val="20"/>
                <w:szCs w:val="20"/>
              </w:rPr>
            </w:pPr>
          </w:p>
        </w:tc>
        <w:tc>
          <w:tcPr>
            <w:tcW w:w="1800" w:type="dxa"/>
          </w:tcPr>
          <w:p w14:paraId="7D98BC8C" w14:textId="77777777" w:rsidR="00DA702B" w:rsidRPr="00DA702B" w:rsidRDefault="00DA702B" w:rsidP="00DA702B">
            <w:pPr>
              <w:rPr>
                <w:sz w:val="20"/>
                <w:szCs w:val="20"/>
              </w:rPr>
            </w:pPr>
          </w:p>
        </w:tc>
        <w:tc>
          <w:tcPr>
            <w:tcW w:w="1800" w:type="dxa"/>
          </w:tcPr>
          <w:p w14:paraId="67863347" w14:textId="77777777" w:rsidR="00DA702B" w:rsidRPr="00DA702B" w:rsidRDefault="00DA702B" w:rsidP="00DA702B">
            <w:pPr>
              <w:rPr>
                <w:sz w:val="20"/>
                <w:szCs w:val="20"/>
              </w:rPr>
            </w:pPr>
          </w:p>
        </w:tc>
      </w:tr>
      <w:tr w:rsidR="00DA702B" w:rsidRPr="00DA702B" w14:paraId="2092A341" w14:textId="77777777" w:rsidTr="00247007">
        <w:trPr>
          <w:cantSplit/>
          <w:trHeight w:val="346"/>
          <w:tblHeader/>
        </w:trPr>
        <w:tc>
          <w:tcPr>
            <w:tcW w:w="1800" w:type="dxa"/>
          </w:tcPr>
          <w:p w14:paraId="5D0ED52C" w14:textId="77777777" w:rsidR="00DA702B" w:rsidRPr="00DA702B" w:rsidRDefault="00DA702B" w:rsidP="00DA702B">
            <w:pPr>
              <w:rPr>
                <w:sz w:val="20"/>
                <w:szCs w:val="20"/>
              </w:rPr>
            </w:pPr>
          </w:p>
        </w:tc>
        <w:tc>
          <w:tcPr>
            <w:tcW w:w="1800" w:type="dxa"/>
          </w:tcPr>
          <w:p w14:paraId="1D14D347" w14:textId="77777777" w:rsidR="00DA702B" w:rsidRPr="00DA702B" w:rsidRDefault="00DA702B" w:rsidP="00DA702B">
            <w:pPr>
              <w:rPr>
                <w:sz w:val="20"/>
                <w:szCs w:val="20"/>
              </w:rPr>
            </w:pPr>
          </w:p>
        </w:tc>
        <w:tc>
          <w:tcPr>
            <w:tcW w:w="1800" w:type="dxa"/>
          </w:tcPr>
          <w:p w14:paraId="42F9F98C" w14:textId="77777777" w:rsidR="00DA702B" w:rsidRPr="00DA702B" w:rsidRDefault="00DA702B" w:rsidP="00DA702B">
            <w:pPr>
              <w:rPr>
                <w:sz w:val="20"/>
                <w:szCs w:val="20"/>
              </w:rPr>
            </w:pPr>
          </w:p>
        </w:tc>
        <w:tc>
          <w:tcPr>
            <w:tcW w:w="1800" w:type="dxa"/>
          </w:tcPr>
          <w:p w14:paraId="0AE756E4" w14:textId="77777777" w:rsidR="00DA702B" w:rsidRPr="00DA702B" w:rsidRDefault="00DA702B" w:rsidP="00DA702B">
            <w:pPr>
              <w:rPr>
                <w:sz w:val="20"/>
                <w:szCs w:val="20"/>
              </w:rPr>
            </w:pPr>
          </w:p>
        </w:tc>
        <w:tc>
          <w:tcPr>
            <w:tcW w:w="1800" w:type="dxa"/>
          </w:tcPr>
          <w:p w14:paraId="67FD12F0" w14:textId="77777777" w:rsidR="00DA702B" w:rsidRPr="00DA702B" w:rsidRDefault="00DA702B" w:rsidP="00DA702B">
            <w:pPr>
              <w:rPr>
                <w:sz w:val="20"/>
                <w:szCs w:val="20"/>
              </w:rPr>
            </w:pPr>
          </w:p>
        </w:tc>
        <w:tc>
          <w:tcPr>
            <w:tcW w:w="1800" w:type="dxa"/>
          </w:tcPr>
          <w:p w14:paraId="72CC5E2C" w14:textId="77777777" w:rsidR="00DA702B" w:rsidRPr="00DA702B" w:rsidRDefault="00DA702B" w:rsidP="00DA702B">
            <w:pPr>
              <w:rPr>
                <w:sz w:val="20"/>
                <w:szCs w:val="20"/>
              </w:rPr>
            </w:pPr>
          </w:p>
        </w:tc>
        <w:tc>
          <w:tcPr>
            <w:tcW w:w="1800" w:type="dxa"/>
          </w:tcPr>
          <w:p w14:paraId="2545A7C9" w14:textId="77777777" w:rsidR="00DA702B" w:rsidRPr="00DA702B" w:rsidRDefault="00DA702B" w:rsidP="00DA702B">
            <w:pPr>
              <w:rPr>
                <w:sz w:val="20"/>
                <w:szCs w:val="20"/>
              </w:rPr>
            </w:pPr>
          </w:p>
        </w:tc>
        <w:tc>
          <w:tcPr>
            <w:tcW w:w="1800" w:type="dxa"/>
          </w:tcPr>
          <w:p w14:paraId="7C428FC6" w14:textId="77777777" w:rsidR="00DA702B" w:rsidRPr="00DA702B" w:rsidRDefault="00DA702B" w:rsidP="00DA702B">
            <w:pPr>
              <w:rPr>
                <w:sz w:val="20"/>
                <w:szCs w:val="20"/>
              </w:rPr>
            </w:pPr>
          </w:p>
        </w:tc>
      </w:tr>
      <w:tr w:rsidR="00DA702B" w:rsidRPr="00DA702B" w14:paraId="4B1AF205" w14:textId="77777777" w:rsidTr="00247007">
        <w:trPr>
          <w:cantSplit/>
          <w:trHeight w:val="346"/>
          <w:tblHeader/>
        </w:trPr>
        <w:tc>
          <w:tcPr>
            <w:tcW w:w="1800" w:type="dxa"/>
          </w:tcPr>
          <w:p w14:paraId="348DC610" w14:textId="77777777" w:rsidR="00DA702B" w:rsidRPr="00DA702B" w:rsidRDefault="00DA702B" w:rsidP="00DA702B">
            <w:pPr>
              <w:rPr>
                <w:sz w:val="20"/>
                <w:szCs w:val="20"/>
              </w:rPr>
            </w:pPr>
          </w:p>
        </w:tc>
        <w:tc>
          <w:tcPr>
            <w:tcW w:w="1800" w:type="dxa"/>
          </w:tcPr>
          <w:p w14:paraId="3DF4184C" w14:textId="77777777" w:rsidR="00DA702B" w:rsidRPr="00DA702B" w:rsidRDefault="00DA702B" w:rsidP="00DA702B">
            <w:pPr>
              <w:rPr>
                <w:sz w:val="20"/>
                <w:szCs w:val="20"/>
              </w:rPr>
            </w:pPr>
          </w:p>
        </w:tc>
        <w:tc>
          <w:tcPr>
            <w:tcW w:w="1800" w:type="dxa"/>
          </w:tcPr>
          <w:p w14:paraId="5854F632" w14:textId="77777777" w:rsidR="00DA702B" w:rsidRPr="00DA702B" w:rsidRDefault="00DA702B" w:rsidP="00DA702B">
            <w:pPr>
              <w:rPr>
                <w:sz w:val="20"/>
                <w:szCs w:val="20"/>
              </w:rPr>
            </w:pPr>
          </w:p>
        </w:tc>
        <w:tc>
          <w:tcPr>
            <w:tcW w:w="1800" w:type="dxa"/>
          </w:tcPr>
          <w:p w14:paraId="4E75CD28" w14:textId="77777777" w:rsidR="00DA702B" w:rsidRPr="00DA702B" w:rsidRDefault="00DA702B" w:rsidP="00DA702B">
            <w:pPr>
              <w:rPr>
                <w:sz w:val="20"/>
                <w:szCs w:val="20"/>
              </w:rPr>
            </w:pPr>
          </w:p>
        </w:tc>
        <w:tc>
          <w:tcPr>
            <w:tcW w:w="1800" w:type="dxa"/>
          </w:tcPr>
          <w:p w14:paraId="184C4E14" w14:textId="77777777" w:rsidR="00DA702B" w:rsidRPr="00DA702B" w:rsidRDefault="00DA702B" w:rsidP="00DA702B">
            <w:pPr>
              <w:rPr>
                <w:sz w:val="20"/>
                <w:szCs w:val="20"/>
              </w:rPr>
            </w:pPr>
          </w:p>
        </w:tc>
        <w:tc>
          <w:tcPr>
            <w:tcW w:w="1800" w:type="dxa"/>
          </w:tcPr>
          <w:p w14:paraId="425C00E0" w14:textId="77777777" w:rsidR="00DA702B" w:rsidRPr="00DA702B" w:rsidRDefault="00DA702B" w:rsidP="00DA702B">
            <w:pPr>
              <w:rPr>
                <w:sz w:val="20"/>
                <w:szCs w:val="20"/>
              </w:rPr>
            </w:pPr>
          </w:p>
        </w:tc>
        <w:tc>
          <w:tcPr>
            <w:tcW w:w="1800" w:type="dxa"/>
          </w:tcPr>
          <w:p w14:paraId="5E9A6046" w14:textId="77777777" w:rsidR="00DA702B" w:rsidRPr="00DA702B" w:rsidRDefault="00DA702B" w:rsidP="00DA702B">
            <w:pPr>
              <w:rPr>
                <w:sz w:val="20"/>
                <w:szCs w:val="20"/>
              </w:rPr>
            </w:pPr>
          </w:p>
        </w:tc>
        <w:tc>
          <w:tcPr>
            <w:tcW w:w="1800" w:type="dxa"/>
          </w:tcPr>
          <w:p w14:paraId="636C4188" w14:textId="77777777" w:rsidR="00DA702B" w:rsidRPr="00DA702B" w:rsidRDefault="00DA702B" w:rsidP="00DA702B">
            <w:pPr>
              <w:rPr>
                <w:sz w:val="20"/>
                <w:szCs w:val="20"/>
              </w:rPr>
            </w:pPr>
          </w:p>
        </w:tc>
      </w:tr>
      <w:tr w:rsidR="00DA702B" w:rsidRPr="00DA702B" w14:paraId="7AEF16FA" w14:textId="77777777" w:rsidTr="00247007">
        <w:trPr>
          <w:cantSplit/>
          <w:trHeight w:val="346"/>
          <w:tblHeader/>
        </w:trPr>
        <w:tc>
          <w:tcPr>
            <w:tcW w:w="1800" w:type="dxa"/>
          </w:tcPr>
          <w:p w14:paraId="63C38E12" w14:textId="77777777" w:rsidR="00DA702B" w:rsidRPr="00DA702B" w:rsidRDefault="00DA702B" w:rsidP="00DA702B">
            <w:pPr>
              <w:rPr>
                <w:sz w:val="20"/>
                <w:szCs w:val="20"/>
              </w:rPr>
            </w:pPr>
          </w:p>
        </w:tc>
        <w:tc>
          <w:tcPr>
            <w:tcW w:w="1800" w:type="dxa"/>
          </w:tcPr>
          <w:p w14:paraId="602E23BA" w14:textId="77777777" w:rsidR="00DA702B" w:rsidRPr="00DA702B" w:rsidRDefault="00DA702B" w:rsidP="00DA702B">
            <w:pPr>
              <w:rPr>
                <w:sz w:val="20"/>
                <w:szCs w:val="20"/>
              </w:rPr>
            </w:pPr>
          </w:p>
        </w:tc>
        <w:tc>
          <w:tcPr>
            <w:tcW w:w="1800" w:type="dxa"/>
          </w:tcPr>
          <w:p w14:paraId="651D7295" w14:textId="77777777" w:rsidR="00DA702B" w:rsidRPr="00DA702B" w:rsidRDefault="00DA702B" w:rsidP="00DA702B">
            <w:pPr>
              <w:rPr>
                <w:sz w:val="20"/>
                <w:szCs w:val="20"/>
              </w:rPr>
            </w:pPr>
          </w:p>
        </w:tc>
        <w:tc>
          <w:tcPr>
            <w:tcW w:w="1800" w:type="dxa"/>
          </w:tcPr>
          <w:p w14:paraId="35C19A11" w14:textId="77777777" w:rsidR="00DA702B" w:rsidRPr="00DA702B" w:rsidRDefault="00DA702B" w:rsidP="00DA702B">
            <w:pPr>
              <w:rPr>
                <w:sz w:val="20"/>
                <w:szCs w:val="20"/>
              </w:rPr>
            </w:pPr>
          </w:p>
        </w:tc>
        <w:tc>
          <w:tcPr>
            <w:tcW w:w="1800" w:type="dxa"/>
          </w:tcPr>
          <w:p w14:paraId="5F405325" w14:textId="77777777" w:rsidR="00DA702B" w:rsidRPr="00DA702B" w:rsidRDefault="00DA702B" w:rsidP="00DA702B">
            <w:pPr>
              <w:rPr>
                <w:sz w:val="20"/>
                <w:szCs w:val="20"/>
              </w:rPr>
            </w:pPr>
          </w:p>
        </w:tc>
        <w:tc>
          <w:tcPr>
            <w:tcW w:w="1800" w:type="dxa"/>
          </w:tcPr>
          <w:p w14:paraId="41C28B88" w14:textId="77777777" w:rsidR="00DA702B" w:rsidRPr="00DA702B" w:rsidRDefault="00DA702B" w:rsidP="00DA702B">
            <w:pPr>
              <w:rPr>
                <w:sz w:val="20"/>
                <w:szCs w:val="20"/>
              </w:rPr>
            </w:pPr>
          </w:p>
        </w:tc>
        <w:tc>
          <w:tcPr>
            <w:tcW w:w="1800" w:type="dxa"/>
          </w:tcPr>
          <w:p w14:paraId="5F6FB91F" w14:textId="77777777" w:rsidR="00DA702B" w:rsidRPr="00DA702B" w:rsidRDefault="00DA702B" w:rsidP="00DA702B">
            <w:pPr>
              <w:rPr>
                <w:sz w:val="20"/>
                <w:szCs w:val="20"/>
              </w:rPr>
            </w:pPr>
          </w:p>
        </w:tc>
        <w:tc>
          <w:tcPr>
            <w:tcW w:w="1800" w:type="dxa"/>
          </w:tcPr>
          <w:p w14:paraId="5C1DB67F" w14:textId="77777777" w:rsidR="00DA702B" w:rsidRPr="00DA702B" w:rsidRDefault="00DA702B" w:rsidP="00DA702B">
            <w:pPr>
              <w:rPr>
                <w:sz w:val="20"/>
                <w:szCs w:val="20"/>
              </w:rPr>
            </w:pPr>
          </w:p>
        </w:tc>
      </w:tr>
      <w:tr w:rsidR="00DA702B" w:rsidRPr="00DA702B" w14:paraId="0290AEEC" w14:textId="77777777" w:rsidTr="00247007">
        <w:trPr>
          <w:cantSplit/>
          <w:trHeight w:val="346"/>
          <w:tblHeader/>
        </w:trPr>
        <w:tc>
          <w:tcPr>
            <w:tcW w:w="1800" w:type="dxa"/>
          </w:tcPr>
          <w:p w14:paraId="415163CA" w14:textId="77777777" w:rsidR="00DA702B" w:rsidRPr="00DA702B" w:rsidRDefault="00DA702B" w:rsidP="00DA702B">
            <w:pPr>
              <w:rPr>
                <w:sz w:val="20"/>
                <w:szCs w:val="20"/>
              </w:rPr>
            </w:pPr>
          </w:p>
        </w:tc>
        <w:tc>
          <w:tcPr>
            <w:tcW w:w="1800" w:type="dxa"/>
          </w:tcPr>
          <w:p w14:paraId="6A6E16AB" w14:textId="77777777" w:rsidR="00DA702B" w:rsidRPr="00DA702B" w:rsidRDefault="00DA702B" w:rsidP="00DA702B">
            <w:pPr>
              <w:rPr>
                <w:sz w:val="20"/>
                <w:szCs w:val="20"/>
              </w:rPr>
            </w:pPr>
          </w:p>
        </w:tc>
        <w:tc>
          <w:tcPr>
            <w:tcW w:w="1800" w:type="dxa"/>
          </w:tcPr>
          <w:p w14:paraId="1C68999B" w14:textId="77777777" w:rsidR="00DA702B" w:rsidRPr="00DA702B" w:rsidRDefault="00DA702B" w:rsidP="00DA702B">
            <w:pPr>
              <w:rPr>
                <w:sz w:val="20"/>
                <w:szCs w:val="20"/>
              </w:rPr>
            </w:pPr>
          </w:p>
        </w:tc>
        <w:tc>
          <w:tcPr>
            <w:tcW w:w="1800" w:type="dxa"/>
          </w:tcPr>
          <w:p w14:paraId="73D98FF8" w14:textId="77777777" w:rsidR="00DA702B" w:rsidRPr="00DA702B" w:rsidRDefault="00DA702B" w:rsidP="00DA702B">
            <w:pPr>
              <w:rPr>
                <w:sz w:val="20"/>
                <w:szCs w:val="20"/>
              </w:rPr>
            </w:pPr>
          </w:p>
        </w:tc>
        <w:tc>
          <w:tcPr>
            <w:tcW w:w="1800" w:type="dxa"/>
          </w:tcPr>
          <w:p w14:paraId="7C7513ED" w14:textId="77777777" w:rsidR="00DA702B" w:rsidRPr="00DA702B" w:rsidRDefault="00DA702B" w:rsidP="00DA702B">
            <w:pPr>
              <w:rPr>
                <w:sz w:val="20"/>
                <w:szCs w:val="20"/>
              </w:rPr>
            </w:pPr>
          </w:p>
        </w:tc>
        <w:tc>
          <w:tcPr>
            <w:tcW w:w="1800" w:type="dxa"/>
          </w:tcPr>
          <w:p w14:paraId="328A6E99" w14:textId="77777777" w:rsidR="00DA702B" w:rsidRPr="00DA702B" w:rsidRDefault="00DA702B" w:rsidP="00DA702B">
            <w:pPr>
              <w:rPr>
                <w:sz w:val="20"/>
                <w:szCs w:val="20"/>
              </w:rPr>
            </w:pPr>
          </w:p>
        </w:tc>
        <w:tc>
          <w:tcPr>
            <w:tcW w:w="1800" w:type="dxa"/>
          </w:tcPr>
          <w:p w14:paraId="03C1B508" w14:textId="77777777" w:rsidR="00DA702B" w:rsidRPr="00DA702B" w:rsidRDefault="00DA702B" w:rsidP="00DA702B">
            <w:pPr>
              <w:rPr>
                <w:sz w:val="20"/>
                <w:szCs w:val="20"/>
              </w:rPr>
            </w:pPr>
          </w:p>
        </w:tc>
        <w:tc>
          <w:tcPr>
            <w:tcW w:w="1800" w:type="dxa"/>
          </w:tcPr>
          <w:p w14:paraId="394AB864" w14:textId="77777777" w:rsidR="00DA702B" w:rsidRPr="00DA702B" w:rsidRDefault="00DA702B" w:rsidP="00DA702B">
            <w:pPr>
              <w:rPr>
                <w:sz w:val="20"/>
                <w:szCs w:val="20"/>
              </w:rPr>
            </w:pPr>
          </w:p>
        </w:tc>
      </w:tr>
      <w:tr w:rsidR="00DA702B" w:rsidRPr="00DA702B" w14:paraId="3B3562BC" w14:textId="77777777" w:rsidTr="00247007">
        <w:trPr>
          <w:cantSplit/>
          <w:trHeight w:val="346"/>
          <w:tblHeader/>
        </w:trPr>
        <w:tc>
          <w:tcPr>
            <w:tcW w:w="1800" w:type="dxa"/>
          </w:tcPr>
          <w:p w14:paraId="03933801" w14:textId="77777777" w:rsidR="00DA702B" w:rsidRPr="00DA702B" w:rsidRDefault="00DA702B" w:rsidP="00DA702B">
            <w:pPr>
              <w:rPr>
                <w:sz w:val="20"/>
                <w:szCs w:val="20"/>
              </w:rPr>
            </w:pPr>
          </w:p>
        </w:tc>
        <w:tc>
          <w:tcPr>
            <w:tcW w:w="1800" w:type="dxa"/>
          </w:tcPr>
          <w:p w14:paraId="41D82E8B" w14:textId="77777777" w:rsidR="00DA702B" w:rsidRPr="00DA702B" w:rsidRDefault="00DA702B" w:rsidP="00DA702B">
            <w:pPr>
              <w:rPr>
                <w:sz w:val="20"/>
                <w:szCs w:val="20"/>
              </w:rPr>
            </w:pPr>
          </w:p>
        </w:tc>
        <w:tc>
          <w:tcPr>
            <w:tcW w:w="1800" w:type="dxa"/>
          </w:tcPr>
          <w:p w14:paraId="1D7E7377" w14:textId="77777777" w:rsidR="00DA702B" w:rsidRPr="00DA702B" w:rsidRDefault="00DA702B" w:rsidP="00DA702B">
            <w:pPr>
              <w:rPr>
                <w:sz w:val="20"/>
                <w:szCs w:val="20"/>
              </w:rPr>
            </w:pPr>
          </w:p>
        </w:tc>
        <w:tc>
          <w:tcPr>
            <w:tcW w:w="1800" w:type="dxa"/>
          </w:tcPr>
          <w:p w14:paraId="172052C8" w14:textId="77777777" w:rsidR="00DA702B" w:rsidRPr="00DA702B" w:rsidRDefault="00DA702B" w:rsidP="00DA702B">
            <w:pPr>
              <w:rPr>
                <w:sz w:val="20"/>
                <w:szCs w:val="20"/>
              </w:rPr>
            </w:pPr>
          </w:p>
        </w:tc>
        <w:tc>
          <w:tcPr>
            <w:tcW w:w="1800" w:type="dxa"/>
          </w:tcPr>
          <w:p w14:paraId="4E147F1F" w14:textId="77777777" w:rsidR="00DA702B" w:rsidRPr="00DA702B" w:rsidRDefault="00DA702B" w:rsidP="00DA702B">
            <w:pPr>
              <w:rPr>
                <w:sz w:val="20"/>
                <w:szCs w:val="20"/>
              </w:rPr>
            </w:pPr>
          </w:p>
        </w:tc>
        <w:tc>
          <w:tcPr>
            <w:tcW w:w="1800" w:type="dxa"/>
          </w:tcPr>
          <w:p w14:paraId="035DB882" w14:textId="77777777" w:rsidR="00DA702B" w:rsidRPr="00DA702B" w:rsidRDefault="00DA702B" w:rsidP="00DA702B">
            <w:pPr>
              <w:rPr>
                <w:sz w:val="20"/>
                <w:szCs w:val="20"/>
              </w:rPr>
            </w:pPr>
          </w:p>
        </w:tc>
        <w:tc>
          <w:tcPr>
            <w:tcW w:w="1800" w:type="dxa"/>
          </w:tcPr>
          <w:p w14:paraId="3D7C0A73" w14:textId="77777777" w:rsidR="00DA702B" w:rsidRPr="00DA702B" w:rsidRDefault="00DA702B" w:rsidP="00DA702B">
            <w:pPr>
              <w:rPr>
                <w:sz w:val="20"/>
                <w:szCs w:val="20"/>
              </w:rPr>
            </w:pPr>
          </w:p>
        </w:tc>
        <w:tc>
          <w:tcPr>
            <w:tcW w:w="1800" w:type="dxa"/>
          </w:tcPr>
          <w:p w14:paraId="5AA9B298" w14:textId="77777777" w:rsidR="00DA702B" w:rsidRPr="00DA702B" w:rsidRDefault="00DA702B" w:rsidP="00DA702B">
            <w:pPr>
              <w:rPr>
                <w:sz w:val="20"/>
                <w:szCs w:val="20"/>
              </w:rPr>
            </w:pPr>
          </w:p>
        </w:tc>
      </w:tr>
      <w:tr w:rsidR="00DA702B" w:rsidRPr="00DA702B" w14:paraId="5E5CC186" w14:textId="77777777" w:rsidTr="00247007">
        <w:trPr>
          <w:cantSplit/>
          <w:trHeight w:val="346"/>
          <w:tblHeader/>
        </w:trPr>
        <w:tc>
          <w:tcPr>
            <w:tcW w:w="1800" w:type="dxa"/>
          </w:tcPr>
          <w:p w14:paraId="0A19A742" w14:textId="77777777" w:rsidR="00DA702B" w:rsidRPr="00DA702B" w:rsidRDefault="00DA702B" w:rsidP="00DA702B">
            <w:pPr>
              <w:rPr>
                <w:sz w:val="20"/>
                <w:szCs w:val="20"/>
              </w:rPr>
            </w:pPr>
          </w:p>
        </w:tc>
        <w:tc>
          <w:tcPr>
            <w:tcW w:w="1800" w:type="dxa"/>
          </w:tcPr>
          <w:p w14:paraId="1532441B" w14:textId="77777777" w:rsidR="00DA702B" w:rsidRPr="00DA702B" w:rsidRDefault="00DA702B" w:rsidP="00DA702B">
            <w:pPr>
              <w:rPr>
                <w:sz w:val="20"/>
                <w:szCs w:val="20"/>
              </w:rPr>
            </w:pPr>
          </w:p>
        </w:tc>
        <w:tc>
          <w:tcPr>
            <w:tcW w:w="1800" w:type="dxa"/>
          </w:tcPr>
          <w:p w14:paraId="446B6AF8" w14:textId="77777777" w:rsidR="00DA702B" w:rsidRPr="00DA702B" w:rsidRDefault="00DA702B" w:rsidP="00DA702B">
            <w:pPr>
              <w:rPr>
                <w:sz w:val="20"/>
                <w:szCs w:val="20"/>
              </w:rPr>
            </w:pPr>
          </w:p>
        </w:tc>
        <w:tc>
          <w:tcPr>
            <w:tcW w:w="1800" w:type="dxa"/>
          </w:tcPr>
          <w:p w14:paraId="67F3778B" w14:textId="77777777" w:rsidR="00DA702B" w:rsidRPr="00DA702B" w:rsidRDefault="00DA702B" w:rsidP="00DA702B">
            <w:pPr>
              <w:rPr>
                <w:sz w:val="20"/>
                <w:szCs w:val="20"/>
              </w:rPr>
            </w:pPr>
          </w:p>
        </w:tc>
        <w:tc>
          <w:tcPr>
            <w:tcW w:w="1800" w:type="dxa"/>
          </w:tcPr>
          <w:p w14:paraId="023E0C55" w14:textId="77777777" w:rsidR="00DA702B" w:rsidRPr="00DA702B" w:rsidRDefault="00DA702B" w:rsidP="00DA702B">
            <w:pPr>
              <w:rPr>
                <w:sz w:val="20"/>
                <w:szCs w:val="20"/>
              </w:rPr>
            </w:pPr>
          </w:p>
        </w:tc>
        <w:tc>
          <w:tcPr>
            <w:tcW w:w="1800" w:type="dxa"/>
          </w:tcPr>
          <w:p w14:paraId="216BBD85" w14:textId="77777777" w:rsidR="00DA702B" w:rsidRPr="00DA702B" w:rsidRDefault="00DA702B" w:rsidP="00DA702B">
            <w:pPr>
              <w:rPr>
                <w:sz w:val="20"/>
                <w:szCs w:val="20"/>
              </w:rPr>
            </w:pPr>
          </w:p>
        </w:tc>
        <w:tc>
          <w:tcPr>
            <w:tcW w:w="1800" w:type="dxa"/>
          </w:tcPr>
          <w:p w14:paraId="3D526A57" w14:textId="77777777" w:rsidR="00DA702B" w:rsidRPr="00DA702B" w:rsidRDefault="00DA702B" w:rsidP="00DA702B">
            <w:pPr>
              <w:rPr>
                <w:sz w:val="20"/>
                <w:szCs w:val="20"/>
              </w:rPr>
            </w:pPr>
          </w:p>
        </w:tc>
        <w:tc>
          <w:tcPr>
            <w:tcW w:w="1800" w:type="dxa"/>
          </w:tcPr>
          <w:p w14:paraId="1DC65FFA" w14:textId="77777777" w:rsidR="00DA702B" w:rsidRPr="00DA702B" w:rsidRDefault="00DA702B" w:rsidP="00DA702B">
            <w:pPr>
              <w:rPr>
                <w:sz w:val="20"/>
                <w:szCs w:val="20"/>
              </w:rPr>
            </w:pPr>
          </w:p>
        </w:tc>
      </w:tr>
    </w:tbl>
    <w:p w14:paraId="6E816806" w14:textId="77777777" w:rsidR="00DA702B" w:rsidRPr="00DA702B" w:rsidRDefault="00DA702B" w:rsidP="00DA702B">
      <w:r w:rsidRPr="00DA702B">
        <w:br w:type="page"/>
      </w:r>
    </w:p>
    <w:p w14:paraId="758094D4" w14:textId="77777777" w:rsidR="00DA702B" w:rsidRPr="00DA702B" w:rsidRDefault="00DA702B" w:rsidP="006F14A1">
      <w:pPr>
        <w:contextualSpacing/>
        <w:jc w:val="center"/>
        <w:outlineLvl w:val="0"/>
        <w:rPr>
          <w:b/>
          <w:bCs/>
        </w:rPr>
      </w:pPr>
      <w:r w:rsidRPr="00DA702B">
        <w:rPr>
          <w:b/>
          <w:bCs/>
        </w:rPr>
        <w:lastRenderedPageBreak/>
        <w:t>Boiler/Steam Generator/Steam Generating Unit Attributes</w:t>
      </w:r>
    </w:p>
    <w:p w14:paraId="44DD8C91" w14:textId="77777777" w:rsidR="006F14A1" w:rsidRDefault="00DA702B" w:rsidP="006F14A1">
      <w:pPr>
        <w:contextualSpacing/>
        <w:jc w:val="center"/>
        <w:outlineLvl w:val="0"/>
        <w:rPr>
          <w:b/>
          <w:bCs/>
        </w:rPr>
      </w:pPr>
      <w:r w:rsidRPr="00DA702B">
        <w:rPr>
          <w:b/>
          <w:bCs/>
        </w:rPr>
        <w:t>Form OP-UA6 (Page 22)</w:t>
      </w:r>
    </w:p>
    <w:p w14:paraId="39F484EC" w14:textId="4BE5AAFD" w:rsidR="00DA702B" w:rsidRPr="00DA702B" w:rsidRDefault="00DA702B" w:rsidP="006F14A1">
      <w:pPr>
        <w:contextualSpacing/>
        <w:jc w:val="center"/>
        <w:outlineLvl w:val="0"/>
        <w:rPr>
          <w:b/>
          <w:bCs/>
        </w:rPr>
      </w:pPr>
      <w:r w:rsidRPr="00DA702B">
        <w:rPr>
          <w:b/>
          <w:bCs/>
        </w:rPr>
        <w:t>Federal Operating Permit Program</w:t>
      </w:r>
    </w:p>
    <w:p w14:paraId="749C1205" w14:textId="77777777" w:rsidR="00DA702B" w:rsidRPr="00DA702B" w:rsidRDefault="00DA702B" w:rsidP="006F14A1">
      <w:pPr>
        <w:contextualSpacing/>
        <w:jc w:val="center"/>
        <w:outlineLvl w:val="0"/>
        <w:rPr>
          <w:b/>
          <w:bCs/>
        </w:rPr>
      </w:pPr>
      <w:bookmarkStart w:id="184" w:name="TBL_9a"/>
      <w:r w:rsidRPr="00DA702B">
        <w:rPr>
          <w:b/>
          <w:bCs/>
        </w:rPr>
        <w:t>Table 9a</w:t>
      </w:r>
      <w:bookmarkEnd w:id="184"/>
      <w:r w:rsidRPr="00DA702B">
        <w:rPr>
          <w:b/>
          <w:bCs/>
        </w:rPr>
        <w:t>:  Title 30 Texas Administrative Code Chapter 117 (30 TAC Chapter 117)</w:t>
      </w:r>
    </w:p>
    <w:p w14:paraId="226C442D" w14:textId="77777777" w:rsidR="00DA702B" w:rsidRPr="00DA702B" w:rsidRDefault="00DA702B" w:rsidP="006F14A1">
      <w:pPr>
        <w:contextualSpacing/>
        <w:jc w:val="center"/>
        <w:outlineLvl w:val="0"/>
        <w:rPr>
          <w:b/>
          <w:bCs/>
        </w:rPr>
      </w:pPr>
      <w:r w:rsidRPr="00DA702B">
        <w:rPr>
          <w:b/>
          <w:bCs/>
        </w:rPr>
        <w:t>Subchapter E: Division 1:  Utility Electric Generation in East and Central Texas</w:t>
      </w:r>
    </w:p>
    <w:p w14:paraId="2E803DA7" w14:textId="77777777" w:rsidR="00DA702B" w:rsidRPr="00DA702B" w:rsidRDefault="00DA702B" w:rsidP="006F14A1">
      <w:pPr>
        <w:contextualSpacing/>
        <w:jc w:val="center"/>
        <w:outlineLvl w:val="0"/>
        <w:rPr>
          <w:b/>
          <w:bCs/>
        </w:rPr>
      </w:pPr>
      <w:r w:rsidRPr="00DA702B">
        <w:rPr>
          <w:b/>
          <w:bCs/>
        </w:rPr>
        <w:t>Texas Commission on Environmental Quality</w:t>
      </w:r>
    </w:p>
    <w:p w14:paraId="08C9F834"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Boiler/Steam Generator/Steam Generating Unit Attributes&#10;Form OP-UA6 (Page 22)&#10;Federal Operating Permit Program&#10;Table 9a:  Title 30 Texas Administrative Code Chapter 117 (30 TAC Chapter 117)&#10;Subchapter E: Division 1:  Utility Electric Generation in East and Central Texas&#10;"/>
      </w:tblPr>
      <w:tblGrid>
        <w:gridCol w:w="4800"/>
        <w:gridCol w:w="4800"/>
        <w:gridCol w:w="4800"/>
      </w:tblGrid>
      <w:tr w:rsidR="00DA702B" w:rsidRPr="00DA702B" w14:paraId="3D370998" w14:textId="77777777" w:rsidTr="00247007">
        <w:trPr>
          <w:cantSplit/>
          <w:tblHeader/>
        </w:trPr>
        <w:tc>
          <w:tcPr>
            <w:tcW w:w="4800" w:type="dxa"/>
            <w:shd w:val="clear" w:color="auto" w:fill="D9D9D9" w:themeFill="background1" w:themeFillShade="D9"/>
          </w:tcPr>
          <w:p w14:paraId="47438FC6"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05EF7134"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4DD69C4D"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7D7F13E1" w14:textId="77777777" w:rsidTr="00247007">
        <w:trPr>
          <w:cantSplit/>
          <w:tblHeader/>
        </w:trPr>
        <w:tc>
          <w:tcPr>
            <w:tcW w:w="4800" w:type="dxa"/>
          </w:tcPr>
          <w:p w14:paraId="0377DAF9" w14:textId="77777777" w:rsidR="00DA702B" w:rsidRPr="00DA702B" w:rsidRDefault="00DA702B" w:rsidP="00DA702B">
            <w:pPr>
              <w:rPr>
                <w:rFonts w:asciiTheme="majorHAnsi" w:hAnsiTheme="majorHAnsi" w:cstheme="majorHAnsi"/>
              </w:rPr>
            </w:pPr>
          </w:p>
        </w:tc>
        <w:tc>
          <w:tcPr>
            <w:tcW w:w="4800" w:type="dxa"/>
          </w:tcPr>
          <w:p w14:paraId="28183243" w14:textId="77777777" w:rsidR="00DA702B" w:rsidRPr="00DA702B" w:rsidRDefault="00DA702B" w:rsidP="00DA702B">
            <w:pPr>
              <w:rPr>
                <w:rFonts w:asciiTheme="majorHAnsi" w:hAnsiTheme="majorHAnsi" w:cstheme="majorHAnsi"/>
              </w:rPr>
            </w:pPr>
          </w:p>
        </w:tc>
        <w:tc>
          <w:tcPr>
            <w:tcW w:w="4800" w:type="dxa"/>
          </w:tcPr>
          <w:p w14:paraId="434D09D5" w14:textId="77777777" w:rsidR="00DA702B" w:rsidRPr="00DA702B" w:rsidRDefault="00DA702B" w:rsidP="00DA702B">
            <w:pPr>
              <w:rPr>
                <w:rFonts w:asciiTheme="majorHAnsi" w:hAnsiTheme="majorHAnsi" w:cstheme="majorHAnsi"/>
              </w:rPr>
            </w:pPr>
          </w:p>
        </w:tc>
      </w:tr>
    </w:tbl>
    <w:p w14:paraId="0F2AA756"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9a:  Title 30 Texas Administrative Code Chapter 117 (30 TAC Chapter 117)&#10;Subchapter E: Division 1:  Utility Electric Generation in East and Central Texas&#10;"/>
      </w:tblPr>
      <w:tblGrid>
        <w:gridCol w:w="1800"/>
        <w:gridCol w:w="1800"/>
        <w:gridCol w:w="1800"/>
        <w:gridCol w:w="1800"/>
        <w:gridCol w:w="1800"/>
        <w:gridCol w:w="1800"/>
        <w:gridCol w:w="1800"/>
        <w:gridCol w:w="1800"/>
      </w:tblGrid>
      <w:tr w:rsidR="00DA702B" w:rsidRPr="00DA702B" w14:paraId="09E74EB7" w14:textId="77777777" w:rsidTr="00247007">
        <w:trPr>
          <w:cantSplit/>
          <w:tblHeader/>
        </w:trPr>
        <w:tc>
          <w:tcPr>
            <w:tcW w:w="1800" w:type="dxa"/>
            <w:shd w:val="clear" w:color="auto" w:fill="D9D9D9" w:themeFill="background1" w:themeFillShade="D9"/>
            <w:vAlign w:val="center"/>
          </w:tcPr>
          <w:p w14:paraId="726246CF" w14:textId="77777777" w:rsidR="00DA702B" w:rsidRPr="00DA702B" w:rsidRDefault="00DA702B" w:rsidP="00DA702B">
            <w:pPr>
              <w:rPr>
                <w:sz w:val="20"/>
                <w:szCs w:val="20"/>
              </w:rPr>
            </w:pPr>
            <w:r w:rsidRPr="00DA702B">
              <w:rPr>
                <w:b/>
                <w:sz w:val="20"/>
                <w:szCs w:val="20"/>
              </w:rPr>
              <w:t>Unit ID No.</w:t>
            </w:r>
          </w:p>
        </w:tc>
        <w:tc>
          <w:tcPr>
            <w:tcW w:w="1800" w:type="dxa"/>
            <w:shd w:val="clear" w:color="auto" w:fill="D9D9D9" w:themeFill="background1" w:themeFillShade="D9"/>
            <w:vAlign w:val="center"/>
          </w:tcPr>
          <w:p w14:paraId="3F4378B9" w14:textId="77777777" w:rsidR="00DA702B" w:rsidRPr="00DA702B" w:rsidRDefault="00DA702B" w:rsidP="00DA702B">
            <w:pPr>
              <w:rPr>
                <w:sz w:val="20"/>
                <w:szCs w:val="20"/>
              </w:rPr>
            </w:pPr>
            <w:r w:rsidRPr="00DA702B">
              <w:rPr>
                <w:b/>
                <w:sz w:val="20"/>
                <w:szCs w:val="20"/>
              </w:rPr>
              <w:t>SOP Index No.</w:t>
            </w:r>
          </w:p>
        </w:tc>
        <w:tc>
          <w:tcPr>
            <w:tcW w:w="1800" w:type="dxa"/>
            <w:shd w:val="clear" w:color="auto" w:fill="D9D9D9" w:themeFill="background1" w:themeFillShade="D9"/>
            <w:vAlign w:val="center"/>
          </w:tcPr>
          <w:p w14:paraId="1A7B1F0F" w14:textId="77777777" w:rsidR="00DA702B" w:rsidRPr="00DA702B" w:rsidRDefault="00DA702B" w:rsidP="00DA702B">
            <w:pPr>
              <w:rPr>
                <w:sz w:val="20"/>
                <w:szCs w:val="20"/>
              </w:rPr>
            </w:pPr>
            <w:r w:rsidRPr="00DA702B">
              <w:rPr>
                <w:b/>
                <w:sz w:val="20"/>
                <w:szCs w:val="20"/>
              </w:rPr>
              <w:t>Date Placed in Service</w:t>
            </w:r>
          </w:p>
        </w:tc>
        <w:tc>
          <w:tcPr>
            <w:tcW w:w="1800" w:type="dxa"/>
            <w:shd w:val="clear" w:color="auto" w:fill="D9D9D9" w:themeFill="background1" w:themeFillShade="D9"/>
            <w:vAlign w:val="center"/>
          </w:tcPr>
          <w:p w14:paraId="006351BA" w14:textId="77777777" w:rsidR="00DA702B" w:rsidRPr="00DA702B" w:rsidRDefault="00DA702B" w:rsidP="00DA702B">
            <w:pPr>
              <w:rPr>
                <w:sz w:val="20"/>
                <w:szCs w:val="20"/>
              </w:rPr>
            </w:pPr>
            <w:r w:rsidRPr="00DA702B">
              <w:rPr>
                <w:b/>
                <w:sz w:val="20"/>
                <w:szCs w:val="20"/>
              </w:rPr>
              <w:t>Unit Exempt</w:t>
            </w:r>
          </w:p>
        </w:tc>
        <w:tc>
          <w:tcPr>
            <w:tcW w:w="1800" w:type="dxa"/>
            <w:shd w:val="clear" w:color="auto" w:fill="D9D9D9" w:themeFill="background1" w:themeFillShade="D9"/>
            <w:vAlign w:val="center"/>
          </w:tcPr>
          <w:p w14:paraId="7D4306C9" w14:textId="77777777" w:rsidR="00DA702B" w:rsidRPr="00DA702B" w:rsidRDefault="00DA702B" w:rsidP="00DA702B">
            <w:pPr>
              <w:rPr>
                <w:sz w:val="20"/>
                <w:szCs w:val="20"/>
              </w:rPr>
            </w:pPr>
            <w:r w:rsidRPr="00DA702B">
              <w:rPr>
                <w:b/>
                <w:sz w:val="20"/>
                <w:szCs w:val="20"/>
              </w:rPr>
              <w:t>Location</w:t>
            </w:r>
          </w:p>
        </w:tc>
        <w:tc>
          <w:tcPr>
            <w:tcW w:w="1800" w:type="dxa"/>
            <w:shd w:val="clear" w:color="auto" w:fill="D9D9D9" w:themeFill="background1" w:themeFillShade="D9"/>
            <w:vAlign w:val="center"/>
          </w:tcPr>
          <w:p w14:paraId="0F685266" w14:textId="77777777" w:rsidR="00DA702B" w:rsidRPr="00DA702B" w:rsidRDefault="00DA702B" w:rsidP="00DA702B">
            <w:pPr>
              <w:rPr>
                <w:sz w:val="20"/>
                <w:szCs w:val="20"/>
              </w:rPr>
            </w:pPr>
            <w:r w:rsidRPr="00DA702B">
              <w:rPr>
                <w:b/>
                <w:sz w:val="20"/>
                <w:szCs w:val="20"/>
              </w:rPr>
              <w:t>Capacity</w:t>
            </w:r>
          </w:p>
        </w:tc>
        <w:tc>
          <w:tcPr>
            <w:tcW w:w="1800" w:type="dxa"/>
            <w:shd w:val="clear" w:color="auto" w:fill="D9D9D9" w:themeFill="background1" w:themeFillShade="D9"/>
            <w:vAlign w:val="center"/>
          </w:tcPr>
          <w:p w14:paraId="302DBAD8" w14:textId="77777777" w:rsidR="00DA702B" w:rsidRPr="00DA702B" w:rsidRDefault="00DA702B" w:rsidP="00DA702B">
            <w:pPr>
              <w:rPr>
                <w:sz w:val="20"/>
                <w:szCs w:val="20"/>
              </w:rPr>
            </w:pPr>
            <w:r w:rsidRPr="00DA702B">
              <w:rPr>
                <w:b/>
                <w:sz w:val="20"/>
                <w:szCs w:val="20"/>
              </w:rPr>
              <w:t>30% of the Maximum</w:t>
            </w:r>
          </w:p>
        </w:tc>
        <w:tc>
          <w:tcPr>
            <w:tcW w:w="1800" w:type="dxa"/>
            <w:shd w:val="clear" w:color="auto" w:fill="D9D9D9" w:themeFill="background1" w:themeFillShade="D9"/>
            <w:vAlign w:val="center"/>
          </w:tcPr>
          <w:p w14:paraId="6565B540" w14:textId="77777777" w:rsidR="00DA702B" w:rsidRPr="00DA702B" w:rsidRDefault="00DA702B" w:rsidP="00DA702B">
            <w:pPr>
              <w:rPr>
                <w:sz w:val="20"/>
                <w:szCs w:val="20"/>
              </w:rPr>
            </w:pPr>
            <w:r w:rsidRPr="00DA702B">
              <w:rPr>
                <w:b/>
                <w:sz w:val="20"/>
                <w:szCs w:val="20"/>
              </w:rPr>
              <w:t>Firing Method</w:t>
            </w:r>
          </w:p>
        </w:tc>
      </w:tr>
      <w:tr w:rsidR="00DA702B" w:rsidRPr="00DA702B" w14:paraId="299B46C1" w14:textId="77777777" w:rsidTr="00247007">
        <w:trPr>
          <w:cantSplit/>
          <w:trHeight w:val="346"/>
          <w:tblHeader/>
        </w:trPr>
        <w:tc>
          <w:tcPr>
            <w:tcW w:w="1800" w:type="dxa"/>
          </w:tcPr>
          <w:p w14:paraId="09C37CA1" w14:textId="77777777" w:rsidR="00DA702B" w:rsidRPr="00DA702B" w:rsidRDefault="00DA702B" w:rsidP="00DA702B">
            <w:pPr>
              <w:rPr>
                <w:sz w:val="20"/>
                <w:szCs w:val="20"/>
              </w:rPr>
            </w:pPr>
          </w:p>
        </w:tc>
        <w:tc>
          <w:tcPr>
            <w:tcW w:w="1800" w:type="dxa"/>
          </w:tcPr>
          <w:p w14:paraId="2B90DE2B" w14:textId="77777777" w:rsidR="00DA702B" w:rsidRPr="00DA702B" w:rsidRDefault="00DA702B" w:rsidP="00DA702B">
            <w:pPr>
              <w:rPr>
                <w:sz w:val="20"/>
                <w:szCs w:val="20"/>
              </w:rPr>
            </w:pPr>
          </w:p>
        </w:tc>
        <w:tc>
          <w:tcPr>
            <w:tcW w:w="1800" w:type="dxa"/>
          </w:tcPr>
          <w:p w14:paraId="6FA7DB81" w14:textId="77777777" w:rsidR="00DA702B" w:rsidRPr="00DA702B" w:rsidRDefault="00DA702B" w:rsidP="00DA702B">
            <w:pPr>
              <w:rPr>
                <w:sz w:val="20"/>
                <w:szCs w:val="20"/>
              </w:rPr>
            </w:pPr>
          </w:p>
        </w:tc>
        <w:tc>
          <w:tcPr>
            <w:tcW w:w="1800" w:type="dxa"/>
          </w:tcPr>
          <w:p w14:paraId="159CD36F" w14:textId="77777777" w:rsidR="00DA702B" w:rsidRPr="00DA702B" w:rsidRDefault="00DA702B" w:rsidP="00DA702B">
            <w:pPr>
              <w:rPr>
                <w:sz w:val="20"/>
                <w:szCs w:val="20"/>
              </w:rPr>
            </w:pPr>
          </w:p>
        </w:tc>
        <w:tc>
          <w:tcPr>
            <w:tcW w:w="1800" w:type="dxa"/>
          </w:tcPr>
          <w:p w14:paraId="3C680EA2" w14:textId="77777777" w:rsidR="00DA702B" w:rsidRPr="00DA702B" w:rsidRDefault="00DA702B" w:rsidP="00DA702B">
            <w:pPr>
              <w:rPr>
                <w:sz w:val="20"/>
                <w:szCs w:val="20"/>
              </w:rPr>
            </w:pPr>
          </w:p>
        </w:tc>
        <w:tc>
          <w:tcPr>
            <w:tcW w:w="1800" w:type="dxa"/>
          </w:tcPr>
          <w:p w14:paraId="7F06375D" w14:textId="77777777" w:rsidR="00DA702B" w:rsidRPr="00DA702B" w:rsidRDefault="00DA702B" w:rsidP="00DA702B">
            <w:pPr>
              <w:rPr>
                <w:sz w:val="20"/>
                <w:szCs w:val="20"/>
              </w:rPr>
            </w:pPr>
          </w:p>
        </w:tc>
        <w:tc>
          <w:tcPr>
            <w:tcW w:w="1800" w:type="dxa"/>
          </w:tcPr>
          <w:p w14:paraId="2C86D4CF" w14:textId="77777777" w:rsidR="00DA702B" w:rsidRPr="00DA702B" w:rsidRDefault="00DA702B" w:rsidP="00DA702B">
            <w:pPr>
              <w:rPr>
                <w:sz w:val="20"/>
                <w:szCs w:val="20"/>
              </w:rPr>
            </w:pPr>
          </w:p>
        </w:tc>
        <w:tc>
          <w:tcPr>
            <w:tcW w:w="1800" w:type="dxa"/>
          </w:tcPr>
          <w:p w14:paraId="4B9EE3F0" w14:textId="77777777" w:rsidR="00DA702B" w:rsidRPr="00DA702B" w:rsidRDefault="00DA702B" w:rsidP="00DA702B">
            <w:pPr>
              <w:rPr>
                <w:sz w:val="20"/>
                <w:szCs w:val="20"/>
              </w:rPr>
            </w:pPr>
          </w:p>
        </w:tc>
      </w:tr>
      <w:tr w:rsidR="00DA702B" w:rsidRPr="00DA702B" w14:paraId="09EAC2C1" w14:textId="77777777" w:rsidTr="00247007">
        <w:trPr>
          <w:cantSplit/>
          <w:trHeight w:val="346"/>
          <w:tblHeader/>
        </w:trPr>
        <w:tc>
          <w:tcPr>
            <w:tcW w:w="1800" w:type="dxa"/>
          </w:tcPr>
          <w:p w14:paraId="44F6286A" w14:textId="77777777" w:rsidR="00DA702B" w:rsidRPr="00DA702B" w:rsidRDefault="00DA702B" w:rsidP="00DA702B">
            <w:pPr>
              <w:rPr>
                <w:sz w:val="20"/>
                <w:szCs w:val="20"/>
              </w:rPr>
            </w:pPr>
          </w:p>
        </w:tc>
        <w:tc>
          <w:tcPr>
            <w:tcW w:w="1800" w:type="dxa"/>
          </w:tcPr>
          <w:p w14:paraId="32793D3B" w14:textId="77777777" w:rsidR="00DA702B" w:rsidRPr="00DA702B" w:rsidRDefault="00DA702B" w:rsidP="00DA702B">
            <w:pPr>
              <w:rPr>
                <w:sz w:val="20"/>
                <w:szCs w:val="20"/>
              </w:rPr>
            </w:pPr>
          </w:p>
        </w:tc>
        <w:tc>
          <w:tcPr>
            <w:tcW w:w="1800" w:type="dxa"/>
          </w:tcPr>
          <w:p w14:paraId="702EC84A" w14:textId="77777777" w:rsidR="00DA702B" w:rsidRPr="00DA702B" w:rsidRDefault="00DA702B" w:rsidP="00DA702B">
            <w:pPr>
              <w:rPr>
                <w:sz w:val="20"/>
                <w:szCs w:val="20"/>
              </w:rPr>
            </w:pPr>
          </w:p>
        </w:tc>
        <w:tc>
          <w:tcPr>
            <w:tcW w:w="1800" w:type="dxa"/>
          </w:tcPr>
          <w:p w14:paraId="4DC6A024" w14:textId="77777777" w:rsidR="00DA702B" w:rsidRPr="00DA702B" w:rsidRDefault="00DA702B" w:rsidP="00DA702B">
            <w:pPr>
              <w:rPr>
                <w:sz w:val="20"/>
                <w:szCs w:val="20"/>
              </w:rPr>
            </w:pPr>
          </w:p>
        </w:tc>
        <w:tc>
          <w:tcPr>
            <w:tcW w:w="1800" w:type="dxa"/>
          </w:tcPr>
          <w:p w14:paraId="57FA5639" w14:textId="77777777" w:rsidR="00DA702B" w:rsidRPr="00DA702B" w:rsidRDefault="00DA702B" w:rsidP="00DA702B">
            <w:pPr>
              <w:rPr>
                <w:sz w:val="20"/>
                <w:szCs w:val="20"/>
              </w:rPr>
            </w:pPr>
          </w:p>
        </w:tc>
        <w:tc>
          <w:tcPr>
            <w:tcW w:w="1800" w:type="dxa"/>
          </w:tcPr>
          <w:p w14:paraId="39CABE0C" w14:textId="77777777" w:rsidR="00DA702B" w:rsidRPr="00DA702B" w:rsidRDefault="00DA702B" w:rsidP="00DA702B">
            <w:pPr>
              <w:rPr>
                <w:sz w:val="20"/>
                <w:szCs w:val="20"/>
              </w:rPr>
            </w:pPr>
          </w:p>
        </w:tc>
        <w:tc>
          <w:tcPr>
            <w:tcW w:w="1800" w:type="dxa"/>
          </w:tcPr>
          <w:p w14:paraId="31E99712" w14:textId="77777777" w:rsidR="00DA702B" w:rsidRPr="00DA702B" w:rsidRDefault="00DA702B" w:rsidP="00DA702B">
            <w:pPr>
              <w:rPr>
                <w:sz w:val="20"/>
                <w:szCs w:val="20"/>
              </w:rPr>
            </w:pPr>
          </w:p>
        </w:tc>
        <w:tc>
          <w:tcPr>
            <w:tcW w:w="1800" w:type="dxa"/>
          </w:tcPr>
          <w:p w14:paraId="695556AB" w14:textId="77777777" w:rsidR="00DA702B" w:rsidRPr="00DA702B" w:rsidRDefault="00DA702B" w:rsidP="00DA702B">
            <w:pPr>
              <w:rPr>
                <w:sz w:val="20"/>
                <w:szCs w:val="20"/>
              </w:rPr>
            </w:pPr>
          </w:p>
        </w:tc>
      </w:tr>
      <w:tr w:rsidR="00DA702B" w:rsidRPr="00DA702B" w14:paraId="3B41DCA9" w14:textId="77777777" w:rsidTr="00247007">
        <w:trPr>
          <w:cantSplit/>
          <w:trHeight w:val="346"/>
          <w:tblHeader/>
        </w:trPr>
        <w:tc>
          <w:tcPr>
            <w:tcW w:w="1800" w:type="dxa"/>
          </w:tcPr>
          <w:p w14:paraId="0E3E176B" w14:textId="77777777" w:rsidR="00DA702B" w:rsidRPr="00DA702B" w:rsidRDefault="00DA702B" w:rsidP="00DA702B">
            <w:pPr>
              <w:rPr>
                <w:sz w:val="20"/>
                <w:szCs w:val="20"/>
              </w:rPr>
            </w:pPr>
          </w:p>
        </w:tc>
        <w:tc>
          <w:tcPr>
            <w:tcW w:w="1800" w:type="dxa"/>
          </w:tcPr>
          <w:p w14:paraId="7F152B46" w14:textId="77777777" w:rsidR="00DA702B" w:rsidRPr="00DA702B" w:rsidRDefault="00DA702B" w:rsidP="00DA702B">
            <w:pPr>
              <w:rPr>
                <w:sz w:val="20"/>
                <w:szCs w:val="20"/>
              </w:rPr>
            </w:pPr>
          </w:p>
        </w:tc>
        <w:tc>
          <w:tcPr>
            <w:tcW w:w="1800" w:type="dxa"/>
          </w:tcPr>
          <w:p w14:paraId="6A2A209A" w14:textId="77777777" w:rsidR="00DA702B" w:rsidRPr="00DA702B" w:rsidRDefault="00DA702B" w:rsidP="00DA702B">
            <w:pPr>
              <w:rPr>
                <w:sz w:val="20"/>
                <w:szCs w:val="20"/>
              </w:rPr>
            </w:pPr>
          </w:p>
        </w:tc>
        <w:tc>
          <w:tcPr>
            <w:tcW w:w="1800" w:type="dxa"/>
          </w:tcPr>
          <w:p w14:paraId="6D319DAB" w14:textId="77777777" w:rsidR="00DA702B" w:rsidRPr="00DA702B" w:rsidRDefault="00DA702B" w:rsidP="00DA702B">
            <w:pPr>
              <w:rPr>
                <w:sz w:val="20"/>
                <w:szCs w:val="20"/>
              </w:rPr>
            </w:pPr>
          </w:p>
        </w:tc>
        <w:tc>
          <w:tcPr>
            <w:tcW w:w="1800" w:type="dxa"/>
          </w:tcPr>
          <w:p w14:paraId="237A8E47" w14:textId="77777777" w:rsidR="00DA702B" w:rsidRPr="00DA702B" w:rsidRDefault="00DA702B" w:rsidP="00DA702B">
            <w:pPr>
              <w:rPr>
                <w:sz w:val="20"/>
                <w:szCs w:val="20"/>
              </w:rPr>
            </w:pPr>
          </w:p>
        </w:tc>
        <w:tc>
          <w:tcPr>
            <w:tcW w:w="1800" w:type="dxa"/>
          </w:tcPr>
          <w:p w14:paraId="2FB0F5A9" w14:textId="77777777" w:rsidR="00DA702B" w:rsidRPr="00DA702B" w:rsidRDefault="00DA702B" w:rsidP="00DA702B">
            <w:pPr>
              <w:rPr>
                <w:sz w:val="20"/>
                <w:szCs w:val="20"/>
              </w:rPr>
            </w:pPr>
          </w:p>
        </w:tc>
        <w:tc>
          <w:tcPr>
            <w:tcW w:w="1800" w:type="dxa"/>
          </w:tcPr>
          <w:p w14:paraId="32CD3341" w14:textId="77777777" w:rsidR="00DA702B" w:rsidRPr="00DA702B" w:rsidRDefault="00DA702B" w:rsidP="00DA702B">
            <w:pPr>
              <w:rPr>
                <w:sz w:val="20"/>
                <w:szCs w:val="20"/>
              </w:rPr>
            </w:pPr>
          </w:p>
        </w:tc>
        <w:tc>
          <w:tcPr>
            <w:tcW w:w="1800" w:type="dxa"/>
          </w:tcPr>
          <w:p w14:paraId="05341CCF" w14:textId="77777777" w:rsidR="00DA702B" w:rsidRPr="00DA702B" w:rsidRDefault="00DA702B" w:rsidP="00DA702B">
            <w:pPr>
              <w:rPr>
                <w:sz w:val="20"/>
                <w:szCs w:val="20"/>
              </w:rPr>
            </w:pPr>
          </w:p>
        </w:tc>
      </w:tr>
      <w:tr w:rsidR="00DA702B" w:rsidRPr="00DA702B" w14:paraId="1A623E48" w14:textId="77777777" w:rsidTr="00247007">
        <w:trPr>
          <w:cantSplit/>
          <w:trHeight w:val="346"/>
          <w:tblHeader/>
        </w:trPr>
        <w:tc>
          <w:tcPr>
            <w:tcW w:w="1800" w:type="dxa"/>
          </w:tcPr>
          <w:p w14:paraId="68BB005B" w14:textId="77777777" w:rsidR="00DA702B" w:rsidRPr="00DA702B" w:rsidRDefault="00DA702B" w:rsidP="00DA702B">
            <w:pPr>
              <w:rPr>
                <w:sz w:val="20"/>
                <w:szCs w:val="20"/>
              </w:rPr>
            </w:pPr>
          </w:p>
        </w:tc>
        <w:tc>
          <w:tcPr>
            <w:tcW w:w="1800" w:type="dxa"/>
          </w:tcPr>
          <w:p w14:paraId="69098F67" w14:textId="77777777" w:rsidR="00DA702B" w:rsidRPr="00DA702B" w:rsidRDefault="00DA702B" w:rsidP="00DA702B">
            <w:pPr>
              <w:rPr>
                <w:sz w:val="20"/>
                <w:szCs w:val="20"/>
              </w:rPr>
            </w:pPr>
          </w:p>
        </w:tc>
        <w:tc>
          <w:tcPr>
            <w:tcW w:w="1800" w:type="dxa"/>
          </w:tcPr>
          <w:p w14:paraId="2ECF5549" w14:textId="77777777" w:rsidR="00DA702B" w:rsidRPr="00DA702B" w:rsidRDefault="00DA702B" w:rsidP="00DA702B">
            <w:pPr>
              <w:rPr>
                <w:sz w:val="20"/>
                <w:szCs w:val="20"/>
              </w:rPr>
            </w:pPr>
          </w:p>
        </w:tc>
        <w:tc>
          <w:tcPr>
            <w:tcW w:w="1800" w:type="dxa"/>
          </w:tcPr>
          <w:p w14:paraId="63079674" w14:textId="77777777" w:rsidR="00DA702B" w:rsidRPr="00DA702B" w:rsidRDefault="00DA702B" w:rsidP="00DA702B">
            <w:pPr>
              <w:rPr>
                <w:sz w:val="20"/>
                <w:szCs w:val="20"/>
              </w:rPr>
            </w:pPr>
          </w:p>
        </w:tc>
        <w:tc>
          <w:tcPr>
            <w:tcW w:w="1800" w:type="dxa"/>
          </w:tcPr>
          <w:p w14:paraId="3523BE2D" w14:textId="77777777" w:rsidR="00DA702B" w:rsidRPr="00DA702B" w:rsidRDefault="00DA702B" w:rsidP="00DA702B">
            <w:pPr>
              <w:rPr>
                <w:sz w:val="20"/>
                <w:szCs w:val="20"/>
              </w:rPr>
            </w:pPr>
          </w:p>
        </w:tc>
        <w:tc>
          <w:tcPr>
            <w:tcW w:w="1800" w:type="dxa"/>
          </w:tcPr>
          <w:p w14:paraId="37439C9D" w14:textId="77777777" w:rsidR="00DA702B" w:rsidRPr="00DA702B" w:rsidRDefault="00DA702B" w:rsidP="00DA702B">
            <w:pPr>
              <w:rPr>
                <w:sz w:val="20"/>
                <w:szCs w:val="20"/>
              </w:rPr>
            </w:pPr>
          </w:p>
        </w:tc>
        <w:tc>
          <w:tcPr>
            <w:tcW w:w="1800" w:type="dxa"/>
          </w:tcPr>
          <w:p w14:paraId="37DC0BD3" w14:textId="77777777" w:rsidR="00DA702B" w:rsidRPr="00DA702B" w:rsidRDefault="00DA702B" w:rsidP="00DA702B">
            <w:pPr>
              <w:rPr>
                <w:sz w:val="20"/>
                <w:szCs w:val="20"/>
              </w:rPr>
            </w:pPr>
          </w:p>
        </w:tc>
        <w:tc>
          <w:tcPr>
            <w:tcW w:w="1800" w:type="dxa"/>
          </w:tcPr>
          <w:p w14:paraId="0FBE80DC" w14:textId="77777777" w:rsidR="00DA702B" w:rsidRPr="00DA702B" w:rsidRDefault="00DA702B" w:rsidP="00DA702B">
            <w:pPr>
              <w:rPr>
                <w:sz w:val="20"/>
                <w:szCs w:val="20"/>
              </w:rPr>
            </w:pPr>
          </w:p>
        </w:tc>
      </w:tr>
      <w:tr w:rsidR="00DA702B" w:rsidRPr="00DA702B" w14:paraId="46115D49" w14:textId="77777777" w:rsidTr="00247007">
        <w:trPr>
          <w:cantSplit/>
          <w:trHeight w:val="346"/>
          <w:tblHeader/>
        </w:trPr>
        <w:tc>
          <w:tcPr>
            <w:tcW w:w="1800" w:type="dxa"/>
          </w:tcPr>
          <w:p w14:paraId="45FC1923" w14:textId="77777777" w:rsidR="00DA702B" w:rsidRPr="00DA702B" w:rsidRDefault="00DA702B" w:rsidP="00DA702B">
            <w:pPr>
              <w:rPr>
                <w:sz w:val="20"/>
                <w:szCs w:val="20"/>
              </w:rPr>
            </w:pPr>
          </w:p>
        </w:tc>
        <w:tc>
          <w:tcPr>
            <w:tcW w:w="1800" w:type="dxa"/>
          </w:tcPr>
          <w:p w14:paraId="735D2A67" w14:textId="77777777" w:rsidR="00DA702B" w:rsidRPr="00DA702B" w:rsidRDefault="00DA702B" w:rsidP="00DA702B">
            <w:pPr>
              <w:rPr>
                <w:sz w:val="20"/>
                <w:szCs w:val="20"/>
              </w:rPr>
            </w:pPr>
          </w:p>
        </w:tc>
        <w:tc>
          <w:tcPr>
            <w:tcW w:w="1800" w:type="dxa"/>
          </w:tcPr>
          <w:p w14:paraId="5830B7B0" w14:textId="77777777" w:rsidR="00DA702B" w:rsidRPr="00DA702B" w:rsidRDefault="00DA702B" w:rsidP="00DA702B">
            <w:pPr>
              <w:rPr>
                <w:sz w:val="20"/>
                <w:szCs w:val="20"/>
              </w:rPr>
            </w:pPr>
          </w:p>
        </w:tc>
        <w:tc>
          <w:tcPr>
            <w:tcW w:w="1800" w:type="dxa"/>
          </w:tcPr>
          <w:p w14:paraId="6003C7F5" w14:textId="77777777" w:rsidR="00DA702B" w:rsidRPr="00DA702B" w:rsidRDefault="00DA702B" w:rsidP="00DA702B">
            <w:pPr>
              <w:rPr>
                <w:sz w:val="20"/>
                <w:szCs w:val="20"/>
              </w:rPr>
            </w:pPr>
          </w:p>
        </w:tc>
        <w:tc>
          <w:tcPr>
            <w:tcW w:w="1800" w:type="dxa"/>
          </w:tcPr>
          <w:p w14:paraId="0C1AE6DC" w14:textId="77777777" w:rsidR="00DA702B" w:rsidRPr="00DA702B" w:rsidRDefault="00DA702B" w:rsidP="00DA702B">
            <w:pPr>
              <w:rPr>
                <w:sz w:val="20"/>
                <w:szCs w:val="20"/>
              </w:rPr>
            </w:pPr>
          </w:p>
        </w:tc>
        <w:tc>
          <w:tcPr>
            <w:tcW w:w="1800" w:type="dxa"/>
          </w:tcPr>
          <w:p w14:paraId="7F174C20" w14:textId="77777777" w:rsidR="00DA702B" w:rsidRPr="00DA702B" w:rsidRDefault="00DA702B" w:rsidP="00DA702B">
            <w:pPr>
              <w:rPr>
                <w:sz w:val="20"/>
                <w:szCs w:val="20"/>
              </w:rPr>
            </w:pPr>
          </w:p>
        </w:tc>
        <w:tc>
          <w:tcPr>
            <w:tcW w:w="1800" w:type="dxa"/>
          </w:tcPr>
          <w:p w14:paraId="3BD06F65" w14:textId="77777777" w:rsidR="00DA702B" w:rsidRPr="00DA702B" w:rsidRDefault="00DA702B" w:rsidP="00DA702B">
            <w:pPr>
              <w:rPr>
                <w:sz w:val="20"/>
                <w:szCs w:val="20"/>
              </w:rPr>
            </w:pPr>
          </w:p>
        </w:tc>
        <w:tc>
          <w:tcPr>
            <w:tcW w:w="1800" w:type="dxa"/>
          </w:tcPr>
          <w:p w14:paraId="464E54A0" w14:textId="77777777" w:rsidR="00DA702B" w:rsidRPr="00DA702B" w:rsidRDefault="00DA702B" w:rsidP="00DA702B">
            <w:pPr>
              <w:rPr>
                <w:sz w:val="20"/>
                <w:szCs w:val="20"/>
              </w:rPr>
            </w:pPr>
          </w:p>
        </w:tc>
      </w:tr>
      <w:tr w:rsidR="00DA702B" w:rsidRPr="00DA702B" w14:paraId="62A3A609" w14:textId="77777777" w:rsidTr="00247007">
        <w:trPr>
          <w:cantSplit/>
          <w:trHeight w:val="346"/>
          <w:tblHeader/>
        </w:trPr>
        <w:tc>
          <w:tcPr>
            <w:tcW w:w="1800" w:type="dxa"/>
          </w:tcPr>
          <w:p w14:paraId="23348739" w14:textId="77777777" w:rsidR="00DA702B" w:rsidRPr="00DA702B" w:rsidRDefault="00DA702B" w:rsidP="00DA702B">
            <w:pPr>
              <w:rPr>
                <w:sz w:val="20"/>
                <w:szCs w:val="20"/>
              </w:rPr>
            </w:pPr>
          </w:p>
        </w:tc>
        <w:tc>
          <w:tcPr>
            <w:tcW w:w="1800" w:type="dxa"/>
          </w:tcPr>
          <w:p w14:paraId="3134570C" w14:textId="77777777" w:rsidR="00DA702B" w:rsidRPr="00DA702B" w:rsidRDefault="00DA702B" w:rsidP="00DA702B">
            <w:pPr>
              <w:rPr>
                <w:sz w:val="20"/>
                <w:szCs w:val="20"/>
              </w:rPr>
            </w:pPr>
          </w:p>
        </w:tc>
        <w:tc>
          <w:tcPr>
            <w:tcW w:w="1800" w:type="dxa"/>
          </w:tcPr>
          <w:p w14:paraId="3FFC29D2" w14:textId="77777777" w:rsidR="00DA702B" w:rsidRPr="00DA702B" w:rsidRDefault="00DA702B" w:rsidP="00DA702B">
            <w:pPr>
              <w:rPr>
                <w:sz w:val="20"/>
                <w:szCs w:val="20"/>
              </w:rPr>
            </w:pPr>
          </w:p>
        </w:tc>
        <w:tc>
          <w:tcPr>
            <w:tcW w:w="1800" w:type="dxa"/>
          </w:tcPr>
          <w:p w14:paraId="47DD3B8C" w14:textId="77777777" w:rsidR="00DA702B" w:rsidRPr="00DA702B" w:rsidRDefault="00DA702B" w:rsidP="00DA702B">
            <w:pPr>
              <w:rPr>
                <w:sz w:val="20"/>
                <w:szCs w:val="20"/>
              </w:rPr>
            </w:pPr>
          </w:p>
        </w:tc>
        <w:tc>
          <w:tcPr>
            <w:tcW w:w="1800" w:type="dxa"/>
          </w:tcPr>
          <w:p w14:paraId="0D425709" w14:textId="77777777" w:rsidR="00DA702B" w:rsidRPr="00DA702B" w:rsidRDefault="00DA702B" w:rsidP="00DA702B">
            <w:pPr>
              <w:rPr>
                <w:sz w:val="20"/>
                <w:szCs w:val="20"/>
              </w:rPr>
            </w:pPr>
          </w:p>
        </w:tc>
        <w:tc>
          <w:tcPr>
            <w:tcW w:w="1800" w:type="dxa"/>
          </w:tcPr>
          <w:p w14:paraId="45119A55" w14:textId="77777777" w:rsidR="00DA702B" w:rsidRPr="00DA702B" w:rsidRDefault="00DA702B" w:rsidP="00DA702B">
            <w:pPr>
              <w:rPr>
                <w:sz w:val="20"/>
                <w:szCs w:val="20"/>
              </w:rPr>
            </w:pPr>
          </w:p>
        </w:tc>
        <w:tc>
          <w:tcPr>
            <w:tcW w:w="1800" w:type="dxa"/>
          </w:tcPr>
          <w:p w14:paraId="4F5A9335" w14:textId="77777777" w:rsidR="00DA702B" w:rsidRPr="00DA702B" w:rsidRDefault="00DA702B" w:rsidP="00DA702B">
            <w:pPr>
              <w:rPr>
                <w:sz w:val="20"/>
                <w:szCs w:val="20"/>
              </w:rPr>
            </w:pPr>
          </w:p>
        </w:tc>
        <w:tc>
          <w:tcPr>
            <w:tcW w:w="1800" w:type="dxa"/>
          </w:tcPr>
          <w:p w14:paraId="60CE3A69" w14:textId="77777777" w:rsidR="00DA702B" w:rsidRPr="00DA702B" w:rsidRDefault="00DA702B" w:rsidP="00DA702B">
            <w:pPr>
              <w:rPr>
                <w:sz w:val="20"/>
                <w:szCs w:val="20"/>
              </w:rPr>
            </w:pPr>
          </w:p>
        </w:tc>
      </w:tr>
      <w:tr w:rsidR="00DA702B" w:rsidRPr="00DA702B" w14:paraId="3046365D" w14:textId="77777777" w:rsidTr="00247007">
        <w:trPr>
          <w:cantSplit/>
          <w:trHeight w:val="346"/>
          <w:tblHeader/>
        </w:trPr>
        <w:tc>
          <w:tcPr>
            <w:tcW w:w="1800" w:type="dxa"/>
          </w:tcPr>
          <w:p w14:paraId="3B258395" w14:textId="77777777" w:rsidR="00DA702B" w:rsidRPr="00DA702B" w:rsidRDefault="00DA702B" w:rsidP="00DA702B">
            <w:pPr>
              <w:rPr>
                <w:sz w:val="20"/>
                <w:szCs w:val="20"/>
              </w:rPr>
            </w:pPr>
          </w:p>
        </w:tc>
        <w:tc>
          <w:tcPr>
            <w:tcW w:w="1800" w:type="dxa"/>
          </w:tcPr>
          <w:p w14:paraId="2935BC94" w14:textId="77777777" w:rsidR="00DA702B" w:rsidRPr="00DA702B" w:rsidRDefault="00DA702B" w:rsidP="00DA702B">
            <w:pPr>
              <w:rPr>
                <w:sz w:val="20"/>
                <w:szCs w:val="20"/>
              </w:rPr>
            </w:pPr>
          </w:p>
        </w:tc>
        <w:tc>
          <w:tcPr>
            <w:tcW w:w="1800" w:type="dxa"/>
          </w:tcPr>
          <w:p w14:paraId="0D903E41" w14:textId="77777777" w:rsidR="00DA702B" w:rsidRPr="00DA702B" w:rsidRDefault="00DA702B" w:rsidP="00DA702B">
            <w:pPr>
              <w:rPr>
                <w:sz w:val="20"/>
                <w:szCs w:val="20"/>
              </w:rPr>
            </w:pPr>
          </w:p>
        </w:tc>
        <w:tc>
          <w:tcPr>
            <w:tcW w:w="1800" w:type="dxa"/>
          </w:tcPr>
          <w:p w14:paraId="71B0F7D6" w14:textId="77777777" w:rsidR="00DA702B" w:rsidRPr="00DA702B" w:rsidRDefault="00DA702B" w:rsidP="00DA702B">
            <w:pPr>
              <w:rPr>
                <w:sz w:val="20"/>
                <w:szCs w:val="20"/>
              </w:rPr>
            </w:pPr>
          </w:p>
        </w:tc>
        <w:tc>
          <w:tcPr>
            <w:tcW w:w="1800" w:type="dxa"/>
          </w:tcPr>
          <w:p w14:paraId="2D20BDBC" w14:textId="77777777" w:rsidR="00DA702B" w:rsidRPr="00DA702B" w:rsidRDefault="00DA702B" w:rsidP="00DA702B">
            <w:pPr>
              <w:rPr>
                <w:sz w:val="20"/>
                <w:szCs w:val="20"/>
              </w:rPr>
            </w:pPr>
          </w:p>
        </w:tc>
        <w:tc>
          <w:tcPr>
            <w:tcW w:w="1800" w:type="dxa"/>
          </w:tcPr>
          <w:p w14:paraId="5C1BABD6" w14:textId="77777777" w:rsidR="00DA702B" w:rsidRPr="00DA702B" w:rsidRDefault="00DA702B" w:rsidP="00DA702B">
            <w:pPr>
              <w:rPr>
                <w:sz w:val="20"/>
                <w:szCs w:val="20"/>
              </w:rPr>
            </w:pPr>
          </w:p>
        </w:tc>
        <w:tc>
          <w:tcPr>
            <w:tcW w:w="1800" w:type="dxa"/>
          </w:tcPr>
          <w:p w14:paraId="2C9C2914" w14:textId="77777777" w:rsidR="00DA702B" w:rsidRPr="00DA702B" w:rsidRDefault="00DA702B" w:rsidP="00DA702B">
            <w:pPr>
              <w:rPr>
                <w:sz w:val="20"/>
                <w:szCs w:val="20"/>
              </w:rPr>
            </w:pPr>
          </w:p>
        </w:tc>
        <w:tc>
          <w:tcPr>
            <w:tcW w:w="1800" w:type="dxa"/>
          </w:tcPr>
          <w:p w14:paraId="7DE0B329" w14:textId="77777777" w:rsidR="00DA702B" w:rsidRPr="00DA702B" w:rsidRDefault="00DA702B" w:rsidP="00DA702B">
            <w:pPr>
              <w:rPr>
                <w:sz w:val="20"/>
                <w:szCs w:val="20"/>
              </w:rPr>
            </w:pPr>
          </w:p>
        </w:tc>
      </w:tr>
      <w:tr w:rsidR="00DA702B" w:rsidRPr="00DA702B" w14:paraId="6C6A64EB" w14:textId="77777777" w:rsidTr="00247007">
        <w:trPr>
          <w:cantSplit/>
          <w:trHeight w:val="346"/>
          <w:tblHeader/>
        </w:trPr>
        <w:tc>
          <w:tcPr>
            <w:tcW w:w="1800" w:type="dxa"/>
          </w:tcPr>
          <w:p w14:paraId="10A05B0A" w14:textId="77777777" w:rsidR="00DA702B" w:rsidRPr="00DA702B" w:rsidRDefault="00DA702B" w:rsidP="00DA702B">
            <w:pPr>
              <w:rPr>
                <w:sz w:val="20"/>
                <w:szCs w:val="20"/>
              </w:rPr>
            </w:pPr>
          </w:p>
        </w:tc>
        <w:tc>
          <w:tcPr>
            <w:tcW w:w="1800" w:type="dxa"/>
          </w:tcPr>
          <w:p w14:paraId="72D14C85" w14:textId="77777777" w:rsidR="00DA702B" w:rsidRPr="00DA702B" w:rsidRDefault="00DA702B" w:rsidP="00DA702B">
            <w:pPr>
              <w:rPr>
                <w:sz w:val="20"/>
                <w:szCs w:val="20"/>
              </w:rPr>
            </w:pPr>
          </w:p>
        </w:tc>
        <w:tc>
          <w:tcPr>
            <w:tcW w:w="1800" w:type="dxa"/>
          </w:tcPr>
          <w:p w14:paraId="62718BDE" w14:textId="77777777" w:rsidR="00DA702B" w:rsidRPr="00DA702B" w:rsidRDefault="00DA702B" w:rsidP="00DA702B">
            <w:pPr>
              <w:rPr>
                <w:sz w:val="20"/>
                <w:szCs w:val="20"/>
              </w:rPr>
            </w:pPr>
          </w:p>
        </w:tc>
        <w:tc>
          <w:tcPr>
            <w:tcW w:w="1800" w:type="dxa"/>
          </w:tcPr>
          <w:p w14:paraId="390F9FBC" w14:textId="77777777" w:rsidR="00DA702B" w:rsidRPr="00DA702B" w:rsidRDefault="00DA702B" w:rsidP="00DA702B">
            <w:pPr>
              <w:rPr>
                <w:sz w:val="20"/>
                <w:szCs w:val="20"/>
              </w:rPr>
            </w:pPr>
          </w:p>
        </w:tc>
        <w:tc>
          <w:tcPr>
            <w:tcW w:w="1800" w:type="dxa"/>
          </w:tcPr>
          <w:p w14:paraId="276FD234" w14:textId="77777777" w:rsidR="00DA702B" w:rsidRPr="00DA702B" w:rsidRDefault="00DA702B" w:rsidP="00DA702B">
            <w:pPr>
              <w:rPr>
                <w:sz w:val="20"/>
                <w:szCs w:val="20"/>
              </w:rPr>
            </w:pPr>
          </w:p>
        </w:tc>
        <w:tc>
          <w:tcPr>
            <w:tcW w:w="1800" w:type="dxa"/>
          </w:tcPr>
          <w:p w14:paraId="07DFE5BE" w14:textId="77777777" w:rsidR="00DA702B" w:rsidRPr="00DA702B" w:rsidRDefault="00DA702B" w:rsidP="00DA702B">
            <w:pPr>
              <w:rPr>
                <w:sz w:val="20"/>
                <w:szCs w:val="20"/>
              </w:rPr>
            </w:pPr>
          </w:p>
        </w:tc>
        <w:tc>
          <w:tcPr>
            <w:tcW w:w="1800" w:type="dxa"/>
          </w:tcPr>
          <w:p w14:paraId="337D5D20" w14:textId="77777777" w:rsidR="00DA702B" w:rsidRPr="00DA702B" w:rsidRDefault="00DA702B" w:rsidP="00DA702B">
            <w:pPr>
              <w:rPr>
                <w:sz w:val="20"/>
                <w:szCs w:val="20"/>
              </w:rPr>
            </w:pPr>
          </w:p>
        </w:tc>
        <w:tc>
          <w:tcPr>
            <w:tcW w:w="1800" w:type="dxa"/>
          </w:tcPr>
          <w:p w14:paraId="6B6A69D1" w14:textId="77777777" w:rsidR="00DA702B" w:rsidRPr="00DA702B" w:rsidRDefault="00DA702B" w:rsidP="00DA702B">
            <w:pPr>
              <w:rPr>
                <w:sz w:val="20"/>
                <w:szCs w:val="20"/>
              </w:rPr>
            </w:pPr>
          </w:p>
        </w:tc>
      </w:tr>
      <w:tr w:rsidR="00DA702B" w:rsidRPr="00DA702B" w14:paraId="666DAD43" w14:textId="77777777" w:rsidTr="00247007">
        <w:trPr>
          <w:cantSplit/>
          <w:trHeight w:val="346"/>
          <w:tblHeader/>
        </w:trPr>
        <w:tc>
          <w:tcPr>
            <w:tcW w:w="1800" w:type="dxa"/>
          </w:tcPr>
          <w:p w14:paraId="48AE7E16" w14:textId="77777777" w:rsidR="00DA702B" w:rsidRPr="00DA702B" w:rsidRDefault="00DA702B" w:rsidP="00DA702B">
            <w:pPr>
              <w:rPr>
                <w:sz w:val="20"/>
                <w:szCs w:val="20"/>
              </w:rPr>
            </w:pPr>
          </w:p>
        </w:tc>
        <w:tc>
          <w:tcPr>
            <w:tcW w:w="1800" w:type="dxa"/>
          </w:tcPr>
          <w:p w14:paraId="6927EF6D" w14:textId="77777777" w:rsidR="00DA702B" w:rsidRPr="00DA702B" w:rsidRDefault="00DA702B" w:rsidP="00DA702B">
            <w:pPr>
              <w:rPr>
                <w:sz w:val="20"/>
                <w:szCs w:val="20"/>
              </w:rPr>
            </w:pPr>
          </w:p>
        </w:tc>
        <w:tc>
          <w:tcPr>
            <w:tcW w:w="1800" w:type="dxa"/>
          </w:tcPr>
          <w:p w14:paraId="3C1915D8" w14:textId="77777777" w:rsidR="00DA702B" w:rsidRPr="00DA702B" w:rsidRDefault="00DA702B" w:rsidP="00DA702B">
            <w:pPr>
              <w:rPr>
                <w:sz w:val="20"/>
                <w:szCs w:val="20"/>
              </w:rPr>
            </w:pPr>
          </w:p>
        </w:tc>
        <w:tc>
          <w:tcPr>
            <w:tcW w:w="1800" w:type="dxa"/>
          </w:tcPr>
          <w:p w14:paraId="2967D2DE" w14:textId="77777777" w:rsidR="00DA702B" w:rsidRPr="00DA702B" w:rsidRDefault="00DA702B" w:rsidP="00DA702B">
            <w:pPr>
              <w:rPr>
                <w:sz w:val="20"/>
                <w:szCs w:val="20"/>
              </w:rPr>
            </w:pPr>
          </w:p>
        </w:tc>
        <w:tc>
          <w:tcPr>
            <w:tcW w:w="1800" w:type="dxa"/>
          </w:tcPr>
          <w:p w14:paraId="0F11487F" w14:textId="77777777" w:rsidR="00DA702B" w:rsidRPr="00DA702B" w:rsidRDefault="00DA702B" w:rsidP="00DA702B">
            <w:pPr>
              <w:rPr>
                <w:sz w:val="20"/>
                <w:szCs w:val="20"/>
              </w:rPr>
            </w:pPr>
          </w:p>
        </w:tc>
        <w:tc>
          <w:tcPr>
            <w:tcW w:w="1800" w:type="dxa"/>
          </w:tcPr>
          <w:p w14:paraId="2516EC4E" w14:textId="77777777" w:rsidR="00DA702B" w:rsidRPr="00DA702B" w:rsidRDefault="00DA702B" w:rsidP="00DA702B">
            <w:pPr>
              <w:rPr>
                <w:sz w:val="20"/>
                <w:szCs w:val="20"/>
              </w:rPr>
            </w:pPr>
          </w:p>
        </w:tc>
        <w:tc>
          <w:tcPr>
            <w:tcW w:w="1800" w:type="dxa"/>
          </w:tcPr>
          <w:p w14:paraId="7B7440B4" w14:textId="77777777" w:rsidR="00DA702B" w:rsidRPr="00DA702B" w:rsidRDefault="00DA702B" w:rsidP="00DA702B">
            <w:pPr>
              <w:rPr>
                <w:sz w:val="20"/>
                <w:szCs w:val="20"/>
              </w:rPr>
            </w:pPr>
          </w:p>
        </w:tc>
        <w:tc>
          <w:tcPr>
            <w:tcW w:w="1800" w:type="dxa"/>
          </w:tcPr>
          <w:p w14:paraId="35E32776" w14:textId="77777777" w:rsidR="00DA702B" w:rsidRPr="00DA702B" w:rsidRDefault="00DA702B" w:rsidP="00DA702B">
            <w:pPr>
              <w:rPr>
                <w:sz w:val="20"/>
                <w:szCs w:val="20"/>
              </w:rPr>
            </w:pPr>
          </w:p>
        </w:tc>
      </w:tr>
      <w:tr w:rsidR="00DA702B" w:rsidRPr="00DA702B" w14:paraId="1612DB2C" w14:textId="77777777" w:rsidTr="00247007">
        <w:trPr>
          <w:cantSplit/>
          <w:trHeight w:val="346"/>
          <w:tblHeader/>
        </w:trPr>
        <w:tc>
          <w:tcPr>
            <w:tcW w:w="1800" w:type="dxa"/>
          </w:tcPr>
          <w:p w14:paraId="189CC38D" w14:textId="77777777" w:rsidR="00DA702B" w:rsidRPr="00DA702B" w:rsidRDefault="00DA702B" w:rsidP="00DA702B">
            <w:pPr>
              <w:rPr>
                <w:sz w:val="20"/>
                <w:szCs w:val="20"/>
              </w:rPr>
            </w:pPr>
          </w:p>
        </w:tc>
        <w:tc>
          <w:tcPr>
            <w:tcW w:w="1800" w:type="dxa"/>
          </w:tcPr>
          <w:p w14:paraId="5106B464" w14:textId="77777777" w:rsidR="00DA702B" w:rsidRPr="00DA702B" w:rsidRDefault="00DA702B" w:rsidP="00DA702B">
            <w:pPr>
              <w:rPr>
                <w:sz w:val="20"/>
                <w:szCs w:val="20"/>
              </w:rPr>
            </w:pPr>
          </w:p>
        </w:tc>
        <w:tc>
          <w:tcPr>
            <w:tcW w:w="1800" w:type="dxa"/>
          </w:tcPr>
          <w:p w14:paraId="094334B3" w14:textId="77777777" w:rsidR="00DA702B" w:rsidRPr="00DA702B" w:rsidRDefault="00DA702B" w:rsidP="00DA702B">
            <w:pPr>
              <w:rPr>
                <w:sz w:val="20"/>
                <w:szCs w:val="20"/>
              </w:rPr>
            </w:pPr>
          </w:p>
        </w:tc>
        <w:tc>
          <w:tcPr>
            <w:tcW w:w="1800" w:type="dxa"/>
          </w:tcPr>
          <w:p w14:paraId="72497EBB" w14:textId="77777777" w:rsidR="00DA702B" w:rsidRPr="00DA702B" w:rsidRDefault="00DA702B" w:rsidP="00DA702B">
            <w:pPr>
              <w:rPr>
                <w:sz w:val="20"/>
                <w:szCs w:val="20"/>
              </w:rPr>
            </w:pPr>
          </w:p>
        </w:tc>
        <w:tc>
          <w:tcPr>
            <w:tcW w:w="1800" w:type="dxa"/>
          </w:tcPr>
          <w:p w14:paraId="088FC59F" w14:textId="77777777" w:rsidR="00DA702B" w:rsidRPr="00DA702B" w:rsidRDefault="00DA702B" w:rsidP="00DA702B">
            <w:pPr>
              <w:rPr>
                <w:sz w:val="20"/>
                <w:szCs w:val="20"/>
              </w:rPr>
            </w:pPr>
          </w:p>
        </w:tc>
        <w:tc>
          <w:tcPr>
            <w:tcW w:w="1800" w:type="dxa"/>
          </w:tcPr>
          <w:p w14:paraId="0E9D17A4" w14:textId="77777777" w:rsidR="00DA702B" w:rsidRPr="00DA702B" w:rsidRDefault="00DA702B" w:rsidP="00DA702B">
            <w:pPr>
              <w:rPr>
                <w:sz w:val="20"/>
                <w:szCs w:val="20"/>
              </w:rPr>
            </w:pPr>
          </w:p>
        </w:tc>
        <w:tc>
          <w:tcPr>
            <w:tcW w:w="1800" w:type="dxa"/>
          </w:tcPr>
          <w:p w14:paraId="3BA0AEDE" w14:textId="77777777" w:rsidR="00DA702B" w:rsidRPr="00DA702B" w:rsidRDefault="00DA702B" w:rsidP="00DA702B">
            <w:pPr>
              <w:rPr>
                <w:sz w:val="20"/>
                <w:szCs w:val="20"/>
              </w:rPr>
            </w:pPr>
          </w:p>
        </w:tc>
        <w:tc>
          <w:tcPr>
            <w:tcW w:w="1800" w:type="dxa"/>
          </w:tcPr>
          <w:p w14:paraId="1E614EA5" w14:textId="77777777" w:rsidR="00DA702B" w:rsidRPr="00DA702B" w:rsidRDefault="00DA702B" w:rsidP="00DA702B">
            <w:pPr>
              <w:rPr>
                <w:sz w:val="20"/>
                <w:szCs w:val="20"/>
              </w:rPr>
            </w:pPr>
          </w:p>
        </w:tc>
      </w:tr>
    </w:tbl>
    <w:p w14:paraId="75DC1A39" w14:textId="77777777" w:rsidR="00DA702B" w:rsidRPr="00DA702B" w:rsidRDefault="00DA702B" w:rsidP="00DA702B">
      <w:r w:rsidRPr="00DA702B">
        <w:br w:type="page"/>
      </w:r>
    </w:p>
    <w:p w14:paraId="17E6F51F" w14:textId="77777777" w:rsidR="00DA702B" w:rsidRPr="00DA702B" w:rsidRDefault="00DA702B" w:rsidP="00111F56">
      <w:pPr>
        <w:widowControl w:val="0"/>
        <w:jc w:val="center"/>
        <w:rPr>
          <w:rFonts w:eastAsiaTheme="majorEastAsia"/>
          <w:b/>
          <w:bCs/>
        </w:rPr>
      </w:pPr>
      <w:r w:rsidRPr="00DA702B">
        <w:rPr>
          <w:rFonts w:eastAsiaTheme="majorEastAsia"/>
          <w:b/>
          <w:bCs/>
        </w:rPr>
        <w:lastRenderedPageBreak/>
        <w:t>Boiler/Steam Generator/Steam Generating Unit Attributes</w:t>
      </w:r>
    </w:p>
    <w:p w14:paraId="125655D8" w14:textId="77777777" w:rsidR="00DA702B" w:rsidRPr="00DA702B" w:rsidRDefault="00DA702B" w:rsidP="00111F56">
      <w:pPr>
        <w:widowControl w:val="0"/>
        <w:jc w:val="center"/>
        <w:rPr>
          <w:rFonts w:eastAsiaTheme="majorEastAsia"/>
          <w:b/>
          <w:bCs/>
        </w:rPr>
      </w:pPr>
      <w:r w:rsidRPr="00DA702B">
        <w:rPr>
          <w:rFonts w:eastAsiaTheme="majorEastAsia"/>
          <w:b/>
          <w:bCs/>
        </w:rPr>
        <w:t>Form OP-UA6 (Page 23)</w:t>
      </w:r>
    </w:p>
    <w:p w14:paraId="1528000F" w14:textId="77777777" w:rsidR="00DA702B" w:rsidRPr="00DA702B" w:rsidRDefault="00DA702B" w:rsidP="00111F56">
      <w:pPr>
        <w:widowControl w:val="0"/>
        <w:jc w:val="center"/>
        <w:rPr>
          <w:rFonts w:eastAsiaTheme="majorEastAsia"/>
          <w:b/>
          <w:bCs/>
        </w:rPr>
      </w:pPr>
      <w:r w:rsidRPr="00DA702B">
        <w:rPr>
          <w:rFonts w:eastAsiaTheme="majorEastAsia"/>
          <w:b/>
          <w:bCs/>
        </w:rPr>
        <w:t>Federal Operating Permit Program</w:t>
      </w:r>
    </w:p>
    <w:p w14:paraId="3A9708F4" w14:textId="77777777" w:rsidR="00DA702B" w:rsidRPr="00DA702B" w:rsidRDefault="00DA702B" w:rsidP="00111F56">
      <w:pPr>
        <w:widowControl w:val="0"/>
        <w:jc w:val="center"/>
        <w:rPr>
          <w:rFonts w:eastAsiaTheme="majorEastAsia"/>
          <w:b/>
          <w:bCs/>
        </w:rPr>
      </w:pPr>
      <w:bookmarkStart w:id="185" w:name="TBL_9b"/>
      <w:r w:rsidRPr="00DA702B">
        <w:rPr>
          <w:rFonts w:eastAsiaTheme="majorEastAsia"/>
          <w:b/>
          <w:bCs/>
        </w:rPr>
        <w:t>Table 9b</w:t>
      </w:r>
      <w:bookmarkEnd w:id="185"/>
      <w:r w:rsidRPr="00DA702B">
        <w:rPr>
          <w:rFonts w:eastAsiaTheme="majorEastAsia"/>
          <w:b/>
          <w:bCs/>
        </w:rPr>
        <w:t>:  Title 30 Texas Administrative Code Chapter 117 (30 TAC Chapter 117)</w:t>
      </w:r>
    </w:p>
    <w:p w14:paraId="4F3F59BF" w14:textId="77777777" w:rsidR="00DA702B" w:rsidRPr="00DA702B" w:rsidRDefault="00DA702B" w:rsidP="00111F56">
      <w:pPr>
        <w:widowControl w:val="0"/>
        <w:jc w:val="center"/>
        <w:rPr>
          <w:rFonts w:eastAsiaTheme="majorEastAsia"/>
          <w:b/>
          <w:bCs/>
        </w:rPr>
      </w:pPr>
      <w:r w:rsidRPr="00DA702B">
        <w:rPr>
          <w:rFonts w:eastAsiaTheme="majorEastAsia"/>
          <w:b/>
          <w:bCs/>
        </w:rPr>
        <w:t>Subchapter E: Division 1:  Utility Electric Generation in East and Central Texas</w:t>
      </w:r>
    </w:p>
    <w:p w14:paraId="4C62DDCF" w14:textId="77777777" w:rsidR="00DA702B" w:rsidRPr="00DA702B" w:rsidRDefault="00DA702B" w:rsidP="00DA702B">
      <w:pPr>
        <w:jc w:val="center"/>
        <w:outlineLvl w:val="0"/>
        <w:rPr>
          <w:b/>
          <w:bCs/>
        </w:rPr>
      </w:pPr>
      <w:r w:rsidRPr="00DA702B">
        <w:rPr>
          <w:b/>
          <w:bCs/>
        </w:rPr>
        <w:t>Texas Commission on Environmental Quality</w:t>
      </w:r>
    </w:p>
    <w:p w14:paraId="07E43DD9" w14:textId="77777777" w:rsidR="00DA702B" w:rsidRPr="00DA702B" w:rsidRDefault="00DA702B" w:rsidP="00DA702B">
      <w:pPr>
        <w:spacing w:before="360"/>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9b:  Title 30 Texas Administrative Code Chapter 117 (30 TAC Chapter 117)&#10;Subchapter E: Division 1:  Utility Electric Generation in East and Central Texas&#10; Central Texas&#10;"/>
      </w:tblPr>
      <w:tblGrid>
        <w:gridCol w:w="4800"/>
        <w:gridCol w:w="4800"/>
        <w:gridCol w:w="4800"/>
      </w:tblGrid>
      <w:tr w:rsidR="00DA702B" w:rsidRPr="00DA702B" w14:paraId="5CC9D53D" w14:textId="77777777" w:rsidTr="00247007">
        <w:trPr>
          <w:cantSplit/>
          <w:tblHeader/>
        </w:trPr>
        <w:tc>
          <w:tcPr>
            <w:tcW w:w="4800" w:type="dxa"/>
            <w:shd w:val="clear" w:color="auto" w:fill="D9D9D9" w:themeFill="background1" w:themeFillShade="D9"/>
          </w:tcPr>
          <w:p w14:paraId="5A2553AB"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6507BCE8"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74E6FECC"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3FFC3A5D" w14:textId="77777777" w:rsidTr="00247007">
        <w:trPr>
          <w:cantSplit/>
          <w:tblHeader/>
        </w:trPr>
        <w:tc>
          <w:tcPr>
            <w:tcW w:w="4800" w:type="dxa"/>
          </w:tcPr>
          <w:p w14:paraId="46066C30" w14:textId="77777777" w:rsidR="00DA702B" w:rsidRPr="00DA702B" w:rsidRDefault="00DA702B" w:rsidP="00DA702B">
            <w:pPr>
              <w:rPr>
                <w:rFonts w:asciiTheme="majorHAnsi" w:hAnsiTheme="majorHAnsi" w:cstheme="majorHAnsi"/>
              </w:rPr>
            </w:pPr>
          </w:p>
        </w:tc>
        <w:tc>
          <w:tcPr>
            <w:tcW w:w="4800" w:type="dxa"/>
          </w:tcPr>
          <w:p w14:paraId="7F713DE8" w14:textId="77777777" w:rsidR="00DA702B" w:rsidRPr="00DA702B" w:rsidRDefault="00DA702B" w:rsidP="00DA702B">
            <w:pPr>
              <w:rPr>
                <w:rFonts w:asciiTheme="majorHAnsi" w:hAnsiTheme="majorHAnsi" w:cstheme="majorHAnsi"/>
              </w:rPr>
            </w:pPr>
          </w:p>
        </w:tc>
        <w:tc>
          <w:tcPr>
            <w:tcW w:w="4800" w:type="dxa"/>
          </w:tcPr>
          <w:p w14:paraId="3660F0A2" w14:textId="77777777" w:rsidR="00DA702B" w:rsidRPr="00DA702B" w:rsidRDefault="00DA702B" w:rsidP="00DA702B">
            <w:pPr>
              <w:rPr>
                <w:rFonts w:asciiTheme="majorHAnsi" w:hAnsiTheme="majorHAnsi" w:cstheme="majorHAnsi"/>
              </w:rPr>
            </w:pPr>
          </w:p>
        </w:tc>
      </w:tr>
    </w:tbl>
    <w:p w14:paraId="4A57CE83"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9b:  Title 30 Texas Administrative Code Chapter 117 (30 TAC Chapter 117)&#10;Subchapter E: Division 1:  Utility Electric Generation in East and Central Texas&#10;"/>
      </w:tblPr>
      <w:tblGrid>
        <w:gridCol w:w="1600"/>
        <w:gridCol w:w="1600"/>
        <w:gridCol w:w="1600"/>
        <w:gridCol w:w="1600"/>
        <w:gridCol w:w="1600"/>
        <w:gridCol w:w="1600"/>
        <w:gridCol w:w="1600"/>
        <w:gridCol w:w="1600"/>
        <w:gridCol w:w="1600"/>
      </w:tblGrid>
      <w:tr w:rsidR="00DA702B" w:rsidRPr="00DA702B" w14:paraId="3B0B6763" w14:textId="77777777" w:rsidTr="00247007">
        <w:trPr>
          <w:cantSplit/>
          <w:tblHeader/>
        </w:trPr>
        <w:tc>
          <w:tcPr>
            <w:tcW w:w="1600" w:type="dxa"/>
            <w:shd w:val="clear" w:color="auto" w:fill="D9D9D9" w:themeFill="background1" w:themeFillShade="D9"/>
            <w:vAlign w:val="center"/>
          </w:tcPr>
          <w:p w14:paraId="259A516E" w14:textId="77777777" w:rsidR="00DA702B" w:rsidRPr="00DA702B" w:rsidRDefault="00DA702B" w:rsidP="00DA702B">
            <w:pPr>
              <w:rPr>
                <w:sz w:val="20"/>
                <w:szCs w:val="20"/>
              </w:rPr>
            </w:pPr>
            <w:r w:rsidRPr="00DA702B">
              <w:rPr>
                <w:b/>
                <w:sz w:val="20"/>
                <w:szCs w:val="20"/>
              </w:rPr>
              <w:t>Unit ID No.</w:t>
            </w:r>
          </w:p>
        </w:tc>
        <w:tc>
          <w:tcPr>
            <w:tcW w:w="1600" w:type="dxa"/>
            <w:shd w:val="clear" w:color="auto" w:fill="D9D9D9" w:themeFill="background1" w:themeFillShade="D9"/>
            <w:vAlign w:val="center"/>
          </w:tcPr>
          <w:p w14:paraId="2C32BAA2" w14:textId="77777777" w:rsidR="00DA702B" w:rsidRPr="00DA702B" w:rsidRDefault="00DA702B" w:rsidP="00DA702B">
            <w:pPr>
              <w:rPr>
                <w:sz w:val="20"/>
                <w:szCs w:val="20"/>
              </w:rPr>
            </w:pPr>
            <w:r w:rsidRPr="00DA702B">
              <w:rPr>
                <w:b/>
                <w:sz w:val="20"/>
                <w:szCs w:val="20"/>
              </w:rPr>
              <w:t>SOP Index No.</w:t>
            </w:r>
          </w:p>
        </w:tc>
        <w:tc>
          <w:tcPr>
            <w:tcW w:w="1600" w:type="dxa"/>
            <w:shd w:val="clear" w:color="auto" w:fill="D9D9D9" w:themeFill="background1" w:themeFillShade="D9"/>
            <w:vAlign w:val="center"/>
          </w:tcPr>
          <w:p w14:paraId="312EB23E" w14:textId="77777777" w:rsidR="00DA702B" w:rsidRPr="00DA702B" w:rsidRDefault="00DA702B" w:rsidP="00DA702B">
            <w:pPr>
              <w:rPr>
                <w:sz w:val="20"/>
                <w:szCs w:val="20"/>
              </w:rPr>
            </w:pPr>
            <w:r w:rsidRPr="00DA702B">
              <w:rPr>
                <w:b/>
                <w:sz w:val="20"/>
                <w:szCs w:val="20"/>
              </w:rPr>
              <w:t>NO</w:t>
            </w:r>
            <w:r w:rsidRPr="00DA702B">
              <w:rPr>
                <w:b/>
                <w:sz w:val="20"/>
                <w:szCs w:val="20"/>
                <w:vertAlign w:val="subscript"/>
              </w:rPr>
              <w:t>x</w:t>
            </w:r>
            <w:r w:rsidRPr="00DA702B">
              <w:rPr>
                <w:b/>
                <w:sz w:val="20"/>
                <w:szCs w:val="20"/>
              </w:rPr>
              <w:t xml:space="preserve"> Emission Limitation</w:t>
            </w:r>
          </w:p>
        </w:tc>
        <w:tc>
          <w:tcPr>
            <w:tcW w:w="1600" w:type="dxa"/>
            <w:shd w:val="clear" w:color="auto" w:fill="D9D9D9" w:themeFill="background1" w:themeFillShade="D9"/>
            <w:vAlign w:val="center"/>
          </w:tcPr>
          <w:p w14:paraId="6778C2BF" w14:textId="77777777" w:rsidR="00DA702B" w:rsidRPr="00DA702B" w:rsidRDefault="00DA702B" w:rsidP="00DA702B">
            <w:pPr>
              <w:rPr>
                <w:sz w:val="20"/>
                <w:szCs w:val="20"/>
              </w:rPr>
            </w:pPr>
            <w:r w:rsidRPr="00DA702B">
              <w:rPr>
                <w:b/>
                <w:sz w:val="20"/>
                <w:szCs w:val="20"/>
              </w:rPr>
              <w:t>Fuel</w:t>
            </w:r>
          </w:p>
        </w:tc>
        <w:tc>
          <w:tcPr>
            <w:tcW w:w="1600" w:type="dxa"/>
            <w:shd w:val="clear" w:color="auto" w:fill="D9D9D9" w:themeFill="background1" w:themeFillShade="D9"/>
            <w:vAlign w:val="center"/>
          </w:tcPr>
          <w:p w14:paraId="1ED40B81" w14:textId="77777777" w:rsidR="00DA702B" w:rsidRPr="00DA702B" w:rsidRDefault="00DA702B" w:rsidP="00DA702B">
            <w:pPr>
              <w:rPr>
                <w:sz w:val="20"/>
                <w:szCs w:val="20"/>
              </w:rPr>
            </w:pPr>
            <w:r w:rsidRPr="00DA702B">
              <w:rPr>
                <w:b/>
                <w:sz w:val="20"/>
                <w:szCs w:val="20"/>
              </w:rPr>
              <w:t>NO</w:t>
            </w:r>
            <w:r w:rsidRPr="00DA702B">
              <w:rPr>
                <w:b/>
                <w:sz w:val="20"/>
                <w:szCs w:val="20"/>
                <w:vertAlign w:val="subscript"/>
              </w:rPr>
              <w:t>x</w:t>
            </w:r>
            <w:r w:rsidRPr="00DA702B">
              <w:rPr>
                <w:b/>
                <w:sz w:val="20"/>
                <w:szCs w:val="20"/>
              </w:rPr>
              <w:t xml:space="preserve"> Monitoring</w:t>
            </w:r>
          </w:p>
        </w:tc>
        <w:tc>
          <w:tcPr>
            <w:tcW w:w="1600" w:type="dxa"/>
            <w:shd w:val="clear" w:color="auto" w:fill="D9D9D9" w:themeFill="background1" w:themeFillShade="D9"/>
            <w:vAlign w:val="center"/>
          </w:tcPr>
          <w:p w14:paraId="47CA1FD7" w14:textId="77777777" w:rsidR="00DA702B" w:rsidRPr="00DA702B" w:rsidRDefault="00DA702B" w:rsidP="00DA702B">
            <w:pPr>
              <w:rPr>
                <w:sz w:val="20"/>
                <w:szCs w:val="20"/>
              </w:rPr>
            </w:pPr>
            <w:r w:rsidRPr="00DA702B">
              <w:rPr>
                <w:b/>
                <w:sz w:val="20"/>
                <w:szCs w:val="20"/>
              </w:rPr>
              <w:t>Maximum Emission Rate</w:t>
            </w:r>
          </w:p>
        </w:tc>
        <w:tc>
          <w:tcPr>
            <w:tcW w:w="1600" w:type="dxa"/>
            <w:shd w:val="clear" w:color="auto" w:fill="D9D9D9" w:themeFill="background1" w:themeFillShade="D9"/>
            <w:vAlign w:val="center"/>
          </w:tcPr>
          <w:p w14:paraId="30345BFD" w14:textId="77777777" w:rsidR="00DA702B" w:rsidRPr="00DA702B" w:rsidRDefault="00DA702B" w:rsidP="00DA702B">
            <w:pPr>
              <w:rPr>
                <w:sz w:val="20"/>
                <w:szCs w:val="20"/>
              </w:rPr>
            </w:pPr>
            <w:r w:rsidRPr="00DA702B">
              <w:rPr>
                <w:b/>
                <w:sz w:val="20"/>
                <w:szCs w:val="20"/>
              </w:rPr>
              <w:t>Ammonia Use</w:t>
            </w:r>
          </w:p>
        </w:tc>
        <w:tc>
          <w:tcPr>
            <w:tcW w:w="1600" w:type="dxa"/>
            <w:shd w:val="clear" w:color="auto" w:fill="D9D9D9" w:themeFill="background1" w:themeFillShade="D9"/>
            <w:vAlign w:val="center"/>
          </w:tcPr>
          <w:p w14:paraId="63B9CD6D" w14:textId="77777777" w:rsidR="00DA702B" w:rsidRPr="00DA702B" w:rsidRDefault="00DA702B" w:rsidP="00DA702B">
            <w:pPr>
              <w:rPr>
                <w:sz w:val="20"/>
                <w:szCs w:val="20"/>
              </w:rPr>
            </w:pPr>
            <w:r w:rsidRPr="00DA702B">
              <w:rPr>
                <w:b/>
                <w:sz w:val="20"/>
                <w:szCs w:val="20"/>
              </w:rPr>
              <w:t>NH</w:t>
            </w:r>
            <w:r w:rsidRPr="00DA702B">
              <w:rPr>
                <w:b/>
                <w:sz w:val="20"/>
                <w:szCs w:val="20"/>
                <w:vertAlign w:val="subscript"/>
              </w:rPr>
              <w:t>3</w:t>
            </w:r>
            <w:r w:rsidRPr="00DA702B">
              <w:rPr>
                <w:b/>
                <w:sz w:val="20"/>
                <w:szCs w:val="20"/>
              </w:rPr>
              <w:t xml:space="preserve"> Emission Limitation</w:t>
            </w:r>
          </w:p>
        </w:tc>
        <w:tc>
          <w:tcPr>
            <w:tcW w:w="1600" w:type="dxa"/>
            <w:shd w:val="clear" w:color="auto" w:fill="D9D9D9" w:themeFill="background1" w:themeFillShade="D9"/>
            <w:vAlign w:val="center"/>
          </w:tcPr>
          <w:p w14:paraId="6A0ACA9A" w14:textId="77777777" w:rsidR="00DA702B" w:rsidRPr="00DA702B" w:rsidRDefault="00DA702B" w:rsidP="00DA702B">
            <w:pPr>
              <w:rPr>
                <w:sz w:val="20"/>
                <w:szCs w:val="20"/>
              </w:rPr>
            </w:pPr>
            <w:r w:rsidRPr="00DA702B">
              <w:rPr>
                <w:b/>
                <w:sz w:val="20"/>
                <w:szCs w:val="20"/>
              </w:rPr>
              <w:t>Ammonia Monitoring</w:t>
            </w:r>
          </w:p>
        </w:tc>
      </w:tr>
      <w:tr w:rsidR="00DA702B" w:rsidRPr="00DA702B" w14:paraId="1B895437" w14:textId="77777777" w:rsidTr="00247007">
        <w:trPr>
          <w:cantSplit/>
          <w:trHeight w:val="346"/>
          <w:tblHeader/>
        </w:trPr>
        <w:tc>
          <w:tcPr>
            <w:tcW w:w="1600" w:type="dxa"/>
          </w:tcPr>
          <w:p w14:paraId="3F8A1AF4" w14:textId="77777777" w:rsidR="00DA702B" w:rsidRPr="00DA702B" w:rsidRDefault="00DA702B" w:rsidP="00DA702B">
            <w:pPr>
              <w:rPr>
                <w:sz w:val="20"/>
                <w:szCs w:val="20"/>
              </w:rPr>
            </w:pPr>
          </w:p>
        </w:tc>
        <w:tc>
          <w:tcPr>
            <w:tcW w:w="1600" w:type="dxa"/>
          </w:tcPr>
          <w:p w14:paraId="3038E240" w14:textId="77777777" w:rsidR="00DA702B" w:rsidRPr="00DA702B" w:rsidRDefault="00DA702B" w:rsidP="00DA702B">
            <w:pPr>
              <w:rPr>
                <w:sz w:val="20"/>
                <w:szCs w:val="20"/>
              </w:rPr>
            </w:pPr>
          </w:p>
        </w:tc>
        <w:tc>
          <w:tcPr>
            <w:tcW w:w="1600" w:type="dxa"/>
          </w:tcPr>
          <w:p w14:paraId="114C8267" w14:textId="77777777" w:rsidR="00DA702B" w:rsidRPr="00DA702B" w:rsidRDefault="00DA702B" w:rsidP="00DA702B">
            <w:pPr>
              <w:rPr>
                <w:sz w:val="20"/>
                <w:szCs w:val="20"/>
              </w:rPr>
            </w:pPr>
          </w:p>
        </w:tc>
        <w:tc>
          <w:tcPr>
            <w:tcW w:w="1600" w:type="dxa"/>
          </w:tcPr>
          <w:p w14:paraId="3F335208" w14:textId="77777777" w:rsidR="00DA702B" w:rsidRPr="00DA702B" w:rsidRDefault="00DA702B" w:rsidP="00DA702B">
            <w:pPr>
              <w:rPr>
                <w:sz w:val="20"/>
                <w:szCs w:val="20"/>
              </w:rPr>
            </w:pPr>
          </w:p>
        </w:tc>
        <w:tc>
          <w:tcPr>
            <w:tcW w:w="1600" w:type="dxa"/>
          </w:tcPr>
          <w:p w14:paraId="2EDEC19E" w14:textId="77777777" w:rsidR="00DA702B" w:rsidRPr="00DA702B" w:rsidRDefault="00DA702B" w:rsidP="00DA702B">
            <w:pPr>
              <w:rPr>
                <w:sz w:val="20"/>
                <w:szCs w:val="20"/>
              </w:rPr>
            </w:pPr>
          </w:p>
        </w:tc>
        <w:tc>
          <w:tcPr>
            <w:tcW w:w="1600" w:type="dxa"/>
          </w:tcPr>
          <w:p w14:paraId="32B69388" w14:textId="77777777" w:rsidR="00DA702B" w:rsidRPr="00DA702B" w:rsidRDefault="00DA702B" w:rsidP="00DA702B">
            <w:pPr>
              <w:rPr>
                <w:sz w:val="20"/>
                <w:szCs w:val="20"/>
              </w:rPr>
            </w:pPr>
          </w:p>
        </w:tc>
        <w:tc>
          <w:tcPr>
            <w:tcW w:w="1600" w:type="dxa"/>
          </w:tcPr>
          <w:p w14:paraId="214686AD" w14:textId="77777777" w:rsidR="00DA702B" w:rsidRPr="00DA702B" w:rsidRDefault="00DA702B" w:rsidP="00DA702B">
            <w:pPr>
              <w:rPr>
                <w:sz w:val="20"/>
                <w:szCs w:val="20"/>
              </w:rPr>
            </w:pPr>
          </w:p>
        </w:tc>
        <w:tc>
          <w:tcPr>
            <w:tcW w:w="1600" w:type="dxa"/>
          </w:tcPr>
          <w:p w14:paraId="29A94C27" w14:textId="77777777" w:rsidR="00DA702B" w:rsidRPr="00DA702B" w:rsidRDefault="00DA702B" w:rsidP="00DA702B">
            <w:pPr>
              <w:rPr>
                <w:sz w:val="20"/>
                <w:szCs w:val="20"/>
              </w:rPr>
            </w:pPr>
          </w:p>
        </w:tc>
        <w:tc>
          <w:tcPr>
            <w:tcW w:w="1600" w:type="dxa"/>
          </w:tcPr>
          <w:p w14:paraId="5EDB3B93" w14:textId="77777777" w:rsidR="00DA702B" w:rsidRPr="00DA702B" w:rsidRDefault="00DA702B" w:rsidP="00DA702B">
            <w:pPr>
              <w:rPr>
                <w:sz w:val="20"/>
                <w:szCs w:val="20"/>
              </w:rPr>
            </w:pPr>
          </w:p>
        </w:tc>
      </w:tr>
      <w:tr w:rsidR="00DA702B" w:rsidRPr="00DA702B" w14:paraId="29B0D571" w14:textId="77777777" w:rsidTr="00247007">
        <w:trPr>
          <w:cantSplit/>
          <w:trHeight w:val="346"/>
          <w:tblHeader/>
        </w:trPr>
        <w:tc>
          <w:tcPr>
            <w:tcW w:w="1600" w:type="dxa"/>
          </w:tcPr>
          <w:p w14:paraId="7E708556" w14:textId="77777777" w:rsidR="00DA702B" w:rsidRPr="00DA702B" w:rsidRDefault="00DA702B" w:rsidP="00DA702B">
            <w:pPr>
              <w:rPr>
                <w:sz w:val="20"/>
                <w:szCs w:val="20"/>
              </w:rPr>
            </w:pPr>
          </w:p>
        </w:tc>
        <w:tc>
          <w:tcPr>
            <w:tcW w:w="1600" w:type="dxa"/>
          </w:tcPr>
          <w:p w14:paraId="3DB83FC2" w14:textId="77777777" w:rsidR="00DA702B" w:rsidRPr="00DA702B" w:rsidRDefault="00DA702B" w:rsidP="00DA702B">
            <w:pPr>
              <w:rPr>
                <w:sz w:val="20"/>
                <w:szCs w:val="20"/>
              </w:rPr>
            </w:pPr>
          </w:p>
        </w:tc>
        <w:tc>
          <w:tcPr>
            <w:tcW w:w="1600" w:type="dxa"/>
          </w:tcPr>
          <w:p w14:paraId="6072D7B5" w14:textId="77777777" w:rsidR="00DA702B" w:rsidRPr="00DA702B" w:rsidRDefault="00DA702B" w:rsidP="00DA702B">
            <w:pPr>
              <w:rPr>
                <w:sz w:val="20"/>
                <w:szCs w:val="20"/>
              </w:rPr>
            </w:pPr>
          </w:p>
        </w:tc>
        <w:tc>
          <w:tcPr>
            <w:tcW w:w="1600" w:type="dxa"/>
          </w:tcPr>
          <w:p w14:paraId="30CA199D" w14:textId="77777777" w:rsidR="00DA702B" w:rsidRPr="00DA702B" w:rsidRDefault="00DA702B" w:rsidP="00DA702B">
            <w:pPr>
              <w:rPr>
                <w:sz w:val="20"/>
                <w:szCs w:val="20"/>
              </w:rPr>
            </w:pPr>
          </w:p>
        </w:tc>
        <w:tc>
          <w:tcPr>
            <w:tcW w:w="1600" w:type="dxa"/>
          </w:tcPr>
          <w:p w14:paraId="5445743A" w14:textId="77777777" w:rsidR="00DA702B" w:rsidRPr="00DA702B" w:rsidRDefault="00DA702B" w:rsidP="00DA702B">
            <w:pPr>
              <w:rPr>
                <w:sz w:val="20"/>
                <w:szCs w:val="20"/>
              </w:rPr>
            </w:pPr>
          </w:p>
        </w:tc>
        <w:tc>
          <w:tcPr>
            <w:tcW w:w="1600" w:type="dxa"/>
          </w:tcPr>
          <w:p w14:paraId="0788A6E5" w14:textId="77777777" w:rsidR="00DA702B" w:rsidRPr="00DA702B" w:rsidRDefault="00DA702B" w:rsidP="00DA702B">
            <w:pPr>
              <w:rPr>
                <w:sz w:val="20"/>
                <w:szCs w:val="20"/>
              </w:rPr>
            </w:pPr>
          </w:p>
        </w:tc>
        <w:tc>
          <w:tcPr>
            <w:tcW w:w="1600" w:type="dxa"/>
          </w:tcPr>
          <w:p w14:paraId="20776028" w14:textId="77777777" w:rsidR="00DA702B" w:rsidRPr="00DA702B" w:rsidRDefault="00DA702B" w:rsidP="00DA702B">
            <w:pPr>
              <w:rPr>
                <w:sz w:val="20"/>
                <w:szCs w:val="20"/>
              </w:rPr>
            </w:pPr>
          </w:p>
        </w:tc>
        <w:tc>
          <w:tcPr>
            <w:tcW w:w="1600" w:type="dxa"/>
          </w:tcPr>
          <w:p w14:paraId="1EB0A484" w14:textId="77777777" w:rsidR="00DA702B" w:rsidRPr="00DA702B" w:rsidRDefault="00DA702B" w:rsidP="00DA702B">
            <w:pPr>
              <w:rPr>
                <w:sz w:val="20"/>
                <w:szCs w:val="20"/>
              </w:rPr>
            </w:pPr>
          </w:p>
        </w:tc>
        <w:tc>
          <w:tcPr>
            <w:tcW w:w="1600" w:type="dxa"/>
          </w:tcPr>
          <w:p w14:paraId="79A42874" w14:textId="77777777" w:rsidR="00DA702B" w:rsidRPr="00DA702B" w:rsidRDefault="00DA702B" w:rsidP="00DA702B">
            <w:pPr>
              <w:rPr>
                <w:sz w:val="20"/>
                <w:szCs w:val="20"/>
              </w:rPr>
            </w:pPr>
          </w:p>
        </w:tc>
      </w:tr>
      <w:tr w:rsidR="00DA702B" w:rsidRPr="00DA702B" w14:paraId="4E0E4A10" w14:textId="77777777" w:rsidTr="00247007">
        <w:trPr>
          <w:cantSplit/>
          <w:trHeight w:val="346"/>
          <w:tblHeader/>
        </w:trPr>
        <w:tc>
          <w:tcPr>
            <w:tcW w:w="1600" w:type="dxa"/>
          </w:tcPr>
          <w:p w14:paraId="7FF907B8" w14:textId="77777777" w:rsidR="00DA702B" w:rsidRPr="00DA702B" w:rsidRDefault="00DA702B" w:rsidP="00DA702B">
            <w:pPr>
              <w:rPr>
                <w:sz w:val="20"/>
                <w:szCs w:val="20"/>
              </w:rPr>
            </w:pPr>
          </w:p>
        </w:tc>
        <w:tc>
          <w:tcPr>
            <w:tcW w:w="1600" w:type="dxa"/>
          </w:tcPr>
          <w:p w14:paraId="0FAA1C7A" w14:textId="77777777" w:rsidR="00DA702B" w:rsidRPr="00DA702B" w:rsidRDefault="00DA702B" w:rsidP="00DA702B">
            <w:pPr>
              <w:rPr>
                <w:sz w:val="20"/>
                <w:szCs w:val="20"/>
              </w:rPr>
            </w:pPr>
          </w:p>
        </w:tc>
        <w:tc>
          <w:tcPr>
            <w:tcW w:w="1600" w:type="dxa"/>
          </w:tcPr>
          <w:p w14:paraId="0C1326E7" w14:textId="77777777" w:rsidR="00DA702B" w:rsidRPr="00DA702B" w:rsidRDefault="00DA702B" w:rsidP="00DA702B">
            <w:pPr>
              <w:rPr>
                <w:sz w:val="20"/>
                <w:szCs w:val="20"/>
              </w:rPr>
            </w:pPr>
          </w:p>
        </w:tc>
        <w:tc>
          <w:tcPr>
            <w:tcW w:w="1600" w:type="dxa"/>
          </w:tcPr>
          <w:p w14:paraId="55C81055" w14:textId="77777777" w:rsidR="00DA702B" w:rsidRPr="00DA702B" w:rsidRDefault="00DA702B" w:rsidP="00DA702B">
            <w:pPr>
              <w:rPr>
                <w:sz w:val="20"/>
                <w:szCs w:val="20"/>
              </w:rPr>
            </w:pPr>
          </w:p>
        </w:tc>
        <w:tc>
          <w:tcPr>
            <w:tcW w:w="1600" w:type="dxa"/>
          </w:tcPr>
          <w:p w14:paraId="7727715B" w14:textId="77777777" w:rsidR="00DA702B" w:rsidRPr="00DA702B" w:rsidRDefault="00DA702B" w:rsidP="00DA702B">
            <w:pPr>
              <w:rPr>
                <w:sz w:val="20"/>
                <w:szCs w:val="20"/>
              </w:rPr>
            </w:pPr>
          </w:p>
        </w:tc>
        <w:tc>
          <w:tcPr>
            <w:tcW w:w="1600" w:type="dxa"/>
          </w:tcPr>
          <w:p w14:paraId="3F34A027" w14:textId="77777777" w:rsidR="00DA702B" w:rsidRPr="00DA702B" w:rsidRDefault="00DA702B" w:rsidP="00DA702B">
            <w:pPr>
              <w:rPr>
                <w:sz w:val="20"/>
                <w:szCs w:val="20"/>
              </w:rPr>
            </w:pPr>
          </w:p>
        </w:tc>
        <w:tc>
          <w:tcPr>
            <w:tcW w:w="1600" w:type="dxa"/>
          </w:tcPr>
          <w:p w14:paraId="60F0C7D1" w14:textId="77777777" w:rsidR="00DA702B" w:rsidRPr="00DA702B" w:rsidRDefault="00DA702B" w:rsidP="00DA702B">
            <w:pPr>
              <w:rPr>
                <w:sz w:val="20"/>
                <w:szCs w:val="20"/>
              </w:rPr>
            </w:pPr>
          </w:p>
        </w:tc>
        <w:tc>
          <w:tcPr>
            <w:tcW w:w="1600" w:type="dxa"/>
          </w:tcPr>
          <w:p w14:paraId="102E79FD" w14:textId="77777777" w:rsidR="00DA702B" w:rsidRPr="00DA702B" w:rsidRDefault="00DA702B" w:rsidP="00DA702B">
            <w:pPr>
              <w:rPr>
                <w:sz w:val="20"/>
                <w:szCs w:val="20"/>
              </w:rPr>
            </w:pPr>
          </w:p>
        </w:tc>
        <w:tc>
          <w:tcPr>
            <w:tcW w:w="1600" w:type="dxa"/>
          </w:tcPr>
          <w:p w14:paraId="620AA950" w14:textId="77777777" w:rsidR="00DA702B" w:rsidRPr="00DA702B" w:rsidRDefault="00DA702B" w:rsidP="00DA702B">
            <w:pPr>
              <w:rPr>
                <w:sz w:val="20"/>
                <w:szCs w:val="20"/>
              </w:rPr>
            </w:pPr>
          </w:p>
        </w:tc>
      </w:tr>
      <w:tr w:rsidR="00DA702B" w:rsidRPr="00DA702B" w14:paraId="74AD58A2" w14:textId="77777777" w:rsidTr="00247007">
        <w:trPr>
          <w:cantSplit/>
          <w:trHeight w:val="346"/>
          <w:tblHeader/>
        </w:trPr>
        <w:tc>
          <w:tcPr>
            <w:tcW w:w="1600" w:type="dxa"/>
          </w:tcPr>
          <w:p w14:paraId="153C2626" w14:textId="77777777" w:rsidR="00DA702B" w:rsidRPr="00DA702B" w:rsidRDefault="00DA702B" w:rsidP="00DA702B">
            <w:pPr>
              <w:rPr>
                <w:sz w:val="20"/>
                <w:szCs w:val="20"/>
              </w:rPr>
            </w:pPr>
          </w:p>
        </w:tc>
        <w:tc>
          <w:tcPr>
            <w:tcW w:w="1600" w:type="dxa"/>
          </w:tcPr>
          <w:p w14:paraId="3F904D95" w14:textId="77777777" w:rsidR="00DA702B" w:rsidRPr="00DA702B" w:rsidRDefault="00DA702B" w:rsidP="00DA702B">
            <w:pPr>
              <w:rPr>
                <w:sz w:val="20"/>
                <w:szCs w:val="20"/>
              </w:rPr>
            </w:pPr>
          </w:p>
        </w:tc>
        <w:tc>
          <w:tcPr>
            <w:tcW w:w="1600" w:type="dxa"/>
          </w:tcPr>
          <w:p w14:paraId="1DFD1570" w14:textId="77777777" w:rsidR="00DA702B" w:rsidRPr="00DA702B" w:rsidRDefault="00DA702B" w:rsidP="00DA702B">
            <w:pPr>
              <w:rPr>
                <w:sz w:val="20"/>
                <w:szCs w:val="20"/>
              </w:rPr>
            </w:pPr>
          </w:p>
        </w:tc>
        <w:tc>
          <w:tcPr>
            <w:tcW w:w="1600" w:type="dxa"/>
          </w:tcPr>
          <w:p w14:paraId="112C2808" w14:textId="77777777" w:rsidR="00DA702B" w:rsidRPr="00DA702B" w:rsidRDefault="00DA702B" w:rsidP="00DA702B">
            <w:pPr>
              <w:rPr>
                <w:sz w:val="20"/>
                <w:szCs w:val="20"/>
              </w:rPr>
            </w:pPr>
          </w:p>
        </w:tc>
        <w:tc>
          <w:tcPr>
            <w:tcW w:w="1600" w:type="dxa"/>
          </w:tcPr>
          <w:p w14:paraId="6608732D" w14:textId="77777777" w:rsidR="00DA702B" w:rsidRPr="00DA702B" w:rsidRDefault="00DA702B" w:rsidP="00DA702B">
            <w:pPr>
              <w:rPr>
                <w:sz w:val="20"/>
                <w:szCs w:val="20"/>
              </w:rPr>
            </w:pPr>
          </w:p>
        </w:tc>
        <w:tc>
          <w:tcPr>
            <w:tcW w:w="1600" w:type="dxa"/>
          </w:tcPr>
          <w:p w14:paraId="6D376EFE" w14:textId="77777777" w:rsidR="00DA702B" w:rsidRPr="00DA702B" w:rsidRDefault="00DA702B" w:rsidP="00DA702B">
            <w:pPr>
              <w:rPr>
                <w:sz w:val="20"/>
                <w:szCs w:val="20"/>
              </w:rPr>
            </w:pPr>
          </w:p>
        </w:tc>
        <w:tc>
          <w:tcPr>
            <w:tcW w:w="1600" w:type="dxa"/>
          </w:tcPr>
          <w:p w14:paraId="02AA0AD3" w14:textId="77777777" w:rsidR="00DA702B" w:rsidRPr="00DA702B" w:rsidRDefault="00DA702B" w:rsidP="00DA702B">
            <w:pPr>
              <w:rPr>
                <w:sz w:val="20"/>
                <w:szCs w:val="20"/>
              </w:rPr>
            </w:pPr>
          </w:p>
        </w:tc>
        <w:tc>
          <w:tcPr>
            <w:tcW w:w="1600" w:type="dxa"/>
          </w:tcPr>
          <w:p w14:paraId="506E0091" w14:textId="77777777" w:rsidR="00DA702B" w:rsidRPr="00DA702B" w:rsidRDefault="00DA702B" w:rsidP="00DA702B">
            <w:pPr>
              <w:rPr>
                <w:sz w:val="20"/>
                <w:szCs w:val="20"/>
              </w:rPr>
            </w:pPr>
          </w:p>
        </w:tc>
        <w:tc>
          <w:tcPr>
            <w:tcW w:w="1600" w:type="dxa"/>
          </w:tcPr>
          <w:p w14:paraId="27189232" w14:textId="77777777" w:rsidR="00DA702B" w:rsidRPr="00DA702B" w:rsidRDefault="00DA702B" w:rsidP="00DA702B">
            <w:pPr>
              <w:rPr>
                <w:sz w:val="20"/>
                <w:szCs w:val="20"/>
              </w:rPr>
            </w:pPr>
          </w:p>
        </w:tc>
      </w:tr>
      <w:tr w:rsidR="00DA702B" w:rsidRPr="00DA702B" w14:paraId="27A9E047" w14:textId="77777777" w:rsidTr="00247007">
        <w:trPr>
          <w:cantSplit/>
          <w:trHeight w:val="346"/>
          <w:tblHeader/>
        </w:trPr>
        <w:tc>
          <w:tcPr>
            <w:tcW w:w="1600" w:type="dxa"/>
          </w:tcPr>
          <w:p w14:paraId="392E4234" w14:textId="77777777" w:rsidR="00DA702B" w:rsidRPr="00DA702B" w:rsidRDefault="00DA702B" w:rsidP="00DA702B">
            <w:pPr>
              <w:rPr>
                <w:sz w:val="20"/>
                <w:szCs w:val="20"/>
              </w:rPr>
            </w:pPr>
          </w:p>
        </w:tc>
        <w:tc>
          <w:tcPr>
            <w:tcW w:w="1600" w:type="dxa"/>
          </w:tcPr>
          <w:p w14:paraId="3EAE8867" w14:textId="77777777" w:rsidR="00DA702B" w:rsidRPr="00DA702B" w:rsidRDefault="00DA702B" w:rsidP="00DA702B">
            <w:pPr>
              <w:rPr>
                <w:sz w:val="20"/>
                <w:szCs w:val="20"/>
              </w:rPr>
            </w:pPr>
          </w:p>
        </w:tc>
        <w:tc>
          <w:tcPr>
            <w:tcW w:w="1600" w:type="dxa"/>
          </w:tcPr>
          <w:p w14:paraId="48B3A425" w14:textId="77777777" w:rsidR="00DA702B" w:rsidRPr="00DA702B" w:rsidRDefault="00DA702B" w:rsidP="00DA702B">
            <w:pPr>
              <w:rPr>
                <w:sz w:val="20"/>
                <w:szCs w:val="20"/>
              </w:rPr>
            </w:pPr>
          </w:p>
        </w:tc>
        <w:tc>
          <w:tcPr>
            <w:tcW w:w="1600" w:type="dxa"/>
          </w:tcPr>
          <w:p w14:paraId="2EACF948" w14:textId="77777777" w:rsidR="00DA702B" w:rsidRPr="00DA702B" w:rsidRDefault="00DA702B" w:rsidP="00DA702B">
            <w:pPr>
              <w:rPr>
                <w:sz w:val="20"/>
                <w:szCs w:val="20"/>
              </w:rPr>
            </w:pPr>
          </w:p>
        </w:tc>
        <w:tc>
          <w:tcPr>
            <w:tcW w:w="1600" w:type="dxa"/>
          </w:tcPr>
          <w:p w14:paraId="3CE410D4" w14:textId="77777777" w:rsidR="00DA702B" w:rsidRPr="00DA702B" w:rsidRDefault="00DA702B" w:rsidP="00DA702B">
            <w:pPr>
              <w:rPr>
                <w:sz w:val="20"/>
                <w:szCs w:val="20"/>
              </w:rPr>
            </w:pPr>
          </w:p>
        </w:tc>
        <w:tc>
          <w:tcPr>
            <w:tcW w:w="1600" w:type="dxa"/>
          </w:tcPr>
          <w:p w14:paraId="14666E68" w14:textId="77777777" w:rsidR="00DA702B" w:rsidRPr="00DA702B" w:rsidRDefault="00DA702B" w:rsidP="00DA702B">
            <w:pPr>
              <w:rPr>
                <w:sz w:val="20"/>
                <w:szCs w:val="20"/>
              </w:rPr>
            </w:pPr>
          </w:p>
        </w:tc>
        <w:tc>
          <w:tcPr>
            <w:tcW w:w="1600" w:type="dxa"/>
          </w:tcPr>
          <w:p w14:paraId="38A65A02" w14:textId="77777777" w:rsidR="00DA702B" w:rsidRPr="00DA702B" w:rsidRDefault="00DA702B" w:rsidP="00DA702B">
            <w:pPr>
              <w:rPr>
                <w:sz w:val="20"/>
                <w:szCs w:val="20"/>
              </w:rPr>
            </w:pPr>
          </w:p>
        </w:tc>
        <w:tc>
          <w:tcPr>
            <w:tcW w:w="1600" w:type="dxa"/>
          </w:tcPr>
          <w:p w14:paraId="60D7CA7A" w14:textId="77777777" w:rsidR="00DA702B" w:rsidRPr="00DA702B" w:rsidRDefault="00DA702B" w:rsidP="00DA702B">
            <w:pPr>
              <w:rPr>
                <w:sz w:val="20"/>
                <w:szCs w:val="20"/>
              </w:rPr>
            </w:pPr>
          </w:p>
        </w:tc>
        <w:tc>
          <w:tcPr>
            <w:tcW w:w="1600" w:type="dxa"/>
          </w:tcPr>
          <w:p w14:paraId="517F9CA9" w14:textId="77777777" w:rsidR="00DA702B" w:rsidRPr="00DA702B" w:rsidRDefault="00DA702B" w:rsidP="00DA702B">
            <w:pPr>
              <w:rPr>
                <w:sz w:val="20"/>
                <w:szCs w:val="20"/>
              </w:rPr>
            </w:pPr>
          </w:p>
        </w:tc>
      </w:tr>
      <w:tr w:rsidR="00DA702B" w:rsidRPr="00DA702B" w14:paraId="1EFC0707" w14:textId="77777777" w:rsidTr="00247007">
        <w:trPr>
          <w:cantSplit/>
          <w:trHeight w:val="346"/>
          <w:tblHeader/>
        </w:trPr>
        <w:tc>
          <w:tcPr>
            <w:tcW w:w="1600" w:type="dxa"/>
          </w:tcPr>
          <w:p w14:paraId="3B0DD850" w14:textId="77777777" w:rsidR="00DA702B" w:rsidRPr="00DA702B" w:rsidRDefault="00DA702B" w:rsidP="00DA702B">
            <w:pPr>
              <w:rPr>
                <w:sz w:val="20"/>
                <w:szCs w:val="20"/>
              </w:rPr>
            </w:pPr>
          </w:p>
        </w:tc>
        <w:tc>
          <w:tcPr>
            <w:tcW w:w="1600" w:type="dxa"/>
          </w:tcPr>
          <w:p w14:paraId="1D304AB5" w14:textId="77777777" w:rsidR="00DA702B" w:rsidRPr="00DA702B" w:rsidRDefault="00DA702B" w:rsidP="00DA702B">
            <w:pPr>
              <w:rPr>
                <w:sz w:val="20"/>
                <w:szCs w:val="20"/>
              </w:rPr>
            </w:pPr>
          </w:p>
        </w:tc>
        <w:tc>
          <w:tcPr>
            <w:tcW w:w="1600" w:type="dxa"/>
          </w:tcPr>
          <w:p w14:paraId="60AECCD5" w14:textId="77777777" w:rsidR="00DA702B" w:rsidRPr="00DA702B" w:rsidRDefault="00DA702B" w:rsidP="00DA702B">
            <w:pPr>
              <w:rPr>
                <w:sz w:val="20"/>
                <w:szCs w:val="20"/>
              </w:rPr>
            </w:pPr>
          </w:p>
        </w:tc>
        <w:tc>
          <w:tcPr>
            <w:tcW w:w="1600" w:type="dxa"/>
          </w:tcPr>
          <w:p w14:paraId="2CF4E15F" w14:textId="77777777" w:rsidR="00DA702B" w:rsidRPr="00DA702B" w:rsidRDefault="00DA702B" w:rsidP="00DA702B">
            <w:pPr>
              <w:rPr>
                <w:sz w:val="20"/>
                <w:szCs w:val="20"/>
              </w:rPr>
            </w:pPr>
          </w:p>
        </w:tc>
        <w:tc>
          <w:tcPr>
            <w:tcW w:w="1600" w:type="dxa"/>
          </w:tcPr>
          <w:p w14:paraId="4976B2C2" w14:textId="77777777" w:rsidR="00DA702B" w:rsidRPr="00DA702B" w:rsidRDefault="00DA702B" w:rsidP="00DA702B">
            <w:pPr>
              <w:rPr>
                <w:sz w:val="20"/>
                <w:szCs w:val="20"/>
              </w:rPr>
            </w:pPr>
          </w:p>
        </w:tc>
        <w:tc>
          <w:tcPr>
            <w:tcW w:w="1600" w:type="dxa"/>
          </w:tcPr>
          <w:p w14:paraId="69B48D9F" w14:textId="77777777" w:rsidR="00DA702B" w:rsidRPr="00DA702B" w:rsidRDefault="00DA702B" w:rsidP="00DA702B">
            <w:pPr>
              <w:rPr>
                <w:sz w:val="20"/>
                <w:szCs w:val="20"/>
              </w:rPr>
            </w:pPr>
          </w:p>
        </w:tc>
        <w:tc>
          <w:tcPr>
            <w:tcW w:w="1600" w:type="dxa"/>
          </w:tcPr>
          <w:p w14:paraId="4EAA0219" w14:textId="77777777" w:rsidR="00DA702B" w:rsidRPr="00DA702B" w:rsidRDefault="00DA702B" w:rsidP="00DA702B">
            <w:pPr>
              <w:rPr>
                <w:sz w:val="20"/>
                <w:szCs w:val="20"/>
              </w:rPr>
            </w:pPr>
          </w:p>
        </w:tc>
        <w:tc>
          <w:tcPr>
            <w:tcW w:w="1600" w:type="dxa"/>
          </w:tcPr>
          <w:p w14:paraId="6B1F6427" w14:textId="77777777" w:rsidR="00DA702B" w:rsidRPr="00DA702B" w:rsidRDefault="00DA702B" w:rsidP="00DA702B">
            <w:pPr>
              <w:rPr>
                <w:sz w:val="20"/>
                <w:szCs w:val="20"/>
              </w:rPr>
            </w:pPr>
          </w:p>
        </w:tc>
        <w:tc>
          <w:tcPr>
            <w:tcW w:w="1600" w:type="dxa"/>
          </w:tcPr>
          <w:p w14:paraId="2E521BAA" w14:textId="77777777" w:rsidR="00DA702B" w:rsidRPr="00DA702B" w:rsidRDefault="00DA702B" w:rsidP="00DA702B">
            <w:pPr>
              <w:rPr>
                <w:sz w:val="20"/>
                <w:szCs w:val="20"/>
              </w:rPr>
            </w:pPr>
          </w:p>
        </w:tc>
      </w:tr>
      <w:tr w:rsidR="00DA702B" w:rsidRPr="00DA702B" w14:paraId="170ECD7E" w14:textId="77777777" w:rsidTr="00247007">
        <w:trPr>
          <w:cantSplit/>
          <w:trHeight w:val="346"/>
          <w:tblHeader/>
        </w:trPr>
        <w:tc>
          <w:tcPr>
            <w:tcW w:w="1600" w:type="dxa"/>
          </w:tcPr>
          <w:p w14:paraId="45A648D9" w14:textId="77777777" w:rsidR="00DA702B" w:rsidRPr="00DA702B" w:rsidRDefault="00DA702B" w:rsidP="00DA702B">
            <w:pPr>
              <w:rPr>
                <w:sz w:val="20"/>
                <w:szCs w:val="20"/>
              </w:rPr>
            </w:pPr>
          </w:p>
        </w:tc>
        <w:tc>
          <w:tcPr>
            <w:tcW w:w="1600" w:type="dxa"/>
          </w:tcPr>
          <w:p w14:paraId="1745743E" w14:textId="77777777" w:rsidR="00DA702B" w:rsidRPr="00DA702B" w:rsidRDefault="00DA702B" w:rsidP="00DA702B">
            <w:pPr>
              <w:rPr>
                <w:sz w:val="20"/>
                <w:szCs w:val="20"/>
              </w:rPr>
            </w:pPr>
          </w:p>
        </w:tc>
        <w:tc>
          <w:tcPr>
            <w:tcW w:w="1600" w:type="dxa"/>
          </w:tcPr>
          <w:p w14:paraId="5E8925F8" w14:textId="77777777" w:rsidR="00DA702B" w:rsidRPr="00DA702B" w:rsidRDefault="00DA702B" w:rsidP="00DA702B">
            <w:pPr>
              <w:rPr>
                <w:sz w:val="20"/>
                <w:szCs w:val="20"/>
              </w:rPr>
            </w:pPr>
          </w:p>
        </w:tc>
        <w:tc>
          <w:tcPr>
            <w:tcW w:w="1600" w:type="dxa"/>
          </w:tcPr>
          <w:p w14:paraId="4E8284D1" w14:textId="77777777" w:rsidR="00DA702B" w:rsidRPr="00DA702B" w:rsidRDefault="00DA702B" w:rsidP="00DA702B">
            <w:pPr>
              <w:rPr>
                <w:sz w:val="20"/>
                <w:szCs w:val="20"/>
              </w:rPr>
            </w:pPr>
          </w:p>
        </w:tc>
        <w:tc>
          <w:tcPr>
            <w:tcW w:w="1600" w:type="dxa"/>
          </w:tcPr>
          <w:p w14:paraId="002E2B15" w14:textId="77777777" w:rsidR="00DA702B" w:rsidRPr="00DA702B" w:rsidRDefault="00DA702B" w:rsidP="00DA702B">
            <w:pPr>
              <w:rPr>
                <w:sz w:val="20"/>
                <w:szCs w:val="20"/>
              </w:rPr>
            </w:pPr>
          </w:p>
        </w:tc>
        <w:tc>
          <w:tcPr>
            <w:tcW w:w="1600" w:type="dxa"/>
          </w:tcPr>
          <w:p w14:paraId="0637805A" w14:textId="77777777" w:rsidR="00DA702B" w:rsidRPr="00DA702B" w:rsidRDefault="00DA702B" w:rsidP="00DA702B">
            <w:pPr>
              <w:rPr>
                <w:sz w:val="20"/>
                <w:szCs w:val="20"/>
              </w:rPr>
            </w:pPr>
          </w:p>
        </w:tc>
        <w:tc>
          <w:tcPr>
            <w:tcW w:w="1600" w:type="dxa"/>
          </w:tcPr>
          <w:p w14:paraId="1A43A742" w14:textId="77777777" w:rsidR="00DA702B" w:rsidRPr="00DA702B" w:rsidRDefault="00DA702B" w:rsidP="00DA702B">
            <w:pPr>
              <w:rPr>
                <w:sz w:val="20"/>
                <w:szCs w:val="20"/>
              </w:rPr>
            </w:pPr>
          </w:p>
        </w:tc>
        <w:tc>
          <w:tcPr>
            <w:tcW w:w="1600" w:type="dxa"/>
          </w:tcPr>
          <w:p w14:paraId="3074576B" w14:textId="77777777" w:rsidR="00DA702B" w:rsidRPr="00DA702B" w:rsidRDefault="00DA702B" w:rsidP="00DA702B">
            <w:pPr>
              <w:rPr>
                <w:sz w:val="20"/>
                <w:szCs w:val="20"/>
              </w:rPr>
            </w:pPr>
          </w:p>
        </w:tc>
        <w:tc>
          <w:tcPr>
            <w:tcW w:w="1600" w:type="dxa"/>
          </w:tcPr>
          <w:p w14:paraId="7A4A7F9E" w14:textId="77777777" w:rsidR="00DA702B" w:rsidRPr="00DA702B" w:rsidRDefault="00DA702B" w:rsidP="00DA702B">
            <w:pPr>
              <w:rPr>
                <w:sz w:val="20"/>
                <w:szCs w:val="20"/>
              </w:rPr>
            </w:pPr>
          </w:p>
        </w:tc>
      </w:tr>
      <w:tr w:rsidR="00DA702B" w:rsidRPr="00DA702B" w14:paraId="4A44007C" w14:textId="77777777" w:rsidTr="00247007">
        <w:trPr>
          <w:cantSplit/>
          <w:trHeight w:val="346"/>
          <w:tblHeader/>
        </w:trPr>
        <w:tc>
          <w:tcPr>
            <w:tcW w:w="1600" w:type="dxa"/>
          </w:tcPr>
          <w:p w14:paraId="2DEE2B06" w14:textId="77777777" w:rsidR="00DA702B" w:rsidRPr="00DA702B" w:rsidRDefault="00DA702B" w:rsidP="00DA702B">
            <w:pPr>
              <w:rPr>
                <w:sz w:val="20"/>
                <w:szCs w:val="20"/>
              </w:rPr>
            </w:pPr>
          </w:p>
        </w:tc>
        <w:tc>
          <w:tcPr>
            <w:tcW w:w="1600" w:type="dxa"/>
          </w:tcPr>
          <w:p w14:paraId="24F54D43" w14:textId="77777777" w:rsidR="00DA702B" w:rsidRPr="00DA702B" w:rsidRDefault="00DA702B" w:rsidP="00DA702B">
            <w:pPr>
              <w:rPr>
                <w:sz w:val="20"/>
                <w:szCs w:val="20"/>
              </w:rPr>
            </w:pPr>
          </w:p>
        </w:tc>
        <w:tc>
          <w:tcPr>
            <w:tcW w:w="1600" w:type="dxa"/>
          </w:tcPr>
          <w:p w14:paraId="71A1D323" w14:textId="77777777" w:rsidR="00DA702B" w:rsidRPr="00DA702B" w:rsidRDefault="00DA702B" w:rsidP="00DA702B">
            <w:pPr>
              <w:rPr>
                <w:sz w:val="20"/>
                <w:szCs w:val="20"/>
              </w:rPr>
            </w:pPr>
          </w:p>
        </w:tc>
        <w:tc>
          <w:tcPr>
            <w:tcW w:w="1600" w:type="dxa"/>
          </w:tcPr>
          <w:p w14:paraId="682DD0B6" w14:textId="77777777" w:rsidR="00DA702B" w:rsidRPr="00DA702B" w:rsidRDefault="00DA702B" w:rsidP="00DA702B">
            <w:pPr>
              <w:rPr>
                <w:sz w:val="20"/>
                <w:szCs w:val="20"/>
              </w:rPr>
            </w:pPr>
          </w:p>
        </w:tc>
        <w:tc>
          <w:tcPr>
            <w:tcW w:w="1600" w:type="dxa"/>
          </w:tcPr>
          <w:p w14:paraId="40ACBEA4" w14:textId="77777777" w:rsidR="00DA702B" w:rsidRPr="00DA702B" w:rsidRDefault="00DA702B" w:rsidP="00DA702B">
            <w:pPr>
              <w:rPr>
                <w:sz w:val="20"/>
                <w:szCs w:val="20"/>
              </w:rPr>
            </w:pPr>
          </w:p>
        </w:tc>
        <w:tc>
          <w:tcPr>
            <w:tcW w:w="1600" w:type="dxa"/>
          </w:tcPr>
          <w:p w14:paraId="3E1A8254" w14:textId="77777777" w:rsidR="00DA702B" w:rsidRPr="00DA702B" w:rsidRDefault="00DA702B" w:rsidP="00DA702B">
            <w:pPr>
              <w:rPr>
                <w:sz w:val="20"/>
                <w:szCs w:val="20"/>
              </w:rPr>
            </w:pPr>
          </w:p>
        </w:tc>
        <w:tc>
          <w:tcPr>
            <w:tcW w:w="1600" w:type="dxa"/>
          </w:tcPr>
          <w:p w14:paraId="1A06A7CF" w14:textId="77777777" w:rsidR="00DA702B" w:rsidRPr="00DA702B" w:rsidRDefault="00DA702B" w:rsidP="00DA702B">
            <w:pPr>
              <w:rPr>
                <w:sz w:val="20"/>
                <w:szCs w:val="20"/>
              </w:rPr>
            </w:pPr>
          </w:p>
        </w:tc>
        <w:tc>
          <w:tcPr>
            <w:tcW w:w="1600" w:type="dxa"/>
          </w:tcPr>
          <w:p w14:paraId="0C607B22" w14:textId="77777777" w:rsidR="00DA702B" w:rsidRPr="00DA702B" w:rsidRDefault="00DA702B" w:rsidP="00DA702B">
            <w:pPr>
              <w:rPr>
                <w:sz w:val="20"/>
                <w:szCs w:val="20"/>
              </w:rPr>
            </w:pPr>
          </w:p>
        </w:tc>
        <w:tc>
          <w:tcPr>
            <w:tcW w:w="1600" w:type="dxa"/>
          </w:tcPr>
          <w:p w14:paraId="6C606D0A" w14:textId="77777777" w:rsidR="00DA702B" w:rsidRPr="00DA702B" w:rsidRDefault="00DA702B" w:rsidP="00DA702B">
            <w:pPr>
              <w:rPr>
                <w:sz w:val="20"/>
                <w:szCs w:val="20"/>
              </w:rPr>
            </w:pPr>
          </w:p>
        </w:tc>
      </w:tr>
      <w:tr w:rsidR="00DA702B" w:rsidRPr="00DA702B" w14:paraId="279B40DD" w14:textId="77777777" w:rsidTr="00247007">
        <w:trPr>
          <w:cantSplit/>
          <w:trHeight w:val="346"/>
          <w:tblHeader/>
        </w:trPr>
        <w:tc>
          <w:tcPr>
            <w:tcW w:w="1600" w:type="dxa"/>
          </w:tcPr>
          <w:p w14:paraId="2DD36599" w14:textId="77777777" w:rsidR="00DA702B" w:rsidRPr="00DA702B" w:rsidRDefault="00DA702B" w:rsidP="00DA702B">
            <w:pPr>
              <w:rPr>
                <w:sz w:val="20"/>
                <w:szCs w:val="20"/>
              </w:rPr>
            </w:pPr>
          </w:p>
        </w:tc>
        <w:tc>
          <w:tcPr>
            <w:tcW w:w="1600" w:type="dxa"/>
          </w:tcPr>
          <w:p w14:paraId="21ED5C2D" w14:textId="77777777" w:rsidR="00DA702B" w:rsidRPr="00DA702B" w:rsidRDefault="00DA702B" w:rsidP="00DA702B">
            <w:pPr>
              <w:rPr>
                <w:sz w:val="20"/>
                <w:szCs w:val="20"/>
              </w:rPr>
            </w:pPr>
          </w:p>
        </w:tc>
        <w:tc>
          <w:tcPr>
            <w:tcW w:w="1600" w:type="dxa"/>
          </w:tcPr>
          <w:p w14:paraId="29F5E9AA" w14:textId="77777777" w:rsidR="00DA702B" w:rsidRPr="00DA702B" w:rsidRDefault="00DA702B" w:rsidP="00DA702B">
            <w:pPr>
              <w:rPr>
                <w:sz w:val="20"/>
                <w:szCs w:val="20"/>
              </w:rPr>
            </w:pPr>
          </w:p>
        </w:tc>
        <w:tc>
          <w:tcPr>
            <w:tcW w:w="1600" w:type="dxa"/>
          </w:tcPr>
          <w:p w14:paraId="5A11E4E4" w14:textId="77777777" w:rsidR="00DA702B" w:rsidRPr="00DA702B" w:rsidRDefault="00DA702B" w:rsidP="00DA702B">
            <w:pPr>
              <w:rPr>
                <w:sz w:val="20"/>
                <w:szCs w:val="20"/>
              </w:rPr>
            </w:pPr>
          </w:p>
        </w:tc>
        <w:tc>
          <w:tcPr>
            <w:tcW w:w="1600" w:type="dxa"/>
          </w:tcPr>
          <w:p w14:paraId="7B86D943" w14:textId="77777777" w:rsidR="00DA702B" w:rsidRPr="00DA702B" w:rsidRDefault="00DA702B" w:rsidP="00DA702B">
            <w:pPr>
              <w:rPr>
                <w:sz w:val="20"/>
                <w:szCs w:val="20"/>
              </w:rPr>
            </w:pPr>
          </w:p>
        </w:tc>
        <w:tc>
          <w:tcPr>
            <w:tcW w:w="1600" w:type="dxa"/>
          </w:tcPr>
          <w:p w14:paraId="7F49E8C1" w14:textId="77777777" w:rsidR="00DA702B" w:rsidRPr="00DA702B" w:rsidRDefault="00DA702B" w:rsidP="00DA702B">
            <w:pPr>
              <w:rPr>
                <w:sz w:val="20"/>
                <w:szCs w:val="20"/>
              </w:rPr>
            </w:pPr>
          </w:p>
        </w:tc>
        <w:tc>
          <w:tcPr>
            <w:tcW w:w="1600" w:type="dxa"/>
          </w:tcPr>
          <w:p w14:paraId="51733969" w14:textId="77777777" w:rsidR="00DA702B" w:rsidRPr="00DA702B" w:rsidRDefault="00DA702B" w:rsidP="00DA702B">
            <w:pPr>
              <w:rPr>
                <w:sz w:val="20"/>
                <w:szCs w:val="20"/>
              </w:rPr>
            </w:pPr>
          </w:p>
        </w:tc>
        <w:tc>
          <w:tcPr>
            <w:tcW w:w="1600" w:type="dxa"/>
          </w:tcPr>
          <w:p w14:paraId="4C6E5061" w14:textId="77777777" w:rsidR="00DA702B" w:rsidRPr="00DA702B" w:rsidRDefault="00DA702B" w:rsidP="00DA702B">
            <w:pPr>
              <w:rPr>
                <w:sz w:val="20"/>
                <w:szCs w:val="20"/>
              </w:rPr>
            </w:pPr>
          </w:p>
        </w:tc>
        <w:tc>
          <w:tcPr>
            <w:tcW w:w="1600" w:type="dxa"/>
          </w:tcPr>
          <w:p w14:paraId="3F0E6DE8" w14:textId="77777777" w:rsidR="00DA702B" w:rsidRPr="00DA702B" w:rsidRDefault="00DA702B" w:rsidP="00DA702B">
            <w:pPr>
              <w:rPr>
                <w:sz w:val="20"/>
                <w:szCs w:val="20"/>
              </w:rPr>
            </w:pPr>
          </w:p>
        </w:tc>
      </w:tr>
      <w:tr w:rsidR="00DA702B" w:rsidRPr="00DA702B" w14:paraId="72C73325" w14:textId="77777777" w:rsidTr="00247007">
        <w:trPr>
          <w:cantSplit/>
          <w:trHeight w:val="346"/>
          <w:tblHeader/>
        </w:trPr>
        <w:tc>
          <w:tcPr>
            <w:tcW w:w="1600" w:type="dxa"/>
          </w:tcPr>
          <w:p w14:paraId="0A142120" w14:textId="77777777" w:rsidR="00DA702B" w:rsidRPr="00DA702B" w:rsidRDefault="00DA702B" w:rsidP="00DA702B">
            <w:pPr>
              <w:rPr>
                <w:sz w:val="20"/>
                <w:szCs w:val="20"/>
              </w:rPr>
            </w:pPr>
          </w:p>
        </w:tc>
        <w:tc>
          <w:tcPr>
            <w:tcW w:w="1600" w:type="dxa"/>
          </w:tcPr>
          <w:p w14:paraId="41477D00" w14:textId="77777777" w:rsidR="00DA702B" w:rsidRPr="00DA702B" w:rsidRDefault="00DA702B" w:rsidP="00DA702B">
            <w:pPr>
              <w:rPr>
                <w:sz w:val="20"/>
                <w:szCs w:val="20"/>
              </w:rPr>
            </w:pPr>
          </w:p>
        </w:tc>
        <w:tc>
          <w:tcPr>
            <w:tcW w:w="1600" w:type="dxa"/>
          </w:tcPr>
          <w:p w14:paraId="6E934190" w14:textId="77777777" w:rsidR="00DA702B" w:rsidRPr="00DA702B" w:rsidRDefault="00DA702B" w:rsidP="00DA702B">
            <w:pPr>
              <w:rPr>
                <w:sz w:val="20"/>
                <w:szCs w:val="20"/>
              </w:rPr>
            </w:pPr>
          </w:p>
        </w:tc>
        <w:tc>
          <w:tcPr>
            <w:tcW w:w="1600" w:type="dxa"/>
          </w:tcPr>
          <w:p w14:paraId="224725FA" w14:textId="77777777" w:rsidR="00DA702B" w:rsidRPr="00DA702B" w:rsidRDefault="00DA702B" w:rsidP="00DA702B">
            <w:pPr>
              <w:rPr>
                <w:sz w:val="20"/>
                <w:szCs w:val="20"/>
              </w:rPr>
            </w:pPr>
          </w:p>
        </w:tc>
        <w:tc>
          <w:tcPr>
            <w:tcW w:w="1600" w:type="dxa"/>
          </w:tcPr>
          <w:p w14:paraId="1E88BA9E" w14:textId="77777777" w:rsidR="00DA702B" w:rsidRPr="00DA702B" w:rsidRDefault="00DA702B" w:rsidP="00DA702B">
            <w:pPr>
              <w:rPr>
                <w:sz w:val="20"/>
                <w:szCs w:val="20"/>
              </w:rPr>
            </w:pPr>
          </w:p>
        </w:tc>
        <w:tc>
          <w:tcPr>
            <w:tcW w:w="1600" w:type="dxa"/>
          </w:tcPr>
          <w:p w14:paraId="7E6C0E38" w14:textId="77777777" w:rsidR="00DA702B" w:rsidRPr="00DA702B" w:rsidRDefault="00DA702B" w:rsidP="00DA702B">
            <w:pPr>
              <w:rPr>
                <w:sz w:val="20"/>
                <w:szCs w:val="20"/>
              </w:rPr>
            </w:pPr>
          </w:p>
        </w:tc>
        <w:tc>
          <w:tcPr>
            <w:tcW w:w="1600" w:type="dxa"/>
          </w:tcPr>
          <w:p w14:paraId="126A7DD9" w14:textId="77777777" w:rsidR="00DA702B" w:rsidRPr="00DA702B" w:rsidRDefault="00DA702B" w:rsidP="00DA702B">
            <w:pPr>
              <w:rPr>
                <w:sz w:val="20"/>
                <w:szCs w:val="20"/>
              </w:rPr>
            </w:pPr>
          </w:p>
        </w:tc>
        <w:tc>
          <w:tcPr>
            <w:tcW w:w="1600" w:type="dxa"/>
          </w:tcPr>
          <w:p w14:paraId="1A6A98EB" w14:textId="77777777" w:rsidR="00DA702B" w:rsidRPr="00DA702B" w:rsidRDefault="00DA702B" w:rsidP="00DA702B">
            <w:pPr>
              <w:rPr>
                <w:sz w:val="20"/>
                <w:szCs w:val="20"/>
              </w:rPr>
            </w:pPr>
          </w:p>
        </w:tc>
        <w:tc>
          <w:tcPr>
            <w:tcW w:w="1600" w:type="dxa"/>
          </w:tcPr>
          <w:p w14:paraId="067933DC" w14:textId="77777777" w:rsidR="00DA702B" w:rsidRPr="00DA702B" w:rsidRDefault="00DA702B" w:rsidP="00DA702B">
            <w:pPr>
              <w:rPr>
                <w:sz w:val="20"/>
                <w:szCs w:val="20"/>
              </w:rPr>
            </w:pPr>
          </w:p>
        </w:tc>
      </w:tr>
    </w:tbl>
    <w:p w14:paraId="6B4A8FDD" w14:textId="77777777" w:rsidR="00DA702B" w:rsidRPr="00DA702B" w:rsidRDefault="00DA702B" w:rsidP="00DA702B">
      <w:r w:rsidRPr="00DA702B">
        <w:br w:type="page"/>
      </w:r>
    </w:p>
    <w:p w14:paraId="267E099F" w14:textId="77777777" w:rsidR="00DA702B" w:rsidRPr="00DA702B" w:rsidRDefault="00DA702B" w:rsidP="00111F56">
      <w:pPr>
        <w:widowControl w:val="0"/>
        <w:jc w:val="center"/>
        <w:rPr>
          <w:rFonts w:eastAsiaTheme="majorEastAsia"/>
          <w:b/>
          <w:bCs/>
        </w:rPr>
      </w:pPr>
      <w:r w:rsidRPr="00DA702B">
        <w:rPr>
          <w:rFonts w:eastAsiaTheme="majorEastAsia"/>
          <w:b/>
          <w:bCs/>
        </w:rPr>
        <w:lastRenderedPageBreak/>
        <w:t>Boiler/Steam Generator/Steam Generating Unit Attributes</w:t>
      </w:r>
    </w:p>
    <w:p w14:paraId="4C43E7D0" w14:textId="77777777" w:rsidR="00DA702B" w:rsidRPr="00DA702B" w:rsidRDefault="00DA702B" w:rsidP="00111F56">
      <w:pPr>
        <w:widowControl w:val="0"/>
        <w:jc w:val="center"/>
        <w:rPr>
          <w:rFonts w:eastAsiaTheme="majorEastAsia"/>
          <w:b/>
          <w:bCs/>
        </w:rPr>
      </w:pPr>
      <w:r w:rsidRPr="00DA702B">
        <w:rPr>
          <w:rFonts w:eastAsiaTheme="majorEastAsia"/>
          <w:b/>
          <w:bCs/>
        </w:rPr>
        <w:t>Form OP-UA6 (Page 24)</w:t>
      </w:r>
    </w:p>
    <w:p w14:paraId="6420E23D" w14:textId="77777777" w:rsidR="00DA702B" w:rsidRPr="00DA702B" w:rsidRDefault="00DA702B" w:rsidP="00111F56">
      <w:pPr>
        <w:widowControl w:val="0"/>
        <w:jc w:val="center"/>
        <w:rPr>
          <w:rFonts w:eastAsiaTheme="majorEastAsia"/>
          <w:b/>
          <w:bCs/>
        </w:rPr>
      </w:pPr>
      <w:r w:rsidRPr="00DA702B">
        <w:rPr>
          <w:rFonts w:eastAsiaTheme="majorEastAsia"/>
          <w:b/>
          <w:bCs/>
        </w:rPr>
        <w:t>Federal Operating Permit Program</w:t>
      </w:r>
    </w:p>
    <w:p w14:paraId="5C942988" w14:textId="77777777" w:rsidR="00DA702B" w:rsidRPr="00DA702B" w:rsidRDefault="00DA702B" w:rsidP="00111F56">
      <w:pPr>
        <w:widowControl w:val="0"/>
        <w:jc w:val="center"/>
        <w:rPr>
          <w:rFonts w:eastAsiaTheme="majorEastAsia"/>
          <w:b/>
          <w:bCs/>
        </w:rPr>
      </w:pPr>
      <w:bookmarkStart w:id="186" w:name="TBL_10a"/>
      <w:r w:rsidRPr="00DA702B">
        <w:rPr>
          <w:rFonts w:eastAsiaTheme="majorEastAsia"/>
          <w:b/>
          <w:bCs/>
        </w:rPr>
        <w:t>Table 10a</w:t>
      </w:r>
      <w:bookmarkEnd w:id="186"/>
      <w:r w:rsidRPr="00DA702B">
        <w:rPr>
          <w:rFonts w:eastAsiaTheme="majorEastAsia"/>
          <w:b/>
          <w:bCs/>
        </w:rPr>
        <w:t>:  Title 40 Code of Federal Regulations Part 63 (40 CFR Part 63)</w:t>
      </w:r>
    </w:p>
    <w:p w14:paraId="3B0A2B69" w14:textId="77777777" w:rsidR="00DA702B" w:rsidRPr="00DA702B" w:rsidRDefault="00DA702B" w:rsidP="00111F56">
      <w:pPr>
        <w:widowControl w:val="0"/>
        <w:jc w:val="center"/>
        <w:rPr>
          <w:rFonts w:eastAsiaTheme="majorEastAsia"/>
          <w:b/>
          <w:bCs/>
        </w:rPr>
      </w:pPr>
      <w:r w:rsidRPr="00DA702B">
        <w:rPr>
          <w:rFonts w:eastAsiaTheme="majorEastAsia"/>
          <w:b/>
          <w:bCs/>
        </w:rPr>
        <w:t>Subpart EEE:  Hazardous Waste Combustors</w:t>
      </w:r>
    </w:p>
    <w:p w14:paraId="10302F4B" w14:textId="77777777" w:rsidR="00DA702B" w:rsidRPr="00DA702B" w:rsidRDefault="00DA702B" w:rsidP="006C4403">
      <w:pPr>
        <w:contextualSpacing/>
        <w:jc w:val="center"/>
        <w:outlineLvl w:val="0"/>
        <w:rPr>
          <w:b/>
          <w:bCs/>
        </w:rPr>
      </w:pPr>
      <w:r w:rsidRPr="00DA702B">
        <w:rPr>
          <w:b/>
          <w:bCs/>
        </w:rPr>
        <w:t>Texas Commission on Environmental Quality</w:t>
      </w:r>
    </w:p>
    <w:p w14:paraId="2393030D"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0a:  Title 40 Code of Federal Regulations Part 63 (40 CFR Part 63)&#10;Subpart EEE:  Hazardous Waste Combustors&#10;"/>
      </w:tblPr>
      <w:tblGrid>
        <w:gridCol w:w="4800"/>
        <w:gridCol w:w="4800"/>
        <w:gridCol w:w="4800"/>
      </w:tblGrid>
      <w:tr w:rsidR="00DA702B" w:rsidRPr="00DA702B" w14:paraId="41D2356A" w14:textId="77777777" w:rsidTr="00247007">
        <w:trPr>
          <w:cantSplit/>
          <w:tblHeader/>
        </w:trPr>
        <w:tc>
          <w:tcPr>
            <w:tcW w:w="4800" w:type="dxa"/>
            <w:shd w:val="clear" w:color="auto" w:fill="D9D9D9" w:themeFill="background1" w:themeFillShade="D9"/>
          </w:tcPr>
          <w:p w14:paraId="59E8C30B"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18F551C"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02C10465"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6E221C06" w14:textId="77777777" w:rsidTr="00247007">
        <w:trPr>
          <w:cantSplit/>
          <w:tblHeader/>
        </w:trPr>
        <w:tc>
          <w:tcPr>
            <w:tcW w:w="4800" w:type="dxa"/>
          </w:tcPr>
          <w:p w14:paraId="3857E91F" w14:textId="77777777" w:rsidR="00DA702B" w:rsidRPr="00DA702B" w:rsidRDefault="00DA702B" w:rsidP="00DA702B">
            <w:pPr>
              <w:rPr>
                <w:rFonts w:asciiTheme="majorHAnsi" w:hAnsiTheme="majorHAnsi" w:cstheme="majorHAnsi"/>
              </w:rPr>
            </w:pPr>
          </w:p>
        </w:tc>
        <w:tc>
          <w:tcPr>
            <w:tcW w:w="4800" w:type="dxa"/>
          </w:tcPr>
          <w:p w14:paraId="1F970AED" w14:textId="77777777" w:rsidR="00DA702B" w:rsidRPr="00DA702B" w:rsidRDefault="00DA702B" w:rsidP="00DA702B">
            <w:pPr>
              <w:rPr>
                <w:rFonts w:asciiTheme="majorHAnsi" w:hAnsiTheme="majorHAnsi" w:cstheme="majorHAnsi"/>
              </w:rPr>
            </w:pPr>
          </w:p>
        </w:tc>
        <w:tc>
          <w:tcPr>
            <w:tcW w:w="4800" w:type="dxa"/>
          </w:tcPr>
          <w:p w14:paraId="008AF693" w14:textId="77777777" w:rsidR="00DA702B" w:rsidRPr="00DA702B" w:rsidRDefault="00DA702B" w:rsidP="00DA702B">
            <w:pPr>
              <w:rPr>
                <w:rFonts w:asciiTheme="majorHAnsi" w:hAnsiTheme="majorHAnsi" w:cstheme="majorHAnsi"/>
              </w:rPr>
            </w:pPr>
          </w:p>
        </w:tc>
      </w:tr>
    </w:tbl>
    <w:p w14:paraId="2D99FBFB"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0a:  Title 40 Code of Federal Regulations Part 63 (40 CFR Part 63)&#10;Subpart EEE:  Hazardous Waste Combustors&#10;"/>
      </w:tblPr>
      <w:tblGrid>
        <w:gridCol w:w="1600"/>
        <w:gridCol w:w="1600"/>
        <w:gridCol w:w="1600"/>
        <w:gridCol w:w="1600"/>
        <w:gridCol w:w="1600"/>
        <w:gridCol w:w="1600"/>
        <w:gridCol w:w="1600"/>
        <w:gridCol w:w="1600"/>
        <w:gridCol w:w="1600"/>
      </w:tblGrid>
      <w:tr w:rsidR="00DA702B" w:rsidRPr="00DA702B" w14:paraId="11B7E769" w14:textId="77777777" w:rsidTr="00247007">
        <w:trPr>
          <w:cantSplit/>
          <w:tblHeader/>
        </w:trPr>
        <w:tc>
          <w:tcPr>
            <w:tcW w:w="1600" w:type="dxa"/>
            <w:shd w:val="clear" w:color="auto" w:fill="D9D9D9" w:themeFill="background1" w:themeFillShade="D9"/>
            <w:vAlign w:val="center"/>
          </w:tcPr>
          <w:p w14:paraId="07649D7C" w14:textId="77777777" w:rsidR="00DA702B" w:rsidRPr="00DA702B" w:rsidRDefault="00DA702B" w:rsidP="00DA702B">
            <w:pPr>
              <w:jc w:val="center"/>
              <w:rPr>
                <w:sz w:val="20"/>
                <w:szCs w:val="20"/>
              </w:rPr>
            </w:pPr>
            <w:r w:rsidRPr="00DA702B">
              <w:rPr>
                <w:b/>
                <w:sz w:val="20"/>
                <w:szCs w:val="20"/>
              </w:rPr>
              <w:t>Unit ID No.</w:t>
            </w:r>
          </w:p>
        </w:tc>
        <w:tc>
          <w:tcPr>
            <w:tcW w:w="1600" w:type="dxa"/>
            <w:shd w:val="clear" w:color="auto" w:fill="D9D9D9" w:themeFill="background1" w:themeFillShade="D9"/>
            <w:vAlign w:val="center"/>
          </w:tcPr>
          <w:p w14:paraId="39FA5498" w14:textId="77777777" w:rsidR="00DA702B" w:rsidRPr="00DA702B" w:rsidRDefault="00DA702B" w:rsidP="00DA702B">
            <w:pPr>
              <w:jc w:val="center"/>
              <w:rPr>
                <w:sz w:val="20"/>
                <w:szCs w:val="20"/>
              </w:rPr>
            </w:pPr>
            <w:r w:rsidRPr="00DA702B">
              <w:rPr>
                <w:b/>
                <w:sz w:val="20"/>
                <w:szCs w:val="20"/>
              </w:rPr>
              <w:t>SOP Index No.</w:t>
            </w:r>
          </w:p>
        </w:tc>
        <w:tc>
          <w:tcPr>
            <w:tcW w:w="1600" w:type="dxa"/>
            <w:shd w:val="clear" w:color="auto" w:fill="D9D9D9" w:themeFill="background1" w:themeFillShade="D9"/>
            <w:vAlign w:val="center"/>
          </w:tcPr>
          <w:p w14:paraId="538C2E0C" w14:textId="77777777" w:rsidR="00DA702B" w:rsidRPr="00DA702B" w:rsidRDefault="00DA702B" w:rsidP="00DA702B">
            <w:pPr>
              <w:jc w:val="center"/>
              <w:rPr>
                <w:sz w:val="20"/>
                <w:szCs w:val="20"/>
              </w:rPr>
            </w:pPr>
            <w:r w:rsidRPr="00DA702B">
              <w:rPr>
                <w:b/>
                <w:sz w:val="20"/>
                <w:szCs w:val="20"/>
              </w:rPr>
              <w:t>Type Fuel</w:t>
            </w:r>
          </w:p>
        </w:tc>
        <w:tc>
          <w:tcPr>
            <w:tcW w:w="1600" w:type="dxa"/>
            <w:shd w:val="clear" w:color="auto" w:fill="D9D9D9" w:themeFill="background1" w:themeFillShade="D9"/>
            <w:vAlign w:val="center"/>
          </w:tcPr>
          <w:p w14:paraId="43CF729A" w14:textId="77777777" w:rsidR="00DA702B" w:rsidRPr="00DA702B" w:rsidRDefault="00DA702B" w:rsidP="00DA702B">
            <w:pPr>
              <w:jc w:val="center"/>
              <w:rPr>
                <w:sz w:val="20"/>
                <w:szCs w:val="20"/>
              </w:rPr>
            </w:pPr>
            <w:r w:rsidRPr="00DA702B">
              <w:rPr>
                <w:b/>
                <w:sz w:val="20"/>
                <w:szCs w:val="20"/>
              </w:rPr>
              <w:t>Existing Source</w:t>
            </w:r>
          </w:p>
        </w:tc>
        <w:tc>
          <w:tcPr>
            <w:tcW w:w="1600" w:type="dxa"/>
            <w:shd w:val="clear" w:color="auto" w:fill="D9D9D9" w:themeFill="background1" w:themeFillShade="D9"/>
            <w:vAlign w:val="center"/>
          </w:tcPr>
          <w:p w14:paraId="086C5B89" w14:textId="77777777" w:rsidR="00DA702B" w:rsidRPr="00DA702B" w:rsidRDefault="00DA702B" w:rsidP="00DA702B">
            <w:pPr>
              <w:jc w:val="center"/>
              <w:rPr>
                <w:sz w:val="20"/>
                <w:szCs w:val="20"/>
              </w:rPr>
            </w:pPr>
            <w:r w:rsidRPr="00DA702B">
              <w:rPr>
                <w:b/>
                <w:sz w:val="20"/>
                <w:szCs w:val="20"/>
              </w:rPr>
              <w:t>Area Source</w:t>
            </w:r>
          </w:p>
        </w:tc>
        <w:tc>
          <w:tcPr>
            <w:tcW w:w="1600" w:type="dxa"/>
            <w:shd w:val="clear" w:color="auto" w:fill="D9D9D9" w:themeFill="background1" w:themeFillShade="D9"/>
            <w:vAlign w:val="center"/>
          </w:tcPr>
          <w:p w14:paraId="4000453A" w14:textId="77777777" w:rsidR="00DA702B" w:rsidRPr="00DA702B" w:rsidRDefault="00DA702B" w:rsidP="00DA702B">
            <w:pPr>
              <w:jc w:val="center"/>
              <w:rPr>
                <w:sz w:val="20"/>
                <w:szCs w:val="20"/>
              </w:rPr>
            </w:pPr>
            <w:r w:rsidRPr="00DA702B">
              <w:rPr>
                <w:b/>
                <w:sz w:val="20"/>
                <w:szCs w:val="20"/>
              </w:rPr>
              <w:t>Elective Standards</w:t>
            </w:r>
          </w:p>
        </w:tc>
        <w:tc>
          <w:tcPr>
            <w:tcW w:w="1600" w:type="dxa"/>
            <w:shd w:val="clear" w:color="auto" w:fill="D9D9D9" w:themeFill="background1" w:themeFillShade="D9"/>
            <w:vAlign w:val="center"/>
          </w:tcPr>
          <w:p w14:paraId="656C8D39" w14:textId="77777777" w:rsidR="00DA702B" w:rsidRPr="00DA702B" w:rsidRDefault="00DA702B" w:rsidP="00DA702B">
            <w:pPr>
              <w:jc w:val="center"/>
              <w:rPr>
                <w:sz w:val="20"/>
                <w:szCs w:val="20"/>
              </w:rPr>
            </w:pPr>
            <w:r w:rsidRPr="00DA702B">
              <w:rPr>
                <w:b/>
                <w:sz w:val="20"/>
                <w:szCs w:val="20"/>
              </w:rPr>
              <w:t>Dioxin/Furan Standard</w:t>
            </w:r>
          </w:p>
        </w:tc>
        <w:tc>
          <w:tcPr>
            <w:tcW w:w="1600" w:type="dxa"/>
            <w:shd w:val="clear" w:color="auto" w:fill="D9D9D9" w:themeFill="background1" w:themeFillShade="D9"/>
            <w:vAlign w:val="center"/>
          </w:tcPr>
          <w:p w14:paraId="1072A4AB" w14:textId="77777777" w:rsidR="00DA702B" w:rsidRPr="00DA702B" w:rsidRDefault="00DA702B" w:rsidP="00DA702B">
            <w:pPr>
              <w:jc w:val="center"/>
              <w:rPr>
                <w:sz w:val="20"/>
                <w:szCs w:val="20"/>
              </w:rPr>
            </w:pPr>
            <w:r w:rsidRPr="00DA702B">
              <w:rPr>
                <w:b/>
                <w:sz w:val="20"/>
                <w:szCs w:val="20"/>
              </w:rPr>
              <w:t>Heating Value</w:t>
            </w:r>
          </w:p>
        </w:tc>
        <w:tc>
          <w:tcPr>
            <w:tcW w:w="1600" w:type="dxa"/>
            <w:shd w:val="clear" w:color="auto" w:fill="D9D9D9" w:themeFill="background1" w:themeFillShade="D9"/>
            <w:vAlign w:val="center"/>
          </w:tcPr>
          <w:p w14:paraId="1923E93F" w14:textId="77777777" w:rsidR="00DA702B" w:rsidRPr="00DA702B" w:rsidRDefault="00DA702B" w:rsidP="00DA702B">
            <w:pPr>
              <w:jc w:val="center"/>
              <w:rPr>
                <w:sz w:val="20"/>
                <w:szCs w:val="20"/>
              </w:rPr>
            </w:pPr>
            <w:r w:rsidRPr="00DA702B">
              <w:rPr>
                <w:b/>
                <w:sz w:val="20"/>
                <w:szCs w:val="20"/>
              </w:rPr>
              <w:t>Hg Feedrate</w:t>
            </w:r>
          </w:p>
        </w:tc>
      </w:tr>
      <w:tr w:rsidR="00DA702B" w:rsidRPr="00DA702B" w14:paraId="0D6F6BD1" w14:textId="77777777" w:rsidTr="00247007">
        <w:trPr>
          <w:cantSplit/>
          <w:tblHeader/>
        </w:trPr>
        <w:tc>
          <w:tcPr>
            <w:tcW w:w="1600" w:type="dxa"/>
          </w:tcPr>
          <w:p w14:paraId="57357299" w14:textId="77777777" w:rsidR="00DA702B" w:rsidRPr="00DA702B" w:rsidRDefault="00DA702B" w:rsidP="00DA702B">
            <w:pPr>
              <w:rPr>
                <w:sz w:val="20"/>
                <w:szCs w:val="20"/>
              </w:rPr>
            </w:pPr>
          </w:p>
        </w:tc>
        <w:tc>
          <w:tcPr>
            <w:tcW w:w="1600" w:type="dxa"/>
          </w:tcPr>
          <w:p w14:paraId="387A2E0D" w14:textId="77777777" w:rsidR="00DA702B" w:rsidRPr="00DA702B" w:rsidRDefault="00DA702B" w:rsidP="00DA702B">
            <w:pPr>
              <w:rPr>
                <w:sz w:val="20"/>
                <w:szCs w:val="20"/>
              </w:rPr>
            </w:pPr>
          </w:p>
        </w:tc>
        <w:tc>
          <w:tcPr>
            <w:tcW w:w="1600" w:type="dxa"/>
          </w:tcPr>
          <w:p w14:paraId="424573BA" w14:textId="77777777" w:rsidR="00DA702B" w:rsidRPr="00DA702B" w:rsidRDefault="00DA702B" w:rsidP="00DA702B">
            <w:pPr>
              <w:rPr>
                <w:sz w:val="20"/>
                <w:szCs w:val="20"/>
              </w:rPr>
            </w:pPr>
          </w:p>
        </w:tc>
        <w:tc>
          <w:tcPr>
            <w:tcW w:w="1600" w:type="dxa"/>
          </w:tcPr>
          <w:p w14:paraId="7D757996" w14:textId="77777777" w:rsidR="00DA702B" w:rsidRPr="00DA702B" w:rsidRDefault="00DA702B" w:rsidP="00DA702B">
            <w:pPr>
              <w:rPr>
                <w:sz w:val="20"/>
                <w:szCs w:val="20"/>
              </w:rPr>
            </w:pPr>
          </w:p>
        </w:tc>
        <w:tc>
          <w:tcPr>
            <w:tcW w:w="1600" w:type="dxa"/>
          </w:tcPr>
          <w:p w14:paraId="1EC67996" w14:textId="77777777" w:rsidR="00DA702B" w:rsidRPr="00DA702B" w:rsidRDefault="00DA702B" w:rsidP="00DA702B">
            <w:pPr>
              <w:rPr>
                <w:sz w:val="20"/>
                <w:szCs w:val="20"/>
              </w:rPr>
            </w:pPr>
          </w:p>
        </w:tc>
        <w:tc>
          <w:tcPr>
            <w:tcW w:w="1600" w:type="dxa"/>
          </w:tcPr>
          <w:p w14:paraId="3F334057" w14:textId="77777777" w:rsidR="00DA702B" w:rsidRPr="00DA702B" w:rsidRDefault="00DA702B" w:rsidP="00DA702B">
            <w:pPr>
              <w:rPr>
                <w:sz w:val="20"/>
                <w:szCs w:val="20"/>
              </w:rPr>
            </w:pPr>
          </w:p>
        </w:tc>
        <w:tc>
          <w:tcPr>
            <w:tcW w:w="1600" w:type="dxa"/>
          </w:tcPr>
          <w:p w14:paraId="2C382312" w14:textId="77777777" w:rsidR="00DA702B" w:rsidRPr="00DA702B" w:rsidRDefault="00DA702B" w:rsidP="00DA702B">
            <w:pPr>
              <w:rPr>
                <w:sz w:val="20"/>
                <w:szCs w:val="20"/>
              </w:rPr>
            </w:pPr>
          </w:p>
        </w:tc>
        <w:tc>
          <w:tcPr>
            <w:tcW w:w="1600" w:type="dxa"/>
          </w:tcPr>
          <w:p w14:paraId="00A63EBD" w14:textId="77777777" w:rsidR="00DA702B" w:rsidRPr="00DA702B" w:rsidRDefault="00DA702B" w:rsidP="00DA702B">
            <w:pPr>
              <w:rPr>
                <w:sz w:val="20"/>
                <w:szCs w:val="20"/>
              </w:rPr>
            </w:pPr>
          </w:p>
        </w:tc>
        <w:tc>
          <w:tcPr>
            <w:tcW w:w="1600" w:type="dxa"/>
          </w:tcPr>
          <w:p w14:paraId="04C179EF" w14:textId="77777777" w:rsidR="00DA702B" w:rsidRPr="00DA702B" w:rsidRDefault="00DA702B" w:rsidP="00DA702B">
            <w:pPr>
              <w:rPr>
                <w:sz w:val="20"/>
                <w:szCs w:val="20"/>
              </w:rPr>
            </w:pPr>
          </w:p>
        </w:tc>
      </w:tr>
      <w:tr w:rsidR="00DA702B" w:rsidRPr="00DA702B" w14:paraId="69C23A1C" w14:textId="77777777" w:rsidTr="00247007">
        <w:trPr>
          <w:cantSplit/>
          <w:trHeight w:val="346"/>
          <w:tblHeader/>
        </w:trPr>
        <w:tc>
          <w:tcPr>
            <w:tcW w:w="1600" w:type="dxa"/>
          </w:tcPr>
          <w:p w14:paraId="0687F36C" w14:textId="77777777" w:rsidR="00DA702B" w:rsidRPr="00DA702B" w:rsidRDefault="00DA702B" w:rsidP="00DA702B">
            <w:pPr>
              <w:rPr>
                <w:sz w:val="20"/>
                <w:szCs w:val="20"/>
              </w:rPr>
            </w:pPr>
          </w:p>
        </w:tc>
        <w:tc>
          <w:tcPr>
            <w:tcW w:w="1600" w:type="dxa"/>
          </w:tcPr>
          <w:p w14:paraId="28923D2D" w14:textId="77777777" w:rsidR="00DA702B" w:rsidRPr="00DA702B" w:rsidRDefault="00DA702B" w:rsidP="00DA702B">
            <w:pPr>
              <w:rPr>
                <w:sz w:val="20"/>
                <w:szCs w:val="20"/>
              </w:rPr>
            </w:pPr>
          </w:p>
        </w:tc>
        <w:tc>
          <w:tcPr>
            <w:tcW w:w="1600" w:type="dxa"/>
          </w:tcPr>
          <w:p w14:paraId="0D41A333" w14:textId="77777777" w:rsidR="00DA702B" w:rsidRPr="00DA702B" w:rsidRDefault="00DA702B" w:rsidP="00DA702B">
            <w:pPr>
              <w:rPr>
                <w:sz w:val="20"/>
                <w:szCs w:val="20"/>
              </w:rPr>
            </w:pPr>
          </w:p>
        </w:tc>
        <w:tc>
          <w:tcPr>
            <w:tcW w:w="1600" w:type="dxa"/>
          </w:tcPr>
          <w:p w14:paraId="2A1E9BE4" w14:textId="77777777" w:rsidR="00DA702B" w:rsidRPr="00DA702B" w:rsidRDefault="00DA702B" w:rsidP="00DA702B">
            <w:pPr>
              <w:rPr>
                <w:sz w:val="20"/>
                <w:szCs w:val="20"/>
              </w:rPr>
            </w:pPr>
          </w:p>
        </w:tc>
        <w:tc>
          <w:tcPr>
            <w:tcW w:w="1600" w:type="dxa"/>
          </w:tcPr>
          <w:p w14:paraId="734F54CA" w14:textId="77777777" w:rsidR="00DA702B" w:rsidRPr="00DA702B" w:rsidRDefault="00DA702B" w:rsidP="00DA702B">
            <w:pPr>
              <w:rPr>
                <w:sz w:val="20"/>
                <w:szCs w:val="20"/>
              </w:rPr>
            </w:pPr>
          </w:p>
        </w:tc>
        <w:tc>
          <w:tcPr>
            <w:tcW w:w="1600" w:type="dxa"/>
          </w:tcPr>
          <w:p w14:paraId="4574B6DA" w14:textId="77777777" w:rsidR="00DA702B" w:rsidRPr="00DA702B" w:rsidRDefault="00DA702B" w:rsidP="00DA702B">
            <w:pPr>
              <w:rPr>
                <w:sz w:val="20"/>
                <w:szCs w:val="20"/>
              </w:rPr>
            </w:pPr>
          </w:p>
        </w:tc>
        <w:tc>
          <w:tcPr>
            <w:tcW w:w="1600" w:type="dxa"/>
          </w:tcPr>
          <w:p w14:paraId="2997B192" w14:textId="77777777" w:rsidR="00DA702B" w:rsidRPr="00DA702B" w:rsidRDefault="00DA702B" w:rsidP="00DA702B">
            <w:pPr>
              <w:rPr>
                <w:sz w:val="20"/>
                <w:szCs w:val="20"/>
              </w:rPr>
            </w:pPr>
          </w:p>
        </w:tc>
        <w:tc>
          <w:tcPr>
            <w:tcW w:w="1600" w:type="dxa"/>
          </w:tcPr>
          <w:p w14:paraId="3B8408DA" w14:textId="77777777" w:rsidR="00DA702B" w:rsidRPr="00DA702B" w:rsidRDefault="00DA702B" w:rsidP="00DA702B">
            <w:pPr>
              <w:rPr>
                <w:sz w:val="20"/>
                <w:szCs w:val="20"/>
              </w:rPr>
            </w:pPr>
          </w:p>
        </w:tc>
        <w:tc>
          <w:tcPr>
            <w:tcW w:w="1600" w:type="dxa"/>
          </w:tcPr>
          <w:p w14:paraId="535472BA" w14:textId="77777777" w:rsidR="00DA702B" w:rsidRPr="00DA702B" w:rsidRDefault="00DA702B" w:rsidP="00DA702B">
            <w:pPr>
              <w:rPr>
                <w:sz w:val="20"/>
                <w:szCs w:val="20"/>
              </w:rPr>
            </w:pPr>
          </w:p>
        </w:tc>
      </w:tr>
      <w:tr w:rsidR="00DA702B" w:rsidRPr="00DA702B" w14:paraId="6E453EA7" w14:textId="77777777" w:rsidTr="00247007">
        <w:trPr>
          <w:cantSplit/>
          <w:trHeight w:val="346"/>
          <w:tblHeader/>
        </w:trPr>
        <w:tc>
          <w:tcPr>
            <w:tcW w:w="1600" w:type="dxa"/>
          </w:tcPr>
          <w:p w14:paraId="5B3C3DA1" w14:textId="77777777" w:rsidR="00DA702B" w:rsidRPr="00DA702B" w:rsidRDefault="00DA702B" w:rsidP="00DA702B">
            <w:pPr>
              <w:rPr>
                <w:sz w:val="20"/>
                <w:szCs w:val="20"/>
              </w:rPr>
            </w:pPr>
          </w:p>
        </w:tc>
        <w:tc>
          <w:tcPr>
            <w:tcW w:w="1600" w:type="dxa"/>
          </w:tcPr>
          <w:p w14:paraId="31153430" w14:textId="77777777" w:rsidR="00DA702B" w:rsidRPr="00DA702B" w:rsidRDefault="00DA702B" w:rsidP="00DA702B">
            <w:pPr>
              <w:rPr>
                <w:sz w:val="20"/>
                <w:szCs w:val="20"/>
              </w:rPr>
            </w:pPr>
          </w:p>
        </w:tc>
        <w:tc>
          <w:tcPr>
            <w:tcW w:w="1600" w:type="dxa"/>
          </w:tcPr>
          <w:p w14:paraId="157FE218" w14:textId="77777777" w:rsidR="00DA702B" w:rsidRPr="00DA702B" w:rsidRDefault="00DA702B" w:rsidP="00DA702B">
            <w:pPr>
              <w:rPr>
                <w:sz w:val="20"/>
                <w:szCs w:val="20"/>
              </w:rPr>
            </w:pPr>
          </w:p>
        </w:tc>
        <w:tc>
          <w:tcPr>
            <w:tcW w:w="1600" w:type="dxa"/>
          </w:tcPr>
          <w:p w14:paraId="66115F39" w14:textId="77777777" w:rsidR="00DA702B" w:rsidRPr="00DA702B" w:rsidRDefault="00DA702B" w:rsidP="00DA702B">
            <w:pPr>
              <w:rPr>
                <w:sz w:val="20"/>
                <w:szCs w:val="20"/>
              </w:rPr>
            </w:pPr>
          </w:p>
        </w:tc>
        <w:tc>
          <w:tcPr>
            <w:tcW w:w="1600" w:type="dxa"/>
          </w:tcPr>
          <w:p w14:paraId="437F09DD" w14:textId="77777777" w:rsidR="00DA702B" w:rsidRPr="00DA702B" w:rsidRDefault="00DA702B" w:rsidP="00DA702B">
            <w:pPr>
              <w:rPr>
                <w:sz w:val="20"/>
                <w:szCs w:val="20"/>
              </w:rPr>
            </w:pPr>
          </w:p>
        </w:tc>
        <w:tc>
          <w:tcPr>
            <w:tcW w:w="1600" w:type="dxa"/>
          </w:tcPr>
          <w:p w14:paraId="7BAA3C4C" w14:textId="77777777" w:rsidR="00DA702B" w:rsidRPr="00DA702B" w:rsidRDefault="00DA702B" w:rsidP="00DA702B">
            <w:pPr>
              <w:rPr>
                <w:sz w:val="20"/>
                <w:szCs w:val="20"/>
              </w:rPr>
            </w:pPr>
          </w:p>
        </w:tc>
        <w:tc>
          <w:tcPr>
            <w:tcW w:w="1600" w:type="dxa"/>
          </w:tcPr>
          <w:p w14:paraId="4CD827B8" w14:textId="77777777" w:rsidR="00DA702B" w:rsidRPr="00DA702B" w:rsidRDefault="00DA702B" w:rsidP="00DA702B">
            <w:pPr>
              <w:rPr>
                <w:sz w:val="20"/>
                <w:szCs w:val="20"/>
              </w:rPr>
            </w:pPr>
          </w:p>
        </w:tc>
        <w:tc>
          <w:tcPr>
            <w:tcW w:w="1600" w:type="dxa"/>
          </w:tcPr>
          <w:p w14:paraId="1B789E47" w14:textId="77777777" w:rsidR="00DA702B" w:rsidRPr="00DA702B" w:rsidRDefault="00DA702B" w:rsidP="00DA702B">
            <w:pPr>
              <w:rPr>
                <w:sz w:val="20"/>
                <w:szCs w:val="20"/>
              </w:rPr>
            </w:pPr>
          </w:p>
        </w:tc>
        <w:tc>
          <w:tcPr>
            <w:tcW w:w="1600" w:type="dxa"/>
          </w:tcPr>
          <w:p w14:paraId="7D5CDADD" w14:textId="77777777" w:rsidR="00DA702B" w:rsidRPr="00DA702B" w:rsidRDefault="00DA702B" w:rsidP="00DA702B">
            <w:pPr>
              <w:rPr>
                <w:sz w:val="20"/>
                <w:szCs w:val="20"/>
              </w:rPr>
            </w:pPr>
          </w:p>
        </w:tc>
      </w:tr>
      <w:tr w:rsidR="00DA702B" w:rsidRPr="00DA702B" w14:paraId="23D43540" w14:textId="77777777" w:rsidTr="00247007">
        <w:trPr>
          <w:cantSplit/>
          <w:trHeight w:val="346"/>
          <w:tblHeader/>
        </w:trPr>
        <w:tc>
          <w:tcPr>
            <w:tcW w:w="1600" w:type="dxa"/>
          </w:tcPr>
          <w:p w14:paraId="71817BEF" w14:textId="77777777" w:rsidR="00DA702B" w:rsidRPr="00DA702B" w:rsidRDefault="00DA702B" w:rsidP="00DA702B">
            <w:pPr>
              <w:rPr>
                <w:sz w:val="20"/>
                <w:szCs w:val="20"/>
              </w:rPr>
            </w:pPr>
          </w:p>
        </w:tc>
        <w:tc>
          <w:tcPr>
            <w:tcW w:w="1600" w:type="dxa"/>
          </w:tcPr>
          <w:p w14:paraId="0F7C75FD" w14:textId="77777777" w:rsidR="00DA702B" w:rsidRPr="00DA702B" w:rsidRDefault="00DA702B" w:rsidP="00DA702B">
            <w:pPr>
              <w:rPr>
                <w:sz w:val="20"/>
                <w:szCs w:val="20"/>
              </w:rPr>
            </w:pPr>
          </w:p>
        </w:tc>
        <w:tc>
          <w:tcPr>
            <w:tcW w:w="1600" w:type="dxa"/>
          </w:tcPr>
          <w:p w14:paraId="34C72F9F" w14:textId="77777777" w:rsidR="00DA702B" w:rsidRPr="00DA702B" w:rsidRDefault="00DA702B" w:rsidP="00DA702B">
            <w:pPr>
              <w:rPr>
                <w:sz w:val="20"/>
                <w:szCs w:val="20"/>
              </w:rPr>
            </w:pPr>
          </w:p>
        </w:tc>
        <w:tc>
          <w:tcPr>
            <w:tcW w:w="1600" w:type="dxa"/>
          </w:tcPr>
          <w:p w14:paraId="587AAFE4" w14:textId="77777777" w:rsidR="00DA702B" w:rsidRPr="00DA702B" w:rsidRDefault="00DA702B" w:rsidP="00DA702B">
            <w:pPr>
              <w:rPr>
                <w:sz w:val="20"/>
                <w:szCs w:val="20"/>
              </w:rPr>
            </w:pPr>
          </w:p>
        </w:tc>
        <w:tc>
          <w:tcPr>
            <w:tcW w:w="1600" w:type="dxa"/>
          </w:tcPr>
          <w:p w14:paraId="75BAA274" w14:textId="77777777" w:rsidR="00DA702B" w:rsidRPr="00DA702B" w:rsidRDefault="00DA702B" w:rsidP="00DA702B">
            <w:pPr>
              <w:rPr>
                <w:sz w:val="20"/>
                <w:szCs w:val="20"/>
              </w:rPr>
            </w:pPr>
          </w:p>
        </w:tc>
        <w:tc>
          <w:tcPr>
            <w:tcW w:w="1600" w:type="dxa"/>
          </w:tcPr>
          <w:p w14:paraId="13F73A2C" w14:textId="77777777" w:rsidR="00DA702B" w:rsidRPr="00DA702B" w:rsidRDefault="00DA702B" w:rsidP="00DA702B">
            <w:pPr>
              <w:rPr>
                <w:sz w:val="20"/>
                <w:szCs w:val="20"/>
              </w:rPr>
            </w:pPr>
          </w:p>
        </w:tc>
        <w:tc>
          <w:tcPr>
            <w:tcW w:w="1600" w:type="dxa"/>
          </w:tcPr>
          <w:p w14:paraId="0E7F718B" w14:textId="77777777" w:rsidR="00DA702B" w:rsidRPr="00DA702B" w:rsidRDefault="00DA702B" w:rsidP="00DA702B">
            <w:pPr>
              <w:rPr>
                <w:sz w:val="20"/>
                <w:szCs w:val="20"/>
              </w:rPr>
            </w:pPr>
          </w:p>
        </w:tc>
        <w:tc>
          <w:tcPr>
            <w:tcW w:w="1600" w:type="dxa"/>
          </w:tcPr>
          <w:p w14:paraId="4A33A6E1" w14:textId="77777777" w:rsidR="00DA702B" w:rsidRPr="00DA702B" w:rsidRDefault="00DA702B" w:rsidP="00DA702B">
            <w:pPr>
              <w:rPr>
                <w:sz w:val="20"/>
                <w:szCs w:val="20"/>
              </w:rPr>
            </w:pPr>
          </w:p>
        </w:tc>
        <w:tc>
          <w:tcPr>
            <w:tcW w:w="1600" w:type="dxa"/>
          </w:tcPr>
          <w:p w14:paraId="3A95E738" w14:textId="77777777" w:rsidR="00DA702B" w:rsidRPr="00DA702B" w:rsidRDefault="00DA702B" w:rsidP="00DA702B">
            <w:pPr>
              <w:rPr>
                <w:sz w:val="20"/>
                <w:szCs w:val="20"/>
              </w:rPr>
            </w:pPr>
          </w:p>
        </w:tc>
      </w:tr>
      <w:tr w:rsidR="00DA702B" w:rsidRPr="00DA702B" w14:paraId="18D50C63" w14:textId="77777777" w:rsidTr="00247007">
        <w:trPr>
          <w:cantSplit/>
          <w:trHeight w:val="346"/>
          <w:tblHeader/>
        </w:trPr>
        <w:tc>
          <w:tcPr>
            <w:tcW w:w="1600" w:type="dxa"/>
          </w:tcPr>
          <w:p w14:paraId="1F0B8CED" w14:textId="77777777" w:rsidR="00DA702B" w:rsidRPr="00DA702B" w:rsidRDefault="00DA702B" w:rsidP="00DA702B">
            <w:pPr>
              <w:rPr>
                <w:sz w:val="20"/>
                <w:szCs w:val="20"/>
              </w:rPr>
            </w:pPr>
          </w:p>
        </w:tc>
        <w:tc>
          <w:tcPr>
            <w:tcW w:w="1600" w:type="dxa"/>
          </w:tcPr>
          <w:p w14:paraId="192A2E2D" w14:textId="77777777" w:rsidR="00DA702B" w:rsidRPr="00DA702B" w:rsidRDefault="00DA702B" w:rsidP="00DA702B">
            <w:pPr>
              <w:rPr>
                <w:sz w:val="20"/>
                <w:szCs w:val="20"/>
              </w:rPr>
            </w:pPr>
          </w:p>
        </w:tc>
        <w:tc>
          <w:tcPr>
            <w:tcW w:w="1600" w:type="dxa"/>
          </w:tcPr>
          <w:p w14:paraId="023A322B" w14:textId="77777777" w:rsidR="00DA702B" w:rsidRPr="00DA702B" w:rsidRDefault="00DA702B" w:rsidP="00DA702B">
            <w:pPr>
              <w:rPr>
                <w:sz w:val="20"/>
                <w:szCs w:val="20"/>
              </w:rPr>
            </w:pPr>
          </w:p>
        </w:tc>
        <w:tc>
          <w:tcPr>
            <w:tcW w:w="1600" w:type="dxa"/>
          </w:tcPr>
          <w:p w14:paraId="0DA3497B" w14:textId="77777777" w:rsidR="00DA702B" w:rsidRPr="00DA702B" w:rsidRDefault="00DA702B" w:rsidP="00DA702B">
            <w:pPr>
              <w:rPr>
                <w:sz w:val="20"/>
                <w:szCs w:val="20"/>
              </w:rPr>
            </w:pPr>
          </w:p>
        </w:tc>
        <w:tc>
          <w:tcPr>
            <w:tcW w:w="1600" w:type="dxa"/>
          </w:tcPr>
          <w:p w14:paraId="4C46AD75" w14:textId="77777777" w:rsidR="00DA702B" w:rsidRPr="00DA702B" w:rsidRDefault="00DA702B" w:rsidP="00DA702B">
            <w:pPr>
              <w:rPr>
                <w:sz w:val="20"/>
                <w:szCs w:val="20"/>
              </w:rPr>
            </w:pPr>
          </w:p>
        </w:tc>
        <w:tc>
          <w:tcPr>
            <w:tcW w:w="1600" w:type="dxa"/>
          </w:tcPr>
          <w:p w14:paraId="4E792DB5" w14:textId="77777777" w:rsidR="00DA702B" w:rsidRPr="00DA702B" w:rsidRDefault="00DA702B" w:rsidP="00DA702B">
            <w:pPr>
              <w:rPr>
                <w:sz w:val="20"/>
                <w:szCs w:val="20"/>
              </w:rPr>
            </w:pPr>
          </w:p>
        </w:tc>
        <w:tc>
          <w:tcPr>
            <w:tcW w:w="1600" w:type="dxa"/>
          </w:tcPr>
          <w:p w14:paraId="19DB482E" w14:textId="77777777" w:rsidR="00DA702B" w:rsidRPr="00DA702B" w:rsidRDefault="00DA702B" w:rsidP="00DA702B">
            <w:pPr>
              <w:rPr>
                <w:sz w:val="20"/>
                <w:szCs w:val="20"/>
              </w:rPr>
            </w:pPr>
          </w:p>
        </w:tc>
        <w:tc>
          <w:tcPr>
            <w:tcW w:w="1600" w:type="dxa"/>
          </w:tcPr>
          <w:p w14:paraId="0C6CD4DF" w14:textId="77777777" w:rsidR="00DA702B" w:rsidRPr="00DA702B" w:rsidRDefault="00DA702B" w:rsidP="00DA702B">
            <w:pPr>
              <w:rPr>
                <w:sz w:val="20"/>
                <w:szCs w:val="20"/>
              </w:rPr>
            </w:pPr>
          </w:p>
        </w:tc>
        <w:tc>
          <w:tcPr>
            <w:tcW w:w="1600" w:type="dxa"/>
          </w:tcPr>
          <w:p w14:paraId="462F1F6A" w14:textId="77777777" w:rsidR="00DA702B" w:rsidRPr="00DA702B" w:rsidRDefault="00DA702B" w:rsidP="00DA702B">
            <w:pPr>
              <w:rPr>
                <w:sz w:val="20"/>
                <w:szCs w:val="20"/>
              </w:rPr>
            </w:pPr>
          </w:p>
        </w:tc>
      </w:tr>
      <w:tr w:rsidR="00DA702B" w:rsidRPr="00DA702B" w14:paraId="1B200069" w14:textId="77777777" w:rsidTr="00247007">
        <w:trPr>
          <w:cantSplit/>
          <w:trHeight w:val="346"/>
          <w:tblHeader/>
        </w:trPr>
        <w:tc>
          <w:tcPr>
            <w:tcW w:w="1600" w:type="dxa"/>
          </w:tcPr>
          <w:p w14:paraId="4048F480" w14:textId="77777777" w:rsidR="00DA702B" w:rsidRPr="00DA702B" w:rsidRDefault="00DA702B" w:rsidP="00DA702B">
            <w:pPr>
              <w:rPr>
                <w:sz w:val="20"/>
                <w:szCs w:val="20"/>
              </w:rPr>
            </w:pPr>
          </w:p>
        </w:tc>
        <w:tc>
          <w:tcPr>
            <w:tcW w:w="1600" w:type="dxa"/>
          </w:tcPr>
          <w:p w14:paraId="49D8B7BA" w14:textId="77777777" w:rsidR="00DA702B" w:rsidRPr="00DA702B" w:rsidRDefault="00DA702B" w:rsidP="00DA702B">
            <w:pPr>
              <w:rPr>
                <w:sz w:val="20"/>
                <w:szCs w:val="20"/>
              </w:rPr>
            </w:pPr>
          </w:p>
        </w:tc>
        <w:tc>
          <w:tcPr>
            <w:tcW w:w="1600" w:type="dxa"/>
          </w:tcPr>
          <w:p w14:paraId="1A0D439F" w14:textId="77777777" w:rsidR="00DA702B" w:rsidRPr="00DA702B" w:rsidRDefault="00DA702B" w:rsidP="00DA702B">
            <w:pPr>
              <w:rPr>
                <w:sz w:val="20"/>
                <w:szCs w:val="20"/>
              </w:rPr>
            </w:pPr>
          </w:p>
        </w:tc>
        <w:tc>
          <w:tcPr>
            <w:tcW w:w="1600" w:type="dxa"/>
          </w:tcPr>
          <w:p w14:paraId="09E7F791" w14:textId="77777777" w:rsidR="00DA702B" w:rsidRPr="00DA702B" w:rsidRDefault="00DA702B" w:rsidP="00DA702B">
            <w:pPr>
              <w:rPr>
                <w:sz w:val="20"/>
                <w:szCs w:val="20"/>
              </w:rPr>
            </w:pPr>
          </w:p>
        </w:tc>
        <w:tc>
          <w:tcPr>
            <w:tcW w:w="1600" w:type="dxa"/>
          </w:tcPr>
          <w:p w14:paraId="2311301F" w14:textId="77777777" w:rsidR="00DA702B" w:rsidRPr="00DA702B" w:rsidRDefault="00DA702B" w:rsidP="00DA702B">
            <w:pPr>
              <w:rPr>
                <w:sz w:val="20"/>
                <w:szCs w:val="20"/>
              </w:rPr>
            </w:pPr>
          </w:p>
        </w:tc>
        <w:tc>
          <w:tcPr>
            <w:tcW w:w="1600" w:type="dxa"/>
          </w:tcPr>
          <w:p w14:paraId="656FE2CF" w14:textId="77777777" w:rsidR="00DA702B" w:rsidRPr="00DA702B" w:rsidRDefault="00DA702B" w:rsidP="00DA702B">
            <w:pPr>
              <w:rPr>
                <w:sz w:val="20"/>
                <w:szCs w:val="20"/>
              </w:rPr>
            </w:pPr>
          </w:p>
        </w:tc>
        <w:tc>
          <w:tcPr>
            <w:tcW w:w="1600" w:type="dxa"/>
          </w:tcPr>
          <w:p w14:paraId="105D1F54" w14:textId="77777777" w:rsidR="00DA702B" w:rsidRPr="00DA702B" w:rsidRDefault="00DA702B" w:rsidP="00DA702B">
            <w:pPr>
              <w:rPr>
                <w:sz w:val="20"/>
                <w:szCs w:val="20"/>
              </w:rPr>
            </w:pPr>
          </w:p>
        </w:tc>
        <w:tc>
          <w:tcPr>
            <w:tcW w:w="1600" w:type="dxa"/>
          </w:tcPr>
          <w:p w14:paraId="5F87A438" w14:textId="77777777" w:rsidR="00DA702B" w:rsidRPr="00DA702B" w:rsidRDefault="00DA702B" w:rsidP="00DA702B">
            <w:pPr>
              <w:rPr>
                <w:sz w:val="20"/>
                <w:szCs w:val="20"/>
              </w:rPr>
            </w:pPr>
          </w:p>
        </w:tc>
        <w:tc>
          <w:tcPr>
            <w:tcW w:w="1600" w:type="dxa"/>
          </w:tcPr>
          <w:p w14:paraId="71B3D5DA" w14:textId="77777777" w:rsidR="00DA702B" w:rsidRPr="00DA702B" w:rsidRDefault="00DA702B" w:rsidP="00DA702B">
            <w:pPr>
              <w:rPr>
                <w:sz w:val="20"/>
                <w:szCs w:val="20"/>
              </w:rPr>
            </w:pPr>
          </w:p>
        </w:tc>
      </w:tr>
      <w:tr w:rsidR="00DA702B" w:rsidRPr="00DA702B" w14:paraId="4127C80E" w14:textId="77777777" w:rsidTr="00247007">
        <w:trPr>
          <w:cantSplit/>
          <w:trHeight w:val="346"/>
          <w:tblHeader/>
        </w:trPr>
        <w:tc>
          <w:tcPr>
            <w:tcW w:w="1600" w:type="dxa"/>
          </w:tcPr>
          <w:p w14:paraId="35BC8B7F" w14:textId="77777777" w:rsidR="00DA702B" w:rsidRPr="00DA702B" w:rsidRDefault="00DA702B" w:rsidP="00DA702B">
            <w:pPr>
              <w:rPr>
                <w:sz w:val="20"/>
                <w:szCs w:val="20"/>
              </w:rPr>
            </w:pPr>
          </w:p>
        </w:tc>
        <w:tc>
          <w:tcPr>
            <w:tcW w:w="1600" w:type="dxa"/>
          </w:tcPr>
          <w:p w14:paraId="1D404854" w14:textId="77777777" w:rsidR="00DA702B" w:rsidRPr="00DA702B" w:rsidRDefault="00DA702B" w:rsidP="00DA702B">
            <w:pPr>
              <w:rPr>
                <w:sz w:val="20"/>
                <w:szCs w:val="20"/>
              </w:rPr>
            </w:pPr>
          </w:p>
        </w:tc>
        <w:tc>
          <w:tcPr>
            <w:tcW w:w="1600" w:type="dxa"/>
          </w:tcPr>
          <w:p w14:paraId="4623730A" w14:textId="77777777" w:rsidR="00DA702B" w:rsidRPr="00DA702B" w:rsidRDefault="00DA702B" w:rsidP="00DA702B">
            <w:pPr>
              <w:rPr>
                <w:sz w:val="20"/>
                <w:szCs w:val="20"/>
              </w:rPr>
            </w:pPr>
          </w:p>
        </w:tc>
        <w:tc>
          <w:tcPr>
            <w:tcW w:w="1600" w:type="dxa"/>
          </w:tcPr>
          <w:p w14:paraId="59012D22" w14:textId="77777777" w:rsidR="00DA702B" w:rsidRPr="00DA702B" w:rsidRDefault="00DA702B" w:rsidP="00DA702B">
            <w:pPr>
              <w:rPr>
                <w:sz w:val="20"/>
                <w:szCs w:val="20"/>
              </w:rPr>
            </w:pPr>
          </w:p>
        </w:tc>
        <w:tc>
          <w:tcPr>
            <w:tcW w:w="1600" w:type="dxa"/>
          </w:tcPr>
          <w:p w14:paraId="1D2D5DC6" w14:textId="77777777" w:rsidR="00DA702B" w:rsidRPr="00DA702B" w:rsidRDefault="00DA702B" w:rsidP="00DA702B">
            <w:pPr>
              <w:rPr>
                <w:sz w:val="20"/>
                <w:szCs w:val="20"/>
              </w:rPr>
            </w:pPr>
          </w:p>
        </w:tc>
        <w:tc>
          <w:tcPr>
            <w:tcW w:w="1600" w:type="dxa"/>
          </w:tcPr>
          <w:p w14:paraId="70734866" w14:textId="77777777" w:rsidR="00DA702B" w:rsidRPr="00DA702B" w:rsidRDefault="00DA702B" w:rsidP="00DA702B">
            <w:pPr>
              <w:rPr>
                <w:sz w:val="20"/>
                <w:szCs w:val="20"/>
              </w:rPr>
            </w:pPr>
          </w:p>
        </w:tc>
        <w:tc>
          <w:tcPr>
            <w:tcW w:w="1600" w:type="dxa"/>
          </w:tcPr>
          <w:p w14:paraId="11AD583C" w14:textId="77777777" w:rsidR="00DA702B" w:rsidRPr="00DA702B" w:rsidRDefault="00DA702B" w:rsidP="00DA702B">
            <w:pPr>
              <w:rPr>
                <w:sz w:val="20"/>
                <w:szCs w:val="20"/>
              </w:rPr>
            </w:pPr>
          </w:p>
        </w:tc>
        <w:tc>
          <w:tcPr>
            <w:tcW w:w="1600" w:type="dxa"/>
          </w:tcPr>
          <w:p w14:paraId="421EADEB" w14:textId="77777777" w:rsidR="00DA702B" w:rsidRPr="00DA702B" w:rsidRDefault="00DA702B" w:rsidP="00DA702B">
            <w:pPr>
              <w:rPr>
                <w:sz w:val="20"/>
                <w:szCs w:val="20"/>
              </w:rPr>
            </w:pPr>
          </w:p>
        </w:tc>
        <w:tc>
          <w:tcPr>
            <w:tcW w:w="1600" w:type="dxa"/>
          </w:tcPr>
          <w:p w14:paraId="2E02EC16" w14:textId="77777777" w:rsidR="00DA702B" w:rsidRPr="00DA702B" w:rsidRDefault="00DA702B" w:rsidP="00DA702B">
            <w:pPr>
              <w:rPr>
                <w:sz w:val="20"/>
                <w:szCs w:val="20"/>
              </w:rPr>
            </w:pPr>
          </w:p>
        </w:tc>
      </w:tr>
      <w:tr w:rsidR="00DA702B" w:rsidRPr="00DA702B" w14:paraId="663AC2FE" w14:textId="77777777" w:rsidTr="00247007">
        <w:trPr>
          <w:cantSplit/>
          <w:trHeight w:val="346"/>
          <w:tblHeader/>
        </w:trPr>
        <w:tc>
          <w:tcPr>
            <w:tcW w:w="1600" w:type="dxa"/>
          </w:tcPr>
          <w:p w14:paraId="2E32A68A" w14:textId="77777777" w:rsidR="00DA702B" w:rsidRPr="00DA702B" w:rsidRDefault="00DA702B" w:rsidP="00DA702B">
            <w:pPr>
              <w:rPr>
                <w:sz w:val="20"/>
                <w:szCs w:val="20"/>
              </w:rPr>
            </w:pPr>
          </w:p>
        </w:tc>
        <w:tc>
          <w:tcPr>
            <w:tcW w:w="1600" w:type="dxa"/>
          </w:tcPr>
          <w:p w14:paraId="682BD3B9" w14:textId="77777777" w:rsidR="00DA702B" w:rsidRPr="00DA702B" w:rsidRDefault="00DA702B" w:rsidP="00DA702B">
            <w:pPr>
              <w:rPr>
                <w:sz w:val="20"/>
                <w:szCs w:val="20"/>
              </w:rPr>
            </w:pPr>
          </w:p>
        </w:tc>
        <w:tc>
          <w:tcPr>
            <w:tcW w:w="1600" w:type="dxa"/>
          </w:tcPr>
          <w:p w14:paraId="74664701" w14:textId="77777777" w:rsidR="00DA702B" w:rsidRPr="00DA702B" w:rsidRDefault="00DA702B" w:rsidP="00DA702B">
            <w:pPr>
              <w:rPr>
                <w:sz w:val="20"/>
                <w:szCs w:val="20"/>
              </w:rPr>
            </w:pPr>
          </w:p>
        </w:tc>
        <w:tc>
          <w:tcPr>
            <w:tcW w:w="1600" w:type="dxa"/>
          </w:tcPr>
          <w:p w14:paraId="12BEF9A9" w14:textId="77777777" w:rsidR="00DA702B" w:rsidRPr="00DA702B" w:rsidRDefault="00DA702B" w:rsidP="00DA702B">
            <w:pPr>
              <w:rPr>
                <w:sz w:val="20"/>
                <w:szCs w:val="20"/>
              </w:rPr>
            </w:pPr>
          </w:p>
        </w:tc>
        <w:tc>
          <w:tcPr>
            <w:tcW w:w="1600" w:type="dxa"/>
          </w:tcPr>
          <w:p w14:paraId="437C8B75" w14:textId="77777777" w:rsidR="00DA702B" w:rsidRPr="00DA702B" w:rsidRDefault="00DA702B" w:rsidP="00DA702B">
            <w:pPr>
              <w:rPr>
                <w:sz w:val="20"/>
                <w:szCs w:val="20"/>
              </w:rPr>
            </w:pPr>
          </w:p>
        </w:tc>
        <w:tc>
          <w:tcPr>
            <w:tcW w:w="1600" w:type="dxa"/>
          </w:tcPr>
          <w:p w14:paraId="1BFED0C9" w14:textId="77777777" w:rsidR="00DA702B" w:rsidRPr="00DA702B" w:rsidRDefault="00DA702B" w:rsidP="00DA702B">
            <w:pPr>
              <w:rPr>
                <w:sz w:val="20"/>
                <w:szCs w:val="20"/>
              </w:rPr>
            </w:pPr>
          </w:p>
        </w:tc>
        <w:tc>
          <w:tcPr>
            <w:tcW w:w="1600" w:type="dxa"/>
          </w:tcPr>
          <w:p w14:paraId="199C7B39" w14:textId="77777777" w:rsidR="00DA702B" w:rsidRPr="00DA702B" w:rsidRDefault="00DA702B" w:rsidP="00DA702B">
            <w:pPr>
              <w:rPr>
                <w:sz w:val="20"/>
                <w:szCs w:val="20"/>
              </w:rPr>
            </w:pPr>
          </w:p>
        </w:tc>
        <w:tc>
          <w:tcPr>
            <w:tcW w:w="1600" w:type="dxa"/>
          </w:tcPr>
          <w:p w14:paraId="23300922" w14:textId="77777777" w:rsidR="00DA702B" w:rsidRPr="00DA702B" w:rsidRDefault="00DA702B" w:rsidP="00DA702B">
            <w:pPr>
              <w:rPr>
                <w:sz w:val="20"/>
                <w:szCs w:val="20"/>
              </w:rPr>
            </w:pPr>
          </w:p>
        </w:tc>
        <w:tc>
          <w:tcPr>
            <w:tcW w:w="1600" w:type="dxa"/>
          </w:tcPr>
          <w:p w14:paraId="04DB2583" w14:textId="77777777" w:rsidR="00DA702B" w:rsidRPr="00DA702B" w:rsidRDefault="00DA702B" w:rsidP="00DA702B">
            <w:pPr>
              <w:rPr>
                <w:sz w:val="20"/>
                <w:szCs w:val="20"/>
              </w:rPr>
            </w:pPr>
          </w:p>
        </w:tc>
      </w:tr>
      <w:tr w:rsidR="00DA702B" w:rsidRPr="00DA702B" w14:paraId="09B429B7" w14:textId="77777777" w:rsidTr="00247007">
        <w:trPr>
          <w:cantSplit/>
          <w:trHeight w:val="346"/>
          <w:tblHeader/>
        </w:trPr>
        <w:tc>
          <w:tcPr>
            <w:tcW w:w="1600" w:type="dxa"/>
          </w:tcPr>
          <w:p w14:paraId="77577126" w14:textId="77777777" w:rsidR="00DA702B" w:rsidRPr="00DA702B" w:rsidRDefault="00DA702B" w:rsidP="00DA702B">
            <w:pPr>
              <w:rPr>
                <w:sz w:val="20"/>
                <w:szCs w:val="20"/>
              </w:rPr>
            </w:pPr>
          </w:p>
        </w:tc>
        <w:tc>
          <w:tcPr>
            <w:tcW w:w="1600" w:type="dxa"/>
          </w:tcPr>
          <w:p w14:paraId="709CA7B4" w14:textId="77777777" w:rsidR="00DA702B" w:rsidRPr="00DA702B" w:rsidRDefault="00DA702B" w:rsidP="00DA702B">
            <w:pPr>
              <w:rPr>
                <w:sz w:val="20"/>
                <w:szCs w:val="20"/>
              </w:rPr>
            </w:pPr>
          </w:p>
        </w:tc>
        <w:tc>
          <w:tcPr>
            <w:tcW w:w="1600" w:type="dxa"/>
          </w:tcPr>
          <w:p w14:paraId="44DA899E" w14:textId="77777777" w:rsidR="00DA702B" w:rsidRPr="00DA702B" w:rsidRDefault="00DA702B" w:rsidP="00DA702B">
            <w:pPr>
              <w:rPr>
                <w:sz w:val="20"/>
                <w:szCs w:val="20"/>
              </w:rPr>
            </w:pPr>
          </w:p>
        </w:tc>
        <w:tc>
          <w:tcPr>
            <w:tcW w:w="1600" w:type="dxa"/>
          </w:tcPr>
          <w:p w14:paraId="0EDE5B87" w14:textId="77777777" w:rsidR="00DA702B" w:rsidRPr="00DA702B" w:rsidRDefault="00DA702B" w:rsidP="00DA702B">
            <w:pPr>
              <w:rPr>
                <w:sz w:val="20"/>
                <w:szCs w:val="20"/>
              </w:rPr>
            </w:pPr>
          </w:p>
        </w:tc>
        <w:tc>
          <w:tcPr>
            <w:tcW w:w="1600" w:type="dxa"/>
          </w:tcPr>
          <w:p w14:paraId="0369F774" w14:textId="77777777" w:rsidR="00DA702B" w:rsidRPr="00DA702B" w:rsidRDefault="00DA702B" w:rsidP="00DA702B">
            <w:pPr>
              <w:rPr>
                <w:sz w:val="20"/>
                <w:szCs w:val="20"/>
              </w:rPr>
            </w:pPr>
          </w:p>
        </w:tc>
        <w:tc>
          <w:tcPr>
            <w:tcW w:w="1600" w:type="dxa"/>
          </w:tcPr>
          <w:p w14:paraId="1346D377" w14:textId="77777777" w:rsidR="00DA702B" w:rsidRPr="00DA702B" w:rsidRDefault="00DA702B" w:rsidP="00DA702B">
            <w:pPr>
              <w:rPr>
                <w:sz w:val="20"/>
                <w:szCs w:val="20"/>
              </w:rPr>
            </w:pPr>
          </w:p>
        </w:tc>
        <w:tc>
          <w:tcPr>
            <w:tcW w:w="1600" w:type="dxa"/>
          </w:tcPr>
          <w:p w14:paraId="1F2B4A29" w14:textId="77777777" w:rsidR="00DA702B" w:rsidRPr="00DA702B" w:rsidRDefault="00DA702B" w:rsidP="00DA702B">
            <w:pPr>
              <w:rPr>
                <w:sz w:val="20"/>
                <w:szCs w:val="20"/>
              </w:rPr>
            </w:pPr>
          </w:p>
        </w:tc>
        <w:tc>
          <w:tcPr>
            <w:tcW w:w="1600" w:type="dxa"/>
          </w:tcPr>
          <w:p w14:paraId="5AC8B6C6" w14:textId="77777777" w:rsidR="00DA702B" w:rsidRPr="00DA702B" w:rsidRDefault="00DA702B" w:rsidP="00DA702B">
            <w:pPr>
              <w:rPr>
                <w:sz w:val="20"/>
                <w:szCs w:val="20"/>
              </w:rPr>
            </w:pPr>
          </w:p>
        </w:tc>
        <w:tc>
          <w:tcPr>
            <w:tcW w:w="1600" w:type="dxa"/>
          </w:tcPr>
          <w:p w14:paraId="6118A664" w14:textId="77777777" w:rsidR="00DA702B" w:rsidRPr="00DA702B" w:rsidRDefault="00DA702B" w:rsidP="00DA702B">
            <w:pPr>
              <w:rPr>
                <w:sz w:val="20"/>
                <w:szCs w:val="20"/>
              </w:rPr>
            </w:pPr>
          </w:p>
        </w:tc>
      </w:tr>
      <w:tr w:rsidR="00DA702B" w:rsidRPr="00DA702B" w14:paraId="613AABED" w14:textId="77777777" w:rsidTr="00247007">
        <w:trPr>
          <w:cantSplit/>
          <w:trHeight w:val="346"/>
          <w:tblHeader/>
        </w:trPr>
        <w:tc>
          <w:tcPr>
            <w:tcW w:w="1600" w:type="dxa"/>
          </w:tcPr>
          <w:p w14:paraId="5FB10DB9" w14:textId="77777777" w:rsidR="00DA702B" w:rsidRPr="00DA702B" w:rsidRDefault="00DA702B" w:rsidP="00DA702B">
            <w:pPr>
              <w:rPr>
                <w:sz w:val="20"/>
                <w:szCs w:val="20"/>
              </w:rPr>
            </w:pPr>
          </w:p>
        </w:tc>
        <w:tc>
          <w:tcPr>
            <w:tcW w:w="1600" w:type="dxa"/>
          </w:tcPr>
          <w:p w14:paraId="26684D8C" w14:textId="77777777" w:rsidR="00DA702B" w:rsidRPr="00DA702B" w:rsidRDefault="00DA702B" w:rsidP="00DA702B">
            <w:pPr>
              <w:rPr>
                <w:sz w:val="20"/>
                <w:szCs w:val="20"/>
              </w:rPr>
            </w:pPr>
          </w:p>
        </w:tc>
        <w:tc>
          <w:tcPr>
            <w:tcW w:w="1600" w:type="dxa"/>
          </w:tcPr>
          <w:p w14:paraId="0A73B773" w14:textId="77777777" w:rsidR="00DA702B" w:rsidRPr="00DA702B" w:rsidRDefault="00DA702B" w:rsidP="00DA702B">
            <w:pPr>
              <w:rPr>
                <w:sz w:val="20"/>
                <w:szCs w:val="20"/>
              </w:rPr>
            </w:pPr>
          </w:p>
        </w:tc>
        <w:tc>
          <w:tcPr>
            <w:tcW w:w="1600" w:type="dxa"/>
          </w:tcPr>
          <w:p w14:paraId="1451641D" w14:textId="77777777" w:rsidR="00DA702B" w:rsidRPr="00DA702B" w:rsidRDefault="00DA702B" w:rsidP="00DA702B">
            <w:pPr>
              <w:rPr>
                <w:sz w:val="20"/>
                <w:szCs w:val="20"/>
              </w:rPr>
            </w:pPr>
          </w:p>
        </w:tc>
        <w:tc>
          <w:tcPr>
            <w:tcW w:w="1600" w:type="dxa"/>
          </w:tcPr>
          <w:p w14:paraId="117A5BE5" w14:textId="77777777" w:rsidR="00DA702B" w:rsidRPr="00DA702B" w:rsidRDefault="00DA702B" w:rsidP="00DA702B">
            <w:pPr>
              <w:rPr>
                <w:sz w:val="20"/>
                <w:szCs w:val="20"/>
              </w:rPr>
            </w:pPr>
          </w:p>
        </w:tc>
        <w:tc>
          <w:tcPr>
            <w:tcW w:w="1600" w:type="dxa"/>
          </w:tcPr>
          <w:p w14:paraId="1E240BE1" w14:textId="77777777" w:rsidR="00DA702B" w:rsidRPr="00DA702B" w:rsidRDefault="00DA702B" w:rsidP="00DA702B">
            <w:pPr>
              <w:rPr>
                <w:sz w:val="20"/>
                <w:szCs w:val="20"/>
              </w:rPr>
            </w:pPr>
          </w:p>
        </w:tc>
        <w:tc>
          <w:tcPr>
            <w:tcW w:w="1600" w:type="dxa"/>
          </w:tcPr>
          <w:p w14:paraId="67E8663E" w14:textId="77777777" w:rsidR="00DA702B" w:rsidRPr="00DA702B" w:rsidRDefault="00DA702B" w:rsidP="00DA702B">
            <w:pPr>
              <w:rPr>
                <w:sz w:val="20"/>
                <w:szCs w:val="20"/>
              </w:rPr>
            </w:pPr>
          </w:p>
        </w:tc>
        <w:tc>
          <w:tcPr>
            <w:tcW w:w="1600" w:type="dxa"/>
          </w:tcPr>
          <w:p w14:paraId="59A73881" w14:textId="77777777" w:rsidR="00DA702B" w:rsidRPr="00DA702B" w:rsidRDefault="00DA702B" w:rsidP="00DA702B">
            <w:pPr>
              <w:rPr>
                <w:sz w:val="20"/>
                <w:szCs w:val="20"/>
              </w:rPr>
            </w:pPr>
          </w:p>
        </w:tc>
        <w:tc>
          <w:tcPr>
            <w:tcW w:w="1600" w:type="dxa"/>
          </w:tcPr>
          <w:p w14:paraId="7F2FA0D9" w14:textId="77777777" w:rsidR="00DA702B" w:rsidRPr="00DA702B" w:rsidRDefault="00DA702B" w:rsidP="00DA702B">
            <w:pPr>
              <w:rPr>
                <w:sz w:val="20"/>
                <w:szCs w:val="20"/>
              </w:rPr>
            </w:pPr>
          </w:p>
        </w:tc>
      </w:tr>
    </w:tbl>
    <w:p w14:paraId="68BFB3C0" w14:textId="77777777" w:rsidR="00DA702B" w:rsidRPr="00DA702B" w:rsidRDefault="00DA702B" w:rsidP="00DA702B">
      <w:r w:rsidRPr="00DA702B">
        <w:br w:type="page"/>
      </w:r>
    </w:p>
    <w:p w14:paraId="1D5FB953" w14:textId="77777777" w:rsidR="00DA702B" w:rsidRPr="00DA702B" w:rsidRDefault="00DA702B" w:rsidP="00C05987">
      <w:pPr>
        <w:widowControl w:val="0"/>
        <w:jc w:val="center"/>
        <w:rPr>
          <w:rFonts w:eastAsiaTheme="majorEastAsia"/>
          <w:b/>
          <w:bCs/>
        </w:rPr>
      </w:pPr>
      <w:r w:rsidRPr="00DA702B">
        <w:rPr>
          <w:rFonts w:eastAsiaTheme="majorEastAsia"/>
          <w:b/>
          <w:bCs/>
        </w:rPr>
        <w:lastRenderedPageBreak/>
        <w:t>Boiler/Steam Generator/Steam Generating Unit Attributes</w:t>
      </w:r>
    </w:p>
    <w:p w14:paraId="7C556031" w14:textId="77777777" w:rsidR="00DA702B" w:rsidRPr="00DA702B" w:rsidRDefault="00DA702B" w:rsidP="00C05987">
      <w:pPr>
        <w:widowControl w:val="0"/>
        <w:jc w:val="center"/>
        <w:rPr>
          <w:rFonts w:eastAsiaTheme="majorEastAsia"/>
          <w:b/>
          <w:bCs/>
        </w:rPr>
      </w:pPr>
      <w:r w:rsidRPr="00DA702B">
        <w:rPr>
          <w:rFonts w:eastAsiaTheme="majorEastAsia"/>
          <w:b/>
          <w:bCs/>
        </w:rPr>
        <w:t>Form OP-UA6 (Page 25)</w:t>
      </w:r>
    </w:p>
    <w:p w14:paraId="72583D18" w14:textId="77777777" w:rsidR="00DA702B" w:rsidRPr="00DA702B" w:rsidRDefault="00DA702B" w:rsidP="00C05987">
      <w:pPr>
        <w:widowControl w:val="0"/>
        <w:jc w:val="center"/>
        <w:rPr>
          <w:rFonts w:eastAsiaTheme="majorEastAsia"/>
          <w:b/>
          <w:bCs/>
        </w:rPr>
      </w:pPr>
      <w:r w:rsidRPr="00DA702B">
        <w:rPr>
          <w:rFonts w:eastAsiaTheme="majorEastAsia"/>
          <w:b/>
          <w:bCs/>
        </w:rPr>
        <w:t>Federal Operating Permit Program</w:t>
      </w:r>
    </w:p>
    <w:p w14:paraId="3E2CC751" w14:textId="77777777" w:rsidR="00DA702B" w:rsidRPr="00DA702B" w:rsidRDefault="00DA702B" w:rsidP="00C05987">
      <w:pPr>
        <w:widowControl w:val="0"/>
        <w:jc w:val="center"/>
        <w:rPr>
          <w:rFonts w:eastAsiaTheme="majorEastAsia"/>
          <w:b/>
          <w:bCs/>
        </w:rPr>
      </w:pPr>
      <w:bookmarkStart w:id="187" w:name="TBL_10b"/>
      <w:r w:rsidRPr="00DA702B">
        <w:rPr>
          <w:rFonts w:eastAsiaTheme="majorEastAsia"/>
          <w:b/>
          <w:bCs/>
        </w:rPr>
        <w:t>Table 10b</w:t>
      </w:r>
      <w:bookmarkEnd w:id="187"/>
      <w:r w:rsidRPr="00DA702B">
        <w:rPr>
          <w:rFonts w:eastAsiaTheme="majorEastAsia"/>
          <w:b/>
          <w:bCs/>
        </w:rPr>
        <w:t>:  Title 40 Code of Federal Regulations Part 63 (40 CFR Part 63)</w:t>
      </w:r>
    </w:p>
    <w:p w14:paraId="56E7432B" w14:textId="77777777" w:rsidR="00DA702B" w:rsidRPr="00DA702B" w:rsidRDefault="00DA702B" w:rsidP="00C05987">
      <w:pPr>
        <w:widowControl w:val="0"/>
        <w:jc w:val="center"/>
        <w:rPr>
          <w:rFonts w:eastAsiaTheme="majorEastAsia"/>
          <w:b/>
          <w:bCs/>
        </w:rPr>
      </w:pPr>
      <w:r w:rsidRPr="00DA702B">
        <w:rPr>
          <w:rFonts w:eastAsiaTheme="majorEastAsia"/>
          <w:b/>
          <w:bCs/>
        </w:rPr>
        <w:t>Subpart EEE:  Hazardous Waste Combustors</w:t>
      </w:r>
    </w:p>
    <w:p w14:paraId="0108B32C" w14:textId="77777777" w:rsidR="00DA702B" w:rsidRPr="00DA702B" w:rsidRDefault="00DA702B" w:rsidP="00C05987">
      <w:pPr>
        <w:widowControl w:val="0"/>
        <w:jc w:val="center"/>
        <w:rPr>
          <w:b/>
          <w:bCs/>
        </w:rPr>
      </w:pPr>
      <w:r w:rsidRPr="00DA702B">
        <w:rPr>
          <w:b/>
          <w:bCs/>
        </w:rPr>
        <w:t>Texas Commission on Environmental Quality</w:t>
      </w:r>
    </w:p>
    <w:p w14:paraId="45CE5DB3"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0b:  Title 40 Code of Federal Regulations Part 63 (40 CFR Part 63)&#10;Subpart EEE:  Hazardous Waste Combustors&#10;"/>
      </w:tblPr>
      <w:tblGrid>
        <w:gridCol w:w="4800"/>
        <w:gridCol w:w="4800"/>
        <w:gridCol w:w="4800"/>
      </w:tblGrid>
      <w:tr w:rsidR="00DA702B" w:rsidRPr="00DA702B" w14:paraId="050695A9" w14:textId="77777777" w:rsidTr="00247007">
        <w:trPr>
          <w:cantSplit/>
          <w:tblHeader/>
        </w:trPr>
        <w:tc>
          <w:tcPr>
            <w:tcW w:w="4800" w:type="dxa"/>
            <w:shd w:val="clear" w:color="auto" w:fill="D9D9D9" w:themeFill="background1" w:themeFillShade="D9"/>
          </w:tcPr>
          <w:p w14:paraId="18ED7725"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69008095"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5351D288"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353BADF1" w14:textId="77777777" w:rsidTr="00247007">
        <w:trPr>
          <w:cantSplit/>
          <w:tblHeader/>
        </w:trPr>
        <w:tc>
          <w:tcPr>
            <w:tcW w:w="4800" w:type="dxa"/>
          </w:tcPr>
          <w:p w14:paraId="68A8173C" w14:textId="77777777" w:rsidR="00DA702B" w:rsidRPr="00DA702B" w:rsidRDefault="00DA702B" w:rsidP="00DA702B">
            <w:pPr>
              <w:rPr>
                <w:rFonts w:asciiTheme="majorHAnsi" w:hAnsiTheme="majorHAnsi" w:cstheme="majorHAnsi"/>
              </w:rPr>
            </w:pPr>
          </w:p>
        </w:tc>
        <w:tc>
          <w:tcPr>
            <w:tcW w:w="4800" w:type="dxa"/>
          </w:tcPr>
          <w:p w14:paraId="13904466" w14:textId="77777777" w:rsidR="00DA702B" w:rsidRPr="00DA702B" w:rsidRDefault="00DA702B" w:rsidP="00DA702B">
            <w:pPr>
              <w:rPr>
                <w:rFonts w:asciiTheme="majorHAnsi" w:hAnsiTheme="majorHAnsi" w:cstheme="majorHAnsi"/>
              </w:rPr>
            </w:pPr>
          </w:p>
        </w:tc>
        <w:tc>
          <w:tcPr>
            <w:tcW w:w="4800" w:type="dxa"/>
          </w:tcPr>
          <w:p w14:paraId="209CAA3D" w14:textId="77777777" w:rsidR="00DA702B" w:rsidRPr="00DA702B" w:rsidRDefault="00DA702B" w:rsidP="00DA702B">
            <w:pPr>
              <w:rPr>
                <w:rFonts w:asciiTheme="majorHAnsi" w:hAnsiTheme="majorHAnsi" w:cstheme="majorHAnsi"/>
              </w:rPr>
            </w:pPr>
          </w:p>
        </w:tc>
      </w:tr>
    </w:tbl>
    <w:p w14:paraId="4D8CD0D7"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0b:  Title 40 Code of Federal Regulations Part 63 (40 CFR Part 63)&#10;Subpart EEE:  Hazardous Waste Combustors&#10;"/>
      </w:tblPr>
      <w:tblGrid>
        <w:gridCol w:w="1440"/>
        <w:gridCol w:w="1440"/>
        <w:gridCol w:w="1440"/>
        <w:gridCol w:w="1440"/>
        <w:gridCol w:w="1440"/>
        <w:gridCol w:w="1440"/>
        <w:gridCol w:w="1440"/>
        <w:gridCol w:w="1440"/>
        <w:gridCol w:w="1440"/>
        <w:gridCol w:w="1440"/>
      </w:tblGrid>
      <w:tr w:rsidR="00DA702B" w:rsidRPr="00DA702B" w14:paraId="4C98261D" w14:textId="77777777" w:rsidTr="00247007">
        <w:trPr>
          <w:cantSplit/>
          <w:trHeight w:val="346"/>
          <w:tblHeader/>
        </w:trPr>
        <w:tc>
          <w:tcPr>
            <w:tcW w:w="1440" w:type="dxa"/>
            <w:shd w:val="clear" w:color="auto" w:fill="D9D9D9" w:themeFill="background1" w:themeFillShade="D9"/>
            <w:vAlign w:val="center"/>
          </w:tcPr>
          <w:p w14:paraId="2E349D3A" w14:textId="77777777" w:rsidR="00DA702B" w:rsidRPr="00DA702B" w:rsidRDefault="00DA702B" w:rsidP="00DA702B">
            <w:pPr>
              <w:jc w:val="center"/>
              <w:rPr>
                <w:sz w:val="20"/>
                <w:szCs w:val="20"/>
              </w:rPr>
            </w:pPr>
            <w:r w:rsidRPr="00DA702B">
              <w:rPr>
                <w:b/>
                <w:sz w:val="20"/>
                <w:szCs w:val="20"/>
              </w:rPr>
              <w:t>Unit ID No.</w:t>
            </w:r>
          </w:p>
        </w:tc>
        <w:tc>
          <w:tcPr>
            <w:tcW w:w="1440" w:type="dxa"/>
            <w:shd w:val="clear" w:color="auto" w:fill="D9D9D9" w:themeFill="background1" w:themeFillShade="D9"/>
            <w:vAlign w:val="center"/>
          </w:tcPr>
          <w:p w14:paraId="33807ABC" w14:textId="77777777" w:rsidR="00DA702B" w:rsidRPr="00DA702B" w:rsidRDefault="00DA702B" w:rsidP="00DA702B">
            <w:pPr>
              <w:jc w:val="center"/>
              <w:rPr>
                <w:sz w:val="20"/>
                <w:szCs w:val="20"/>
              </w:rPr>
            </w:pPr>
            <w:r w:rsidRPr="00DA702B">
              <w:rPr>
                <w:b/>
                <w:sz w:val="20"/>
                <w:szCs w:val="20"/>
              </w:rPr>
              <w:t>SOP Index No.</w:t>
            </w:r>
          </w:p>
        </w:tc>
        <w:tc>
          <w:tcPr>
            <w:tcW w:w="1440" w:type="dxa"/>
            <w:shd w:val="clear" w:color="auto" w:fill="D9D9D9" w:themeFill="background1" w:themeFillShade="D9"/>
            <w:vAlign w:val="center"/>
          </w:tcPr>
          <w:p w14:paraId="62F14EC5" w14:textId="77777777" w:rsidR="00DA702B" w:rsidRPr="00DA702B" w:rsidRDefault="00DA702B" w:rsidP="00DA702B">
            <w:pPr>
              <w:jc w:val="center"/>
              <w:rPr>
                <w:sz w:val="20"/>
                <w:szCs w:val="20"/>
              </w:rPr>
            </w:pPr>
            <w:r w:rsidRPr="00DA702B">
              <w:rPr>
                <w:b/>
                <w:sz w:val="20"/>
                <w:szCs w:val="20"/>
              </w:rPr>
              <w:t>Alt Metals</w:t>
            </w:r>
          </w:p>
        </w:tc>
        <w:tc>
          <w:tcPr>
            <w:tcW w:w="1440" w:type="dxa"/>
            <w:shd w:val="clear" w:color="auto" w:fill="D9D9D9" w:themeFill="background1" w:themeFillShade="D9"/>
            <w:vAlign w:val="center"/>
          </w:tcPr>
          <w:p w14:paraId="5E67B88D" w14:textId="77777777" w:rsidR="00DA702B" w:rsidRPr="00DA702B" w:rsidRDefault="00DA702B" w:rsidP="00DA702B">
            <w:pPr>
              <w:jc w:val="center"/>
              <w:rPr>
                <w:sz w:val="20"/>
                <w:szCs w:val="20"/>
              </w:rPr>
            </w:pPr>
            <w:r w:rsidRPr="00DA702B">
              <w:rPr>
                <w:b/>
                <w:sz w:val="20"/>
                <w:szCs w:val="20"/>
              </w:rPr>
              <w:t>Met Feedrate</w:t>
            </w:r>
          </w:p>
        </w:tc>
        <w:tc>
          <w:tcPr>
            <w:tcW w:w="1440" w:type="dxa"/>
            <w:shd w:val="clear" w:color="auto" w:fill="D9D9D9" w:themeFill="background1" w:themeFillShade="D9"/>
            <w:vAlign w:val="center"/>
          </w:tcPr>
          <w:p w14:paraId="4C1FE305" w14:textId="77777777" w:rsidR="00DA702B" w:rsidRPr="00DA702B" w:rsidRDefault="00DA702B" w:rsidP="00DA702B">
            <w:pPr>
              <w:jc w:val="center"/>
              <w:rPr>
                <w:sz w:val="20"/>
                <w:szCs w:val="20"/>
              </w:rPr>
            </w:pPr>
            <w:r w:rsidRPr="00DA702B">
              <w:rPr>
                <w:b/>
                <w:sz w:val="20"/>
                <w:szCs w:val="20"/>
              </w:rPr>
              <w:t>CO/THC Standard</w:t>
            </w:r>
          </w:p>
        </w:tc>
        <w:tc>
          <w:tcPr>
            <w:tcW w:w="1440" w:type="dxa"/>
            <w:shd w:val="clear" w:color="auto" w:fill="D9D9D9" w:themeFill="background1" w:themeFillShade="D9"/>
            <w:vAlign w:val="center"/>
          </w:tcPr>
          <w:p w14:paraId="7E5522EF" w14:textId="77777777" w:rsidR="00DA702B" w:rsidRPr="00DA702B" w:rsidRDefault="00DA702B" w:rsidP="00DA702B">
            <w:pPr>
              <w:jc w:val="center"/>
              <w:rPr>
                <w:sz w:val="20"/>
                <w:szCs w:val="20"/>
              </w:rPr>
            </w:pPr>
            <w:r w:rsidRPr="00DA702B">
              <w:rPr>
                <w:b/>
                <w:sz w:val="20"/>
                <w:szCs w:val="20"/>
              </w:rPr>
              <w:t>Baghouse</w:t>
            </w:r>
          </w:p>
        </w:tc>
        <w:tc>
          <w:tcPr>
            <w:tcW w:w="1440" w:type="dxa"/>
            <w:shd w:val="clear" w:color="auto" w:fill="D9D9D9" w:themeFill="background1" w:themeFillShade="D9"/>
            <w:vAlign w:val="center"/>
          </w:tcPr>
          <w:p w14:paraId="232A2F26" w14:textId="77777777" w:rsidR="00DA702B" w:rsidRPr="00DA702B" w:rsidRDefault="00DA702B" w:rsidP="00DA702B">
            <w:pPr>
              <w:jc w:val="center"/>
              <w:rPr>
                <w:sz w:val="20"/>
                <w:szCs w:val="20"/>
              </w:rPr>
            </w:pPr>
            <w:r w:rsidRPr="00DA702B">
              <w:rPr>
                <w:b/>
                <w:sz w:val="20"/>
                <w:szCs w:val="20"/>
              </w:rPr>
              <w:t>PM Detection</w:t>
            </w:r>
          </w:p>
        </w:tc>
        <w:tc>
          <w:tcPr>
            <w:tcW w:w="1440" w:type="dxa"/>
            <w:shd w:val="clear" w:color="auto" w:fill="D9D9D9" w:themeFill="background1" w:themeFillShade="D9"/>
            <w:vAlign w:val="center"/>
          </w:tcPr>
          <w:p w14:paraId="245F9641" w14:textId="77777777" w:rsidR="00DA702B" w:rsidRPr="00DA702B" w:rsidRDefault="00DA702B" w:rsidP="00DA702B">
            <w:pPr>
              <w:jc w:val="center"/>
              <w:rPr>
                <w:sz w:val="20"/>
                <w:szCs w:val="20"/>
              </w:rPr>
            </w:pPr>
            <w:r w:rsidRPr="00DA702B">
              <w:rPr>
                <w:b/>
                <w:sz w:val="20"/>
                <w:szCs w:val="20"/>
              </w:rPr>
              <w:t>Dioxin-Listed</w:t>
            </w:r>
          </w:p>
        </w:tc>
        <w:tc>
          <w:tcPr>
            <w:tcW w:w="1440" w:type="dxa"/>
            <w:shd w:val="clear" w:color="auto" w:fill="D9D9D9" w:themeFill="background1" w:themeFillShade="D9"/>
            <w:vAlign w:val="center"/>
          </w:tcPr>
          <w:p w14:paraId="0214001A" w14:textId="77777777" w:rsidR="00DA702B" w:rsidRPr="00DA702B" w:rsidRDefault="00DA702B" w:rsidP="00DA702B">
            <w:pPr>
              <w:jc w:val="center"/>
              <w:rPr>
                <w:sz w:val="20"/>
                <w:szCs w:val="20"/>
              </w:rPr>
            </w:pPr>
            <w:r w:rsidRPr="00DA702B">
              <w:rPr>
                <w:b/>
                <w:sz w:val="20"/>
                <w:szCs w:val="20"/>
              </w:rPr>
              <w:t>DRE Previous Test</w:t>
            </w:r>
          </w:p>
        </w:tc>
        <w:tc>
          <w:tcPr>
            <w:tcW w:w="1440" w:type="dxa"/>
            <w:shd w:val="clear" w:color="auto" w:fill="D9D9D9" w:themeFill="background1" w:themeFillShade="D9"/>
            <w:vAlign w:val="center"/>
          </w:tcPr>
          <w:p w14:paraId="545499AB" w14:textId="77777777" w:rsidR="00DA702B" w:rsidRPr="00DA702B" w:rsidRDefault="00DA702B" w:rsidP="00DA702B">
            <w:pPr>
              <w:jc w:val="center"/>
              <w:rPr>
                <w:sz w:val="20"/>
                <w:szCs w:val="20"/>
              </w:rPr>
            </w:pPr>
            <w:r w:rsidRPr="00DA702B">
              <w:rPr>
                <w:b/>
                <w:sz w:val="20"/>
                <w:szCs w:val="20"/>
              </w:rPr>
              <w:t>Feed Zone</w:t>
            </w:r>
          </w:p>
        </w:tc>
      </w:tr>
      <w:tr w:rsidR="00DA702B" w:rsidRPr="00DA702B" w14:paraId="5EB202D4" w14:textId="77777777" w:rsidTr="00247007">
        <w:trPr>
          <w:cantSplit/>
          <w:trHeight w:val="346"/>
          <w:tblHeader/>
        </w:trPr>
        <w:tc>
          <w:tcPr>
            <w:tcW w:w="1440" w:type="dxa"/>
          </w:tcPr>
          <w:p w14:paraId="03FB1416" w14:textId="77777777" w:rsidR="00DA702B" w:rsidRPr="00DA702B" w:rsidRDefault="00DA702B" w:rsidP="00DA702B">
            <w:pPr>
              <w:rPr>
                <w:sz w:val="20"/>
                <w:szCs w:val="20"/>
              </w:rPr>
            </w:pPr>
          </w:p>
        </w:tc>
        <w:tc>
          <w:tcPr>
            <w:tcW w:w="1440" w:type="dxa"/>
          </w:tcPr>
          <w:p w14:paraId="523E3289" w14:textId="77777777" w:rsidR="00DA702B" w:rsidRPr="00DA702B" w:rsidRDefault="00DA702B" w:rsidP="00DA702B">
            <w:pPr>
              <w:rPr>
                <w:sz w:val="20"/>
                <w:szCs w:val="20"/>
              </w:rPr>
            </w:pPr>
          </w:p>
        </w:tc>
        <w:tc>
          <w:tcPr>
            <w:tcW w:w="1440" w:type="dxa"/>
          </w:tcPr>
          <w:p w14:paraId="3725817E" w14:textId="77777777" w:rsidR="00DA702B" w:rsidRPr="00DA702B" w:rsidRDefault="00DA702B" w:rsidP="00DA702B">
            <w:pPr>
              <w:rPr>
                <w:sz w:val="20"/>
                <w:szCs w:val="20"/>
              </w:rPr>
            </w:pPr>
          </w:p>
        </w:tc>
        <w:tc>
          <w:tcPr>
            <w:tcW w:w="1440" w:type="dxa"/>
          </w:tcPr>
          <w:p w14:paraId="34E5A2CE" w14:textId="77777777" w:rsidR="00DA702B" w:rsidRPr="00DA702B" w:rsidRDefault="00DA702B" w:rsidP="00DA702B">
            <w:pPr>
              <w:rPr>
                <w:sz w:val="20"/>
                <w:szCs w:val="20"/>
              </w:rPr>
            </w:pPr>
          </w:p>
        </w:tc>
        <w:tc>
          <w:tcPr>
            <w:tcW w:w="1440" w:type="dxa"/>
          </w:tcPr>
          <w:p w14:paraId="68A37F1E" w14:textId="77777777" w:rsidR="00DA702B" w:rsidRPr="00DA702B" w:rsidRDefault="00DA702B" w:rsidP="00DA702B">
            <w:pPr>
              <w:rPr>
                <w:sz w:val="20"/>
                <w:szCs w:val="20"/>
              </w:rPr>
            </w:pPr>
          </w:p>
        </w:tc>
        <w:tc>
          <w:tcPr>
            <w:tcW w:w="1440" w:type="dxa"/>
          </w:tcPr>
          <w:p w14:paraId="63508A46" w14:textId="77777777" w:rsidR="00DA702B" w:rsidRPr="00DA702B" w:rsidRDefault="00DA702B" w:rsidP="00DA702B">
            <w:pPr>
              <w:rPr>
                <w:sz w:val="20"/>
                <w:szCs w:val="20"/>
              </w:rPr>
            </w:pPr>
          </w:p>
        </w:tc>
        <w:tc>
          <w:tcPr>
            <w:tcW w:w="1440" w:type="dxa"/>
          </w:tcPr>
          <w:p w14:paraId="23D57A3F" w14:textId="77777777" w:rsidR="00DA702B" w:rsidRPr="00DA702B" w:rsidRDefault="00DA702B" w:rsidP="00DA702B">
            <w:pPr>
              <w:rPr>
                <w:sz w:val="20"/>
                <w:szCs w:val="20"/>
              </w:rPr>
            </w:pPr>
          </w:p>
        </w:tc>
        <w:tc>
          <w:tcPr>
            <w:tcW w:w="1440" w:type="dxa"/>
          </w:tcPr>
          <w:p w14:paraId="4FBF7C0E" w14:textId="77777777" w:rsidR="00DA702B" w:rsidRPr="00DA702B" w:rsidRDefault="00DA702B" w:rsidP="00DA702B">
            <w:pPr>
              <w:rPr>
                <w:sz w:val="20"/>
                <w:szCs w:val="20"/>
              </w:rPr>
            </w:pPr>
          </w:p>
        </w:tc>
        <w:tc>
          <w:tcPr>
            <w:tcW w:w="1440" w:type="dxa"/>
          </w:tcPr>
          <w:p w14:paraId="000715A2" w14:textId="77777777" w:rsidR="00DA702B" w:rsidRPr="00DA702B" w:rsidRDefault="00DA702B" w:rsidP="00DA702B">
            <w:pPr>
              <w:rPr>
                <w:sz w:val="20"/>
                <w:szCs w:val="20"/>
              </w:rPr>
            </w:pPr>
          </w:p>
        </w:tc>
        <w:tc>
          <w:tcPr>
            <w:tcW w:w="1440" w:type="dxa"/>
          </w:tcPr>
          <w:p w14:paraId="2AD59496" w14:textId="77777777" w:rsidR="00DA702B" w:rsidRPr="00DA702B" w:rsidRDefault="00DA702B" w:rsidP="00DA702B">
            <w:pPr>
              <w:rPr>
                <w:sz w:val="20"/>
                <w:szCs w:val="20"/>
              </w:rPr>
            </w:pPr>
          </w:p>
        </w:tc>
      </w:tr>
      <w:tr w:rsidR="00DA702B" w:rsidRPr="00DA702B" w14:paraId="540303E7" w14:textId="77777777" w:rsidTr="00247007">
        <w:trPr>
          <w:cantSplit/>
          <w:trHeight w:val="346"/>
          <w:tblHeader/>
        </w:trPr>
        <w:tc>
          <w:tcPr>
            <w:tcW w:w="1440" w:type="dxa"/>
          </w:tcPr>
          <w:p w14:paraId="6E23594D" w14:textId="77777777" w:rsidR="00DA702B" w:rsidRPr="00DA702B" w:rsidRDefault="00DA702B" w:rsidP="00DA702B">
            <w:pPr>
              <w:rPr>
                <w:sz w:val="20"/>
                <w:szCs w:val="20"/>
              </w:rPr>
            </w:pPr>
          </w:p>
        </w:tc>
        <w:tc>
          <w:tcPr>
            <w:tcW w:w="1440" w:type="dxa"/>
          </w:tcPr>
          <w:p w14:paraId="5D25DA74" w14:textId="77777777" w:rsidR="00DA702B" w:rsidRPr="00DA702B" w:rsidRDefault="00DA702B" w:rsidP="00DA702B">
            <w:pPr>
              <w:rPr>
                <w:sz w:val="20"/>
                <w:szCs w:val="20"/>
              </w:rPr>
            </w:pPr>
          </w:p>
        </w:tc>
        <w:tc>
          <w:tcPr>
            <w:tcW w:w="1440" w:type="dxa"/>
          </w:tcPr>
          <w:p w14:paraId="103A7B2C" w14:textId="77777777" w:rsidR="00DA702B" w:rsidRPr="00DA702B" w:rsidRDefault="00DA702B" w:rsidP="00DA702B">
            <w:pPr>
              <w:rPr>
                <w:sz w:val="20"/>
                <w:szCs w:val="20"/>
              </w:rPr>
            </w:pPr>
          </w:p>
        </w:tc>
        <w:tc>
          <w:tcPr>
            <w:tcW w:w="1440" w:type="dxa"/>
          </w:tcPr>
          <w:p w14:paraId="2E93F118" w14:textId="77777777" w:rsidR="00DA702B" w:rsidRPr="00DA702B" w:rsidRDefault="00DA702B" w:rsidP="00DA702B">
            <w:pPr>
              <w:rPr>
                <w:sz w:val="20"/>
                <w:szCs w:val="20"/>
              </w:rPr>
            </w:pPr>
          </w:p>
        </w:tc>
        <w:tc>
          <w:tcPr>
            <w:tcW w:w="1440" w:type="dxa"/>
          </w:tcPr>
          <w:p w14:paraId="7C9502B4" w14:textId="77777777" w:rsidR="00DA702B" w:rsidRPr="00DA702B" w:rsidRDefault="00DA702B" w:rsidP="00DA702B">
            <w:pPr>
              <w:rPr>
                <w:sz w:val="20"/>
                <w:szCs w:val="20"/>
              </w:rPr>
            </w:pPr>
          </w:p>
        </w:tc>
        <w:tc>
          <w:tcPr>
            <w:tcW w:w="1440" w:type="dxa"/>
          </w:tcPr>
          <w:p w14:paraId="7B959D30" w14:textId="77777777" w:rsidR="00DA702B" w:rsidRPr="00DA702B" w:rsidRDefault="00DA702B" w:rsidP="00DA702B">
            <w:pPr>
              <w:rPr>
                <w:sz w:val="20"/>
                <w:szCs w:val="20"/>
              </w:rPr>
            </w:pPr>
          </w:p>
        </w:tc>
        <w:tc>
          <w:tcPr>
            <w:tcW w:w="1440" w:type="dxa"/>
          </w:tcPr>
          <w:p w14:paraId="35BC268F" w14:textId="77777777" w:rsidR="00DA702B" w:rsidRPr="00DA702B" w:rsidRDefault="00DA702B" w:rsidP="00DA702B">
            <w:pPr>
              <w:rPr>
                <w:sz w:val="20"/>
                <w:szCs w:val="20"/>
              </w:rPr>
            </w:pPr>
          </w:p>
        </w:tc>
        <w:tc>
          <w:tcPr>
            <w:tcW w:w="1440" w:type="dxa"/>
          </w:tcPr>
          <w:p w14:paraId="0E2019FD" w14:textId="77777777" w:rsidR="00DA702B" w:rsidRPr="00DA702B" w:rsidRDefault="00DA702B" w:rsidP="00DA702B">
            <w:pPr>
              <w:rPr>
                <w:sz w:val="20"/>
                <w:szCs w:val="20"/>
              </w:rPr>
            </w:pPr>
          </w:p>
        </w:tc>
        <w:tc>
          <w:tcPr>
            <w:tcW w:w="1440" w:type="dxa"/>
          </w:tcPr>
          <w:p w14:paraId="0091B0D1" w14:textId="77777777" w:rsidR="00DA702B" w:rsidRPr="00DA702B" w:rsidRDefault="00DA702B" w:rsidP="00DA702B">
            <w:pPr>
              <w:rPr>
                <w:sz w:val="20"/>
                <w:szCs w:val="20"/>
              </w:rPr>
            </w:pPr>
          </w:p>
        </w:tc>
        <w:tc>
          <w:tcPr>
            <w:tcW w:w="1440" w:type="dxa"/>
          </w:tcPr>
          <w:p w14:paraId="7038F45A" w14:textId="77777777" w:rsidR="00DA702B" w:rsidRPr="00DA702B" w:rsidRDefault="00DA702B" w:rsidP="00DA702B">
            <w:pPr>
              <w:rPr>
                <w:sz w:val="20"/>
                <w:szCs w:val="20"/>
              </w:rPr>
            </w:pPr>
          </w:p>
        </w:tc>
      </w:tr>
      <w:tr w:rsidR="00DA702B" w:rsidRPr="00DA702B" w14:paraId="2E3DD0AE" w14:textId="77777777" w:rsidTr="00247007">
        <w:trPr>
          <w:cantSplit/>
          <w:trHeight w:val="346"/>
          <w:tblHeader/>
        </w:trPr>
        <w:tc>
          <w:tcPr>
            <w:tcW w:w="1440" w:type="dxa"/>
          </w:tcPr>
          <w:p w14:paraId="12B986D1" w14:textId="77777777" w:rsidR="00DA702B" w:rsidRPr="00DA702B" w:rsidRDefault="00DA702B" w:rsidP="00DA702B">
            <w:pPr>
              <w:rPr>
                <w:sz w:val="20"/>
                <w:szCs w:val="20"/>
              </w:rPr>
            </w:pPr>
          </w:p>
        </w:tc>
        <w:tc>
          <w:tcPr>
            <w:tcW w:w="1440" w:type="dxa"/>
          </w:tcPr>
          <w:p w14:paraId="7275C7DB" w14:textId="77777777" w:rsidR="00DA702B" w:rsidRPr="00DA702B" w:rsidRDefault="00DA702B" w:rsidP="00DA702B">
            <w:pPr>
              <w:rPr>
                <w:sz w:val="20"/>
                <w:szCs w:val="20"/>
              </w:rPr>
            </w:pPr>
          </w:p>
        </w:tc>
        <w:tc>
          <w:tcPr>
            <w:tcW w:w="1440" w:type="dxa"/>
          </w:tcPr>
          <w:p w14:paraId="2B8104C9" w14:textId="77777777" w:rsidR="00DA702B" w:rsidRPr="00DA702B" w:rsidRDefault="00DA702B" w:rsidP="00DA702B">
            <w:pPr>
              <w:rPr>
                <w:sz w:val="20"/>
                <w:szCs w:val="20"/>
              </w:rPr>
            </w:pPr>
          </w:p>
        </w:tc>
        <w:tc>
          <w:tcPr>
            <w:tcW w:w="1440" w:type="dxa"/>
          </w:tcPr>
          <w:p w14:paraId="0FA15FF9" w14:textId="77777777" w:rsidR="00DA702B" w:rsidRPr="00DA702B" w:rsidRDefault="00DA702B" w:rsidP="00DA702B">
            <w:pPr>
              <w:rPr>
                <w:sz w:val="20"/>
                <w:szCs w:val="20"/>
              </w:rPr>
            </w:pPr>
          </w:p>
        </w:tc>
        <w:tc>
          <w:tcPr>
            <w:tcW w:w="1440" w:type="dxa"/>
          </w:tcPr>
          <w:p w14:paraId="3CEB9BD7" w14:textId="77777777" w:rsidR="00DA702B" w:rsidRPr="00DA702B" w:rsidRDefault="00DA702B" w:rsidP="00DA702B">
            <w:pPr>
              <w:rPr>
                <w:sz w:val="20"/>
                <w:szCs w:val="20"/>
              </w:rPr>
            </w:pPr>
          </w:p>
        </w:tc>
        <w:tc>
          <w:tcPr>
            <w:tcW w:w="1440" w:type="dxa"/>
          </w:tcPr>
          <w:p w14:paraId="35C64C6A" w14:textId="77777777" w:rsidR="00DA702B" w:rsidRPr="00DA702B" w:rsidRDefault="00DA702B" w:rsidP="00DA702B">
            <w:pPr>
              <w:rPr>
                <w:sz w:val="20"/>
                <w:szCs w:val="20"/>
              </w:rPr>
            </w:pPr>
          </w:p>
        </w:tc>
        <w:tc>
          <w:tcPr>
            <w:tcW w:w="1440" w:type="dxa"/>
          </w:tcPr>
          <w:p w14:paraId="136E5906" w14:textId="77777777" w:rsidR="00DA702B" w:rsidRPr="00DA702B" w:rsidRDefault="00DA702B" w:rsidP="00DA702B">
            <w:pPr>
              <w:rPr>
                <w:sz w:val="20"/>
                <w:szCs w:val="20"/>
              </w:rPr>
            </w:pPr>
          </w:p>
        </w:tc>
        <w:tc>
          <w:tcPr>
            <w:tcW w:w="1440" w:type="dxa"/>
          </w:tcPr>
          <w:p w14:paraId="0B59FED8" w14:textId="77777777" w:rsidR="00DA702B" w:rsidRPr="00DA702B" w:rsidRDefault="00DA702B" w:rsidP="00DA702B">
            <w:pPr>
              <w:rPr>
                <w:sz w:val="20"/>
                <w:szCs w:val="20"/>
              </w:rPr>
            </w:pPr>
          </w:p>
        </w:tc>
        <w:tc>
          <w:tcPr>
            <w:tcW w:w="1440" w:type="dxa"/>
          </w:tcPr>
          <w:p w14:paraId="169258C6" w14:textId="77777777" w:rsidR="00DA702B" w:rsidRPr="00DA702B" w:rsidRDefault="00DA702B" w:rsidP="00DA702B">
            <w:pPr>
              <w:rPr>
                <w:sz w:val="20"/>
                <w:szCs w:val="20"/>
              </w:rPr>
            </w:pPr>
          </w:p>
        </w:tc>
        <w:tc>
          <w:tcPr>
            <w:tcW w:w="1440" w:type="dxa"/>
          </w:tcPr>
          <w:p w14:paraId="07644F2B" w14:textId="77777777" w:rsidR="00DA702B" w:rsidRPr="00DA702B" w:rsidRDefault="00DA702B" w:rsidP="00DA702B">
            <w:pPr>
              <w:rPr>
                <w:sz w:val="20"/>
                <w:szCs w:val="20"/>
              </w:rPr>
            </w:pPr>
          </w:p>
        </w:tc>
      </w:tr>
      <w:tr w:rsidR="00DA702B" w:rsidRPr="00DA702B" w14:paraId="35A9076D" w14:textId="77777777" w:rsidTr="00247007">
        <w:trPr>
          <w:cantSplit/>
          <w:trHeight w:val="346"/>
          <w:tblHeader/>
        </w:trPr>
        <w:tc>
          <w:tcPr>
            <w:tcW w:w="1440" w:type="dxa"/>
          </w:tcPr>
          <w:p w14:paraId="147B758F" w14:textId="77777777" w:rsidR="00DA702B" w:rsidRPr="00DA702B" w:rsidRDefault="00DA702B" w:rsidP="00DA702B">
            <w:pPr>
              <w:rPr>
                <w:sz w:val="20"/>
                <w:szCs w:val="20"/>
              </w:rPr>
            </w:pPr>
          </w:p>
        </w:tc>
        <w:tc>
          <w:tcPr>
            <w:tcW w:w="1440" w:type="dxa"/>
          </w:tcPr>
          <w:p w14:paraId="5F59BA53" w14:textId="77777777" w:rsidR="00DA702B" w:rsidRPr="00DA702B" w:rsidRDefault="00DA702B" w:rsidP="00DA702B">
            <w:pPr>
              <w:rPr>
                <w:sz w:val="20"/>
                <w:szCs w:val="20"/>
              </w:rPr>
            </w:pPr>
          </w:p>
        </w:tc>
        <w:tc>
          <w:tcPr>
            <w:tcW w:w="1440" w:type="dxa"/>
          </w:tcPr>
          <w:p w14:paraId="104DF805" w14:textId="77777777" w:rsidR="00DA702B" w:rsidRPr="00DA702B" w:rsidRDefault="00DA702B" w:rsidP="00DA702B">
            <w:pPr>
              <w:rPr>
                <w:sz w:val="20"/>
                <w:szCs w:val="20"/>
              </w:rPr>
            </w:pPr>
          </w:p>
        </w:tc>
        <w:tc>
          <w:tcPr>
            <w:tcW w:w="1440" w:type="dxa"/>
          </w:tcPr>
          <w:p w14:paraId="1A308094" w14:textId="77777777" w:rsidR="00DA702B" w:rsidRPr="00DA702B" w:rsidRDefault="00DA702B" w:rsidP="00DA702B">
            <w:pPr>
              <w:rPr>
                <w:sz w:val="20"/>
                <w:szCs w:val="20"/>
              </w:rPr>
            </w:pPr>
          </w:p>
        </w:tc>
        <w:tc>
          <w:tcPr>
            <w:tcW w:w="1440" w:type="dxa"/>
          </w:tcPr>
          <w:p w14:paraId="51C18069" w14:textId="77777777" w:rsidR="00DA702B" w:rsidRPr="00DA702B" w:rsidRDefault="00DA702B" w:rsidP="00DA702B">
            <w:pPr>
              <w:rPr>
                <w:sz w:val="20"/>
                <w:szCs w:val="20"/>
              </w:rPr>
            </w:pPr>
          </w:p>
        </w:tc>
        <w:tc>
          <w:tcPr>
            <w:tcW w:w="1440" w:type="dxa"/>
          </w:tcPr>
          <w:p w14:paraId="07682366" w14:textId="77777777" w:rsidR="00DA702B" w:rsidRPr="00DA702B" w:rsidRDefault="00DA702B" w:rsidP="00DA702B">
            <w:pPr>
              <w:rPr>
                <w:sz w:val="20"/>
                <w:szCs w:val="20"/>
              </w:rPr>
            </w:pPr>
          </w:p>
        </w:tc>
        <w:tc>
          <w:tcPr>
            <w:tcW w:w="1440" w:type="dxa"/>
          </w:tcPr>
          <w:p w14:paraId="4122BF12" w14:textId="77777777" w:rsidR="00DA702B" w:rsidRPr="00DA702B" w:rsidRDefault="00DA702B" w:rsidP="00DA702B">
            <w:pPr>
              <w:rPr>
                <w:sz w:val="20"/>
                <w:szCs w:val="20"/>
              </w:rPr>
            </w:pPr>
          </w:p>
        </w:tc>
        <w:tc>
          <w:tcPr>
            <w:tcW w:w="1440" w:type="dxa"/>
          </w:tcPr>
          <w:p w14:paraId="6D08E629" w14:textId="77777777" w:rsidR="00DA702B" w:rsidRPr="00DA702B" w:rsidRDefault="00DA702B" w:rsidP="00DA702B">
            <w:pPr>
              <w:rPr>
                <w:sz w:val="20"/>
                <w:szCs w:val="20"/>
              </w:rPr>
            </w:pPr>
          </w:p>
        </w:tc>
        <w:tc>
          <w:tcPr>
            <w:tcW w:w="1440" w:type="dxa"/>
          </w:tcPr>
          <w:p w14:paraId="09729DD2" w14:textId="77777777" w:rsidR="00DA702B" w:rsidRPr="00DA702B" w:rsidRDefault="00DA702B" w:rsidP="00DA702B">
            <w:pPr>
              <w:rPr>
                <w:sz w:val="20"/>
                <w:szCs w:val="20"/>
              </w:rPr>
            </w:pPr>
          </w:p>
        </w:tc>
        <w:tc>
          <w:tcPr>
            <w:tcW w:w="1440" w:type="dxa"/>
          </w:tcPr>
          <w:p w14:paraId="0D1D3C90" w14:textId="77777777" w:rsidR="00DA702B" w:rsidRPr="00DA702B" w:rsidRDefault="00DA702B" w:rsidP="00DA702B">
            <w:pPr>
              <w:rPr>
                <w:sz w:val="20"/>
                <w:szCs w:val="20"/>
              </w:rPr>
            </w:pPr>
          </w:p>
        </w:tc>
      </w:tr>
      <w:tr w:rsidR="00DA702B" w:rsidRPr="00DA702B" w14:paraId="7BA796EE" w14:textId="77777777" w:rsidTr="00247007">
        <w:trPr>
          <w:cantSplit/>
          <w:trHeight w:val="346"/>
          <w:tblHeader/>
        </w:trPr>
        <w:tc>
          <w:tcPr>
            <w:tcW w:w="1440" w:type="dxa"/>
          </w:tcPr>
          <w:p w14:paraId="308EB365" w14:textId="77777777" w:rsidR="00DA702B" w:rsidRPr="00DA702B" w:rsidRDefault="00DA702B" w:rsidP="00DA702B">
            <w:pPr>
              <w:rPr>
                <w:sz w:val="20"/>
                <w:szCs w:val="20"/>
              </w:rPr>
            </w:pPr>
          </w:p>
        </w:tc>
        <w:tc>
          <w:tcPr>
            <w:tcW w:w="1440" w:type="dxa"/>
          </w:tcPr>
          <w:p w14:paraId="6D84F883" w14:textId="77777777" w:rsidR="00DA702B" w:rsidRPr="00DA702B" w:rsidRDefault="00DA702B" w:rsidP="00DA702B">
            <w:pPr>
              <w:rPr>
                <w:sz w:val="20"/>
                <w:szCs w:val="20"/>
              </w:rPr>
            </w:pPr>
          </w:p>
        </w:tc>
        <w:tc>
          <w:tcPr>
            <w:tcW w:w="1440" w:type="dxa"/>
          </w:tcPr>
          <w:p w14:paraId="213EBD17" w14:textId="77777777" w:rsidR="00DA702B" w:rsidRPr="00DA702B" w:rsidRDefault="00DA702B" w:rsidP="00DA702B">
            <w:pPr>
              <w:rPr>
                <w:sz w:val="20"/>
                <w:szCs w:val="20"/>
              </w:rPr>
            </w:pPr>
          </w:p>
        </w:tc>
        <w:tc>
          <w:tcPr>
            <w:tcW w:w="1440" w:type="dxa"/>
          </w:tcPr>
          <w:p w14:paraId="7EE8ECCD" w14:textId="77777777" w:rsidR="00DA702B" w:rsidRPr="00DA702B" w:rsidRDefault="00DA702B" w:rsidP="00DA702B">
            <w:pPr>
              <w:rPr>
                <w:sz w:val="20"/>
                <w:szCs w:val="20"/>
              </w:rPr>
            </w:pPr>
          </w:p>
        </w:tc>
        <w:tc>
          <w:tcPr>
            <w:tcW w:w="1440" w:type="dxa"/>
          </w:tcPr>
          <w:p w14:paraId="48D15F52" w14:textId="77777777" w:rsidR="00DA702B" w:rsidRPr="00DA702B" w:rsidRDefault="00DA702B" w:rsidP="00DA702B">
            <w:pPr>
              <w:rPr>
                <w:sz w:val="20"/>
                <w:szCs w:val="20"/>
              </w:rPr>
            </w:pPr>
          </w:p>
        </w:tc>
        <w:tc>
          <w:tcPr>
            <w:tcW w:w="1440" w:type="dxa"/>
          </w:tcPr>
          <w:p w14:paraId="2342A788" w14:textId="77777777" w:rsidR="00DA702B" w:rsidRPr="00DA702B" w:rsidRDefault="00DA702B" w:rsidP="00DA702B">
            <w:pPr>
              <w:rPr>
                <w:sz w:val="20"/>
                <w:szCs w:val="20"/>
              </w:rPr>
            </w:pPr>
          </w:p>
        </w:tc>
        <w:tc>
          <w:tcPr>
            <w:tcW w:w="1440" w:type="dxa"/>
          </w:tcPr>
          <w:p w14:paraId="4F21BE9C" w14:textId="77777777" w:rsidR="00DA702B" w:rsidRPr="00DA702B" w:rsidRDefault="00DA702B" w:rsidP="00DA702B">
            <w:pPr>
              <w:rPr>
                <w:sz w:val="20"/>
                <w:szCs w:val="20"/>
              </w:rPr>
            </w:pPr>
          </w:p>
        </w:tc>
        <w:tc>
          <w:tcPr>
            <w:tcW w:w="1440" w:type="dxa"/>
          </w:tcPr>
          <w:p w14:paraId="5C9A34F8" w14:textId="77777777" w:rsidR="00DA702B" w:rsidRPr="00DA702B" w:rsidRDefault="00DA702B" w:rsidP="00DA702B">
            <w:pPr>
              <w:rPr>
                <w:sz w:val="20"/>
                <w:szCs w:val="20"/>
              </w:rPr>
            </w:pPr>
          </w:p>
        </w:tc>
        <w:tc>
          <w:tcPr>
            <w:tcW w:w="1440" w:type="dxa"/>
          </w:tcPr>
          <w:p w14:paraId="22EF072E" w14:textId="77777777" w:rsidR="00DA702B" w:rsidRPr="00DA702B" w:rsidRDefault="00DA702B" w:rsidP="00DA702B">
            <w:pPr>
              <w:rPr>
                <w:sz w:val="20"/>
                <w:szCs w:val="20"/>
              </w:rPr>
            </w:pPr>
          </w:p>
        </w:tc>
        <w:tc>
          <w:tcPr>
            <w:tcW w:w="1440" w:type="dxa"/>
          </w:tcPr>
          <w:p w14:paraId="46F33791" w14:textId="77777777" w:rsidR="00DA702B" w:rsidRPr="00DA702B" w:rsidRDefault="00DA702B" w:rsidP="00DA702B">
            <w:pPr>
              <w:rPr>
                <w:sz w:val="20"/>
                <w:szCs w:val="20"/>
              </w:rPr>
            </w:pPr>
          </w:p>
        </w:tc>
      </w:tr>
      <w:tr w:rsidR="00DA702B" w:rsidRPr="00DA702B" w14:paraId="4B54F3AF" w14:textId="77777777" w:rsidTr="00247007">
        <w:trPr>
          <w:cantSplit/>
          <w:trHeight w:val="346"/>
          <w:tblHeader/>
        </w:trPr>
        <w:tc>
          <w:tcPr>
            <w:tcW w:w="1440" w:type="dxa"/>
          </w:tcPr>
          <w:p w14:paraId="67561FD2" w14:textId="77777777" w:rsidR="00DA702B" w:rsidRPr="00DA702B" w:rsidRDefault="00DA702B" w:rsidP="00DA702B">
            <w:pPr>
              <w:rPr>
                <w:sz w:val="20"/>
                <w:szCs w:val="20"/>
              </w:rPr>
            </w:pPr>
          </w:p>
        </w:tc>
        <w:tc>
          <w:tcPr>
            <w:tcW w:w="1440" w:type="dxa"/>
          </w:tcPr>
          <w:p w14:paraId="6E0FA2C3" w14:textId="77777777" w:rsidR="00DA702B" w:rsidRPr="00DA702B" w:rsidRDefault="00DA702B" w:rsidP="00DA702B">
            <w:pPr>
              <w:rPr>
                <w:sz w:val="20"/>
                <w:szCs w:val="20"/>
              </w:rPr>
            </w:pPr>
          </w:p>
        </w:tc>
        <w:tc>
          <w:tcPr>
            <w:tcW w:w="1440" w:type="dxa"/>
          </w:tcPr>
          <w:p w14:paraId="68E40D1F" w14:textId="77777777" w:rsidR="00DA702B" w:rsidRPr="00DA702B" w:rsidRDefault="00DA702B" w:rsidP="00DA702B">
            <w:pPr>
              <w:rPr>
                <w:sz w:val="20"/>
                <w:szCs w:val="20"/>
              </w:rPr>
            </w:pPr>
          </w:p>
        </w:tc>
        <w:tc>
          <w:tcPr>
            <w:tcW w:w="1440" w:type="dxa"/>
          </w:tcPr>
          <w:p w14:paraId="0FD848E3" w14:textId="77777777" w:rsidR="00DA702B" w:rsidRPr="00DA702B" w:rsidRDefault="00DA702B" w:rsidP="00DA702B">
            <w:pPr>
              <w:rPr>
                <w:sz w:val="20"/>
                <w:szCs w:val="20"/>
              </w:rPr>
            </w:pPr>
          </w:p>
        </w:tc>
        <w:tc>
          <w:tcPr>
            <w:tcW w:w="1440" w:type="dxa"/>
          </w:tcPr>
          <w:p w14:paraId="7770F225" w14:textId="77777777" w:rsidR="00DA702B" w:rsidRPr="00DA702B" w:rsidRDefault="00DA702B" w:rsidP="00DA702B">
            <w:pPr>
              <w:rPr>
                <w:sz w:val="20"/>
                <w:szCs w:val="20"/>
              </w:rPr>
            </w:pPr>
          </w:p>
        </w:tc>
        <w:tc>
          <w:tcPr>
            <w:tcW w:w="1440" w:type="dxa"/>
          </w:tcPr>
          <w:p w14:paraId="430672CC" w14:textId="77777777" w:rsidR="00DA702B" w:rsidRPr="00DA702B" w:rsidRDefault="00DA702B" w:rsidP="00DA702B">
            <w:pPr>
              <w:rPr>
                <w:sz w:val="20"/>
                <w:szCs w:val="20"/>
              </w:rPr>
            </w:pPr>
          </w:p>
        </w:tc>
        <w:tc>
          <w:tcPr>
            <w:tcW w:w="1440" w:type="dxa"/>
          </w:tcPr>
          <w:p w14:paraId="696ED19A" w14:textId="77777777" w:rsidR="00DA702B" w:rsidRPr="00DA702B" w:rsidRDefault="00DA702B" w:rsidP="00DA702B">
            <w:pPr>
              <w:rPr>
                <w:sz w:val="20"/>
                <w:szCs w:val="20"/>
              </w:rPr>
            </w:pPr>
          </w:p>
        </w:tc>
        <w:tc>
          <w:tcPr>
            <w:tcW w:w="1440" w:type="dxa"/>
          </w:tcPr>
          <w:p w14:paraId="5B6BE473" w14:textId="77777777" w:rsidR="00DA702B" w:rsidRPr="00DA702B" w:rsidRDefault="00DA702B" w:rsidP="00DA702B">
            <w:pPr>
              <w:rPr>
                <w:sz w:val="20"/>
                <w:szCs w:val="20"/>
              </w:rPr>
            </w:pPr>
          </w:p>
        </w:tc>
        <w:tc>
          <w:tcPr>
            <w:tcW w:w="1440" w:type="dxa"/>
          </w:tcPr>
          <w:p w14:paraId="5527F202" w14:textId="77777777" w:rsidR="00DA702B" w:rsidRPr="00DA702B" w:rsidRDefault="00DA702B" w:rsidP="00DA702B">
            <w:pPr>
              <w:rPr>
                <w:sz w:val="20"/>
                <w:szCs w:val="20"/>
              </w:rPr>
            </w:pPr>
          </w:p>
        </w:tc>
        <w:tc>
          <w:tcPr>
            <w:tcW w:w="1440" w:type="dxa"/>
          </w:tcPr>
          <w:p w14:paraId="787C1595" w14:textId="77777777" w:rsidR="00DA702B" w:rsidRPr="00DA702B" w:rsidRDefault="00DA702B" w:rsidP="00DA702B">
            <w:pPr>
              <w:rPr>
                <w:sz w:val="20"/>
                <w:szCs w:val="20"/>
              </w:rPr>
            </w:pPr>
          </w:p>
        </w:tc>
      </w:tr>
      <w:tr w:rsidR="00DA702B" w:rsidRPr="00DA702B" w14:paraId="4BF4D096" w14:textId="77777777" w:rsidTr="00247007">
        <w:trPr>
          <w:cantSplit/>
          <w:trHeight w:val="346"/>
          <w:tblHeader/>
        </w:trPr>
        <w:tc>
          <w:tcPr>
            <w:tcW w:w="1440" w:type="dxa"/>
          </w:tcPr>
          <w:p w14:paraId="15155279" w14:textId="77777777" w:rsidR="00DA702B" w:rsidRPr="00DA702B" w:rsidRDefault="00DA702B" w:rsidP="00DA702B">
            <w:pPr>
              <w:rPr>
                <w:sz w:val="20"/>
                <w:szCs w:val="20"/>
              </w:rPr>
            </w:pPr>
          </w:p>
        </w:tc>
        <w:tc>
          <w:tcPr>
            <w:tcW w:w="1440" w:type="dxa"/>
          </w:tcPr>
          <w:p w14:paraId="6E09B3E3" w14:textId="77777777" w:rsidR="00DA702B" w:rsidRPr="00DA702B" w:rsidRDefault="00DA702B" w:rsidP="00DA702B">
            <w:pPr>
              <w:rPr>
                <w:sz w:val="20"/>
                <w:szCs w:val="20"/>
              </w:rPr>
            </w:pPr>
          </w:p>
        </w:tc>
        <w:tc>
          <w:tcPr>
            <w:tcW w:w="1440" w:type="dxa"/>
          </w:tcPr>
          <w:p w14:paraId="0546F3B2" w14:textId="77777777" w:rsidR="00DA702B" w:rsidRPr="00DA702B" w:rsidRDefault="00DA702B" w:rsidP="00DA702B">
            <w:pPr>
              <w:rPr>
                <w:sz w:val="20"/>
                <w:szCs w:val="20"/>
              </w:rPr>
            </w:pPr>
          </w:p>
        </w:tc>
        <w:tc>
          <w:tcPr>
            <w:tcW w:w="1440" w:type="dxa"/>
          </w:tcPr>
          <w:p w14:paraId="0DFF9A41" w14:textId="77777777" w:rsidR="00DA702B" w:rsidRPr="00DA702B" w:rsidRDefault="00DA702B" w:rsidP="00DA702B">
            <w:pPr>
              <w:rPr>
                <w:sz w:val="20"/>
                <w:szCs w:val="20"/>
              </w:rPr>
            </w:pPr>
          </w:p>
        </w:tc>
        <w:tc>
          <w:tcPr>
            <w:tcW w:w="1440" w:type="dxa"/>
          </w:tcPr>
          <w:p w14:paraId="21CD77FF" w14:textId="77777777" w:rsidR="00DA702B" w:rsidRPr="00DA702B" w:rsidRDefault="00DA702B" w:rsidP="00DA702B">
            <w:pPr>
              <w:rPr>
                <w:sz w:val="20"/>
                <w:szCs w:val="20"/>
              </w:rPr>
            </w:pPr>
          </w:p>
        </w:tc>
        <w:tc>
          <w:tcPr>
            <w:tcW w:w="1440" w:type="dxa"/>
          </w:tcPr>
          <w:p w14:paraId="628136F2" w14:textId="77777777" w:rsidR="00DA702B" w:rsidRPr="00DA702B" w:rsidRDefault="00DA702B" w:rsidP="00DA702B">
            <w:pPr>
              <w:rPr>
                <w:sz w:val="20"/>
                <w:szCs w:val="20"/>
              </w:rPr>
            </w:pPr>
          </w:p>
        </w:tc>
        <w:tc>
          <w:tcPr>
            <w:tcW w:w="1440" w:type="dxa"/>
          </w:tcPr>
          <w:p w14:paraId="1225BC6E" w14:textId="77777777" w:rsidR="00DA702B" w:rsidRPr="00DA702B" w:rsidRDefault="00DA702B" w:rsidP="00DA702B">
            <w:pPr>
              <w:rPr>
                <w:sz w:val="20"/>
                <w:szCs w:val="20"/>
              </w:rPr>
            </w:pPr>
          </w:p>
        </w:tc>
        <w:tc>
          <w:tcPr>
            <w:tcW w:w="1440" w:type="dxa"/>
          </w:tcPr>
          <w:p w14:paraId="4CBA8B9F" w14:textId="77777777" w:rsidR="00DA702B" w:rsidRPr="00DA702B" w:rsidRDefault="00DA702B" w:rsidP="00DA702B">
            <w:pPr>
              <w:rPr>
                <w:sz w:val="20"/>
                <w:szCs w:val="20"/>
              </w:rPr>
            </w:pPr>
          </w:p>
        </w:tc>
        <w:tc>
          <w:tcPr>
            <w:tcW w:w="1440" w:type="dxa"/>
          </w:tcPr>
          <w:p w14:paraId="2B8B2D6D" w14:textId="77777777" w:rsidR="00DA702B" w:rsidRPr="00DA702B" w:rsidRDefault="00DA702B" w:rsidP="00DA702B">
            <w:pPr>
              <w:rPr>
                <w:sz w:val="20"/>
                <w:szCs w:val="20"/>
              </w:rPr>
            </w:pPr>
          </w:p>
        </w:tc>
        <w:tc>
          <w:tcPr>
            <w:tcW w:w="1440" w:type="dxa"/>
          </w:tcPr>
          <w:p w14:paraId="155A8033" w14:textId="77777777" w:rsidR="00DA702B" w:rsidRPr="00DA702B" w:rsidRDefault="00DA702B" w:rsidP="00DA702B">
            <w:pPr>
              <w:rPr>
                <w:sz w:val="20"/>
                <w:szCs w:val="20"/>
              </w:rPr>
            </w:pPr>
          </w:p>
        </w:tc>
      </w:tr>
      <w:tr w:rsidR="00DA702B" w:rsidRPr="00DA702B" w14:paraId="08B52C4B" w14:textId="77777777" w:rsidTr="00247007">
        <w:trPr>
          <w:cantSplit/>
          <w:trHeight w:val="346"/>
          <w:tblHeader/>
        </w:trPr>
        <w:tc>
          <w:tcPr>
            <w:tcW w:w="1440" w:type="dxa"/>
          </w:tcPr>
          <w:p w14:paraId="09F2DCD8" w14:textId="77777777" w:rsidR="00DA702B" w:rsidRPr="00DA702B" w:rsidRDefault="00DA702B" w:rsidP="00DA702B">
            <w:pPr>
              <w:rPr>
                <w:sz w:val="20"/>
                <w:szCs w:val="20"/>
              </w:rPr>
            </w:pPr>
          </w:p>
        </w:tc>
        <w:tc>
          <w:tcPr>
            <w:tcW w:w="1440" w:type="dxa"/>
          </w:tcPr>
          <w:p w14:paraId="450EEF7C" w14:textId="77777777" w:rsidR="00DA702B" w:rsidRPr="00DA702B" w:rsidRDefault="00DA702B" w:rsidP="00DA702B">
            <w:pPr>
              <w:rPr>
                <w:sz w:val="20"/>
                <w:szCs w:val="20"/>
              </w:rPr>
            </w:pPr>
          </w:p>
        </w:tc>
        <w:tc>
          <w:tcPr>
            <w:tcW w:w="1440" w:type="dxa"/>
          </w:tcPr>
          <w:p w14:paraId="6906378B" w14:textId="77777777" w:rsidR="00DA702B" w:rsidRPr="00DA702B" w:rsidRDefault="00DA702B" w:rsidP="00DA702B">
            <w:pPr>
              <w:rPr>
                <w:sz w:val="20"/>
                <w:szCs w:val="20"/>
              </w:rPr>
            </w:pPr>
          </w:p>
        </w:tc>
        <w:tc>
          <w:tcPr>
            <w:tcW w:w="1440" w:type="dxa"/>
          </w:tcPr>
          <w:p w14:paraId="2E8DC4FC" w14:textId="77777777" w:rsidR="00DA702B" w:rsidRPr="00DA702B" w:rsidRDefault="00DA702B" w:rsidP="00DA702B">
            <w:pPr>
              <w:rPr>
                <w:sz w:val="20"/>
                <w:szCs w:val="20"/>
              </w:rPr>
            </w:pPr>
          </w:p>
        </w:tc>
        <w:tc>
          <w:tcPr>
            <w:tcW w:w="1440" w:type="dxa"/>
          </w:tcPr>
          <w:p w14:paraId="0FCACA32" w14:textId="77777777" w:rsidR="00DA702B" w:rsidRPr="00DA702B" w:rsidRDefault="00DA702B" w:rsidP="00DA702B">
            <w:pPr>
              <w:rPr>
                <w:sz w:val="20"/>
                <w:szCs w:val="20"/>
              </w:rPr>
            </w:pPr>
          </w:p>
        </w:tc>
        <w:tc>
          <w:tcPr>
            <w:tcW w:w="1440" w:type="dxa"/>
          </w:tcPr>
          <w:p w14:paraId="71BBA10D" w14:textId="77777777" w:rsidR="00DA702B" w:rsidRPr="00DA702B" w:rsidRDefault="00DA702B" w:rsidP="00DA702B">
            <w:pPr>
              <w:rPr>
                <w:sz w:val="20"/>
                <w:szCs w:val="20"/>
              </w:rPr>
            </w:pPr>
          </w:p>
        </w:tc>
        <w:tc>
          <w:tcPr>
            <w:tcW w:w="1440" w:type="dxa"/>
          </w:tcPr>
          <w:p w14:paraId="461E551A" w14:textId="77777777" w:rsidR="00DA702B" w:rsidRPr="00DA702B" w:rsidRDefault="00DA702B" w:rsidP="00DA702B">
            <w:pPr>
              <w:rPr>
                <w:sz w:val="20"/>
                <w:szCs w:val="20"/>
              </w:rPr>
            </w:pPr>
          </w:p>
        </w:tc>
        <w:tc>
          <w:tcPr>
            <w:tcW w:w="1440" w:type="dxa"/>
          </w:tcPr>
          <w:p w14:paraId="14B39725" w14:textId="77777777" w:rsidR="00DA702B" w:rsidRPr="00DA702B" w:rsidRDefault="00DA702B" w:rsidP="00DA702B">
            <w:pPr>
              <w:rPr>
                <w:sz w:val="20"/>
                <w:szCs w:val="20"/>
              </w:rPr>
            </w:pPr>
          </w:p>
        </w:tc>
        <w:tc>
          <w:tcPr>
            <w:tcW w:w="1440" w:type="dxa"/>
          </w:tcPr>
          <w:p w14:paraId="48BA31F8" w14:textId="77777777" w:rsidR="00DA702B" w:rsidRPr="00DA702B" w:rsidRDefault="00DA702B" w:rsidP="00DA702B">
            <w:pPr>
              <w:rPr>
                <w:sz w:val="20"/>
                <w:szCs w:val="20"/>
              </w:rPr>
            </w:pPr>
          </w:p>
        </w:tc>
        <w:tc>
          <w:tcPr>
            <w:tcW w:w="1440" w:type="dxa"/>
          </w:tcPr>
          <w:p w14:paraId="2A1BD488" w14:textId="77777777" w:rsidR="00DA702B" w:rsidRPr="00DA702B" w:rsidRDefault="00DA702B" w:rsidP="00DA702B">
            <w:pPr>
              <w:rPr>
                <w:sz w:val="20"/>
                <w:szCs w:val="20"/>
              </w:rPr>
            </w:pPr>
          </w:p>
        </w:tc>
      </w:tr>
      <w:tr w:rsidR="00DA702B" w:rsidRPr="00DA702B" w14:paraId="5E3306EF" w14:textId="77777777" w:rsidTr="00247007">
        <w:trPr>
          <w:cantSplit/>
          <w:trHeight w:val="346"/>
          <w:tblHeader/>
        </w:trPr>
        <w:tc>
          <w:tcPr>
            <w:tcW w:w="1440" w:type="dxa"/>
          </w:tcPr>
          <w:p w14:paraId="2970E648" w14:textId="77777777" w:rsidR="00DA702B" w:rsidRPr="00DA702B" w:rsidRDefault="00DA702B" w:rsidP="00DA702B">
            <w:pPr>
              <w:rPr>
                <w:sz w:val="20"/>
                <w:szCs w:val="20"/>
              </w:rPr>
            </w:pPr>
          </w:p>
        </w:tc>
        <w:tc>
          <w:tcPr>
            <w:tcW w:w="1440" w:type="dxa"/>
          </w:tcPr>
          <w:p w14:paraId="6B3F1200" w14:textId="77777777" w:rsidR="00DA702B" w:rsidRPr="00DA702B" w:rsidRDefault="00DA702B" w:rsidP="00DA702B">
            <w:pPr>
              <w:rPr>
                <w:sz w:val="20"/>
                <w:szCs w:val="20"/>
              </w:rPr>
            </w:pPr>
          </w:p>
        </w:tc>
        <w:tc>
          <w:tcPr>
            <w:tcW w:w="1440" w:type="dxa"/>
          </w:tcPr>
          <w:p w14:paraId="6DA26C87" w14:textId="77777777" w:rsidR="00DA702B" w:rsidRPr="00DA702B" w:rsidRDefault="00DA702B" w:rsidP="00DA702B">
            <w:pPr>
              <w:rPr>
                <w:sz w:val="20"/>
                <w:szCs w:val="20"/>
              </w:rPr>
            </w:pPr>
          </w:p>
        </w:tc>
        <w:tc>
          <w:tcPr>
            <w:tcW w:w="1440" w:type="dxa"/>
          </w:tcPr>
          <w:p w14:paraId="0B2A71DB" w14:textId="77777777" w:rsidR="00DA702B" w:rsidRPr="00DA702B" w:rsidRDefault="00DA702B" w:rsidP="00DA702B">
            <w:pPr>
              <w:rPr>
                <w:sz w:val="20"/>
                <w:szCs w:val="20"/>
              </w:rPr>
            </w:pPr>
          </w:p>
        </w:tc>
        <w:tc>
          <w:tcPr>
            <w:tcW w:w="1440" w:type="dxa"/>
          </w:tcPr>
          <w:p w14:paraId="765E86F1" w14:textId="77777777" w:rsidR="00DA702B" w:rsidRPr="00DA702B" w:rsidRDefault="00DA702B" w:rsidP="00DA702B">
            <w:pPr>
              <w:rPr>
                <w:sz w:val="20"/>
                <w:szCs w:val="20"/>
              </w:rPr>
            </w:pPr>
          </w:p>
        </w:tc>
        <w:tc>
          <w:tcPr>
            <w:tcW w:w="1440" w:type="dxa"/>
          </w:tcPr>
          <w:p w14:paraId="236BC815" w14:textId="77777777" w:rsidR="00DA702B" w:rsidRPr="00DA702B" w:rsidRDefault="00DA702B" w:rsidP="00DA702B">
            <w:pPr>
              <w:rPr>
                <w:sz w:val="20"/>
                <w:szCs w:val="20"/>
              </w:rPr>
            </w:pPr>
          </w:p>
        </w:tc>
        <w:tc>
          <w:tcPr>
            <w:tcW w:w="1440" w:type="dxa"/>
          </w:tcPr>
          <w:p w14:paraId="78E7A345" w14:textId="77777777" w:rsidR="00DA702B" w:rsidRPr="00DA702B" w:rsidRDefault="00DA702B" w:rsidP="00DA702B">
            <w:pPr>
              <w:rPr>
                <w:sz w:val="20"/>
                <w:szCs w:val="20"/>
              </w:rPr>
            </w:pPr>
          </w:p>
        </w:tc>
        <w:tc>
          <w:tcPr>
            <w:tcW w:w="1440" w:type="dxa"/>
          </w:tcPr>
          <w:p w14:paraId="696F7F81" w14:textId="77777777" w:rsidR="00DA702B" w:rsidRPr="00DA702B" w:rsidRDefault="00DA702B" w:rsidP="00DA702B">
            <w:pPr>
              <w:rPr>
                <w:sz w:val="20"/>
                <w:szCs w:val="20"/>
              </w:rPr>
            </w:pPr>
          </w:p>
        </w:tc>
        <w:tc>
          <w:tcPr>
            <w:tcW w:w="1440" w:type="dxa"/>
          </w:tcPr>
          <w:p w14:paraId="757B785D" w14:textId="77777777" w:rsidR="00DA702B" w:rsidRPr="00DA702B" w:rsidRDefault="00DA702B" w:rsidP="00DA702B">
            <w:pPr>
              <w:rPr>
                <w:sz w:val="20"/>
                <w:szCs w:val="20"/>
              </w:rPr>
            </w:pPr>
          </w:p>
        </w:tc>
        <w:tc>
          <w:tcPr>
            <w:tcW w:w="1440" w:type="dxa"/>
          </w:tcPr>
          <w:p w14:paraId="1CC57555" w14:textId="77777777" w:rsidR="00DA702B" w:rsidRPr="00DA702B" w:rsidRDefault="00DA702B" w:rsidP="00DA702B">
            <w:pPr>
              <w:rPr>
                <w:sz w:val="20"/>
                <w:szCs w:val="20"/>
              </w:rPr>
            </w:pPr>
          </w:p>
        </w:tc>
      </w:tr>
      <w:tr w:rsidR="00DA702B" w:rsidRPr="00DA702B" w14:paraId="307E8BA4" w14:textId="77777777" w:rsidTr="00247007">
        <w:trPr>
          <w:cantSplit/>
          <w:trHeight w:val="346"/>
          <w:tblHeader/>
        </w:trPr>
        <w:tc>
          <w:tcPr>
            <w:tcW w:w="1440" w:type="dxa"/>
          </w:tcPr>
          <w:p w14:paraId="669DDC7C" w14:textId="77777777" w:rsidR="00DA702B" w:rsidRPr="00DA702B" w:rsidRDefault="00DA702B" w:rsidP="00DA702B">
            <w:pPr>
              <w:rPr>
                <w:sz w:val="20"/>
                <w:szCs w:val="20"/>
              </w:rPr>
            </w:pPr>
          </w:p>
        </w:tc>
        <w:tc>
          <w:tcPr>
            <w:tcW w:w="1440" w:type="dxa"/>
          </w:tcPr>
          <w:p w14:paraId="51205CD5" w14:textId="77777777" w:rsidR="00DA702B" w:rsidRPr="00DA702B" w:rsidRDefault="00DA702B" w:rsidP="00DA702B">
            <w:pPr>
              <w:rPr>
                <w:sz w:val="20"/>
                <w:szCs w:val="20"/>
              </w:rPr>
            </w:pPr>
          </w:p>
        </w:tc>
        <w:tc>
          <w:tcPr>
            <w:tcW w:w="1440" w:type="dxa"/>
          </w:tcPr>
          <w:p w14:paraId="619644C6" w14:textId="77777777" w:rsidR="00DA702B" w:rsidRPr="00DA702B" w:rsidRDefault="00DA702B" w:rsidP="00DA702B">
            <w:pPr>
              <w:rPr>
                <w:sz w:val="20"/>
                <w:szCs w:val="20"/>
              </w:rPr>
            </w:pPr>
          </w:p>
        </w:tc>
        <w:tc>
          <w:tcPr>
            <w:tcW w:w="1440" w:type="dxa"/>
          </w:tcPr>
          <w:p w14:paraId="5CD94143" w14:textId="77777777" w:rsidR="00DA702B" w:rsidRPr="00DA702B" w:rsidRDefault="00DA702B" w:rsidP="00DA702B">
            <w:pPr>
              <w:rPr>
                <w:sz w:val="20"/>
                <w:szCs w:val="20"/>
              </w:rPr>
            </w:pPr>
          </w:p>
        </w:tc>
        <w:tc>
          <w:tcPr>
            <w:tcW w:w="1440" w:type="dxa"/>
          </w:tcPr>
          <w:p w14:paraId="15A97F4F" w14:textId="77777777" w:rsidR="00DA702B" w:rsidRPr="00DA702B" w:rsidRDefault="00DA702B" w:rsidP="00DA702B">
            <w:pPr>
              <w:rPr>
                <w:sz w:val="20"/>
                <w:szCs w:val="20"/>
              </w:rPr>
            </w:pPr>
          </w:p>
        </w:tc>
        <w:tc>
          <w:tcPr>
            <w:tcW w:w="1440" w:type="dxa"/>
          </w:tcPr>
          <w:p w14:paraId="2285B69E" w14:textId="77777777" w:rsidR="00DA702B" w:rsidRPr="00DA702B" w:rsidRDefault="00DA702B" w:rsidP="00DA702B">
            <w:pPr>
              <w:rPr>
                <w:sz w:val="20"/>
                <w:szCs w:val="20"/>
              </w:rPr>
            </w:pPr>
          </w:p>
        </w:tc>
        <w:tc>
          <w:tcPr>
            <w:tcW w:w="1440" w:type="dxa"/>
          </w:tcPr>
          <w:p w14:paraId="7EBB98B9" w14:textId="77777777" w:rsidR="00DA702B" w:rsidRPr="00DA702B" w:rsidRDefault="00DA702B" w:rsidP="00DA702B">
            <w:pPr>
              <w:rPr>
                <w:sz w:val="20"/>
                <w:szCs w:val="20"/>
              </w:rPr>
            </w:pPr>
          </w:p>
        </w:tc>
        <w:tc>
          <w:tcPr>
            <w:tcW w:w="1440" w:type="dxa"/>
          </w:tcPr>
          <w:p w14:paraId="7DDEDC6D" w14:textId="77777777" w:rsidR="00DA702B" w:rsidRPr="00DA702B" w:rsidRDefault="00DA702B" w:rsidP="00DA702B">
            <w:pPr>
              <w:rPr>
                <w:sz w:val="20"/>
                <w:szCs w:val="20"/>
              </w:rPr>
            </w:pPr>
          </w:p>
        </w:tc>
        <w:tc>
          <w:tcPr>
            <w:tcW w:w="1440" w:type="dxa"/>
          </w:tcPr>
          <w:p w14:paraId="69BB3F1A" w14:textId="77777777" w:rsidR="00DA702B" w:rsidRPr="00DA702B" w:rsidRDefault="00DA702B" w:rsidP="00DA702B">
            <w:pPr>
              <w:rPr>
                <w:sz w:val="20"/>
                <w:szCs w:val="20"/>
              </w:rPr>
            </w:pPr>
          </w:p>
        </w:tc>
        <w:tc>
          <w:tcPr>
            <w:tcW w:w="1440" w:type="dxa"/>
          </w:tcPr>
          <w:p w14:paraId="4F70ABE0" w14:textId="77777777" w:rsidR="00DA702B" w:rsidRPr="00DA702B" w:rsidRDefault="00DA702B" w:rsidP="00DA702B">
            <w:pPr>
              <w:rPr>
                <w:sz w:val="20"/>
                <w:szCs w:val="20"/>
              </w:rPr>
            </w:pPr>
          </w:p>
        </w:tc>
      </w:tr>
    </w:tbl>
    <w:p w14:paraId="3EBC3972" w14:textId="77777777" w:rsidR="00E80AC4" w:rsidRDefault="00E80AC4" w:rsidP="00E80AC4">
      <w:pPr>
        <w:widowControl w:val="0"/>
        <w:rPr>
          <w:rFonts w:eastAsiaTheme="majorEastAsia"/>
          <w:b/>
          <w:bCs/>
          <w:color w:val="365F91" w:themeColor="accent1" w:themeShade="BF"/>
        </w:rPr>
      </w:pPr>
      <w:r>
        <w:rPr>
          <w:rFonts w:eastAsiaTheme="majorEastAsia"/>
          <w:b/>
          <w:bCs/>
          <w:color w:val="365F91" w:themeColor="accent1" w:themeShade="BF"/>
        </w:rPr>
        <w:br w:type="page"/>
      </w:r>
    </w:p>
    <w:p w14:paraId="298F599E" w14:textId="7A7A3E7D" w:rsidR="00DA702B" w:rsidRPr="00DA702B" w:rsidRDefault="00DA702B" w:rsidP="00E80AC4">
      <w:pPr>
        <w:widowControl w:val="0"/>
        <w:jc w:val="center"/>
        <w:rPr>
          <w:rFonts w:eastAsiaTheme="majorEastAsia"/>
          <w:b/>
          <w:bCs/>
        </w:rPr>
      </w:pPr>
      <w:r w:rsidRPr="00DA702B">
        <w:rPr>
          <w:rFonts w:eastAsiaTheme="majorEastAsia"/>
          <w:b/>
          <w:bCs/>
        </w:rPr>
        <w:lastRenderedPageBreak/>
        <w:t>Boiler/Steam Generator/Steam Generating Unit Attributes</w:t>
      </w:r>
    </w:p>
    <w:p w14:paraId="7B6DBD70" w14:textId="77777777" w:rsidR="00DA702B" w:rsidRPr="00DA702B" w:rsidRDefault="00DA702B" w:rsidP="00E80AC4">
      <w:pPr>
        <w:widowControl w:val="0"/>
        <w:jc w:val="center"/>
        <w:rPr>
          <w:rFonts w:eastAsiaTheme="majorEastAsia"/>
          <w:b/>
          <w:bCs/>
        </w:rPr>
      </w:pPr>
      <w:r w:rsidRPr="00DA702B">
        <w:rPr>
          <w:rFonts w:eastAsiaTheme="majorEastAsia"/>
          <w:b/>
          <w:bCs/>
        </w:rPr>
        <w:t>Form OP-UA6 (Page 26)</w:t>
      </w:r>
    </w:p>
    <w:p w14:paraId="3C0976FC" w14:textId="77777777" w:rsidR="00DA702B" w:rsidRPr="00DA702B" w:rsidRDefault="00DA702B" w:rsidP="00E80AC4">
      <w:pPr>
        <w:widowControl w:val="0"/>
        <w:jc w:val="center"/>
        <w:rPr>
          <w:rFonts w:eastAsiaTheme="majorEastAsia"/>
          <w:b/>
          <w:bCs/>
        </w:rPr>
      </w:pPr>
      <w:r w:rsidRPr="00DA702B">
        <w:rPr>
          <w:rFonts w:eastAsiaTheme="majorEastAsia"/>
          <w:b/>
          <w:bCs/>
        </w:rPr>
        <w:t>Federal Operating Permit Program</w:t>
      </w:r>
    </w:p>
    <w:p w14:paraId="522680C8" w14:textId="77777777" w:rsidR="00DA702B" w:rsidRPr="00DA702B" w:rsidRDefault="00DA702B" w:rsidP="00E80AC4">
      <w:pPr>
        <w:widowControl w:val="0"/>
        <w:jc w:val="center"/>
        <w:rPr>
          <w:rFonts w:eastAsiaTheme="majorEastAsia"/>
          <w:b/>
          <w:bCs/>
        </w:rPr>
      </w:pPr>
      <w:bookmarkStart w:id="188" w:name="TBL_11"/>
      <w:r w:rsidRPr="00DA702B">
        <w:rPr>
          <w:rFonts w:eastAsiaTheme="majorEastAsia"/>
          <w:b/>
          <w:bCs/>
        </w:rPr>
        <w:t>Table 11</w:t>
      </w:r>
      <w:bookmarkEnd w:id="188"/>
      <w:r w:rsidRPr="00DA702B">
        <w:rPr>
          <w:rFonts w:eastAsiaTheme="majorEastAsia"/>
          <w:b/>
          <w:bCs/>
        </w:rPr>
        <w:t>:  Title 30 Texas Administrative Code Chapter 111 (TAC Chapter 111)</w:t>
      </w:r>
    </w:p>
    <w:p w14:paraId="2A274D54" w14:textId="77777777" w:rsidR="00DA702B" w:rsidRPr="00DA702B" w:rsidRDefault="00DA702B" w:rsidP="00E80AC4">
      <w:pPr>
        <w:widowControl w:val="0"/>
        <w:jc w:val="center"/>
        <w:rPr>
          <w:rFonts w:eastAsiaTheme="majorEastAsia"/>
          <w:b/>
          <w:bCs/>
          <w:color w:val="365F91" w:themeColor="accent1" w:themeShade="BF"/>
        </w:rPr>
      </w:pPr>
      <w:r w:rsidRPr="00DA702B">
        <w:rPr>
          <w:rFonts w:eastAsiaTheme="majorEastAsia"/>
          <w:b/>
          <w:bCs/>
        </w:rPr>
        <w:t>Subchapter A: Division 2:  Incineration</w:t>
      </w:r>
    </w:p>
    <w:p w14:paraId="40CE4CBB" w14:textId="77777777" w:rsidR="00DA702B" w:rsidRPr="00DA702B" w:rsidRDefault="00DA702B" w:rsidP="00E80AC4">
      <w:pPr>
        <w:widowControl w:val="0"/>
        <w:jc w:val="center"/>
        <w:rPr>
          <w:b/>
          <w:bCs/>
        </w:rPr>
      </w:pPr>
      <w:r w:rsidRPr="00DA702B">
        <w:rPr>
          <w:b/>
          <w:bCs/>
        </w:rPr>
        <w:t>Texas Commission on Environmental Quality</w:t>
      </w:r>
    </w:p>
    <w:p w14:paraId="45628B22"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1:  Title 30 Texas Administrative Code Chapter 111 (TAC Chapter 111)&#10;Subchapter A: Division 2:  Incineration&#10;"/>
      </w:tblPr>
      <w:tblGrid>
        <w:gridCol w:w="4800"/>
        <w:gridCol w:w="4800"/>
        <w:gridCol w:w="4800"/>
      </w:tblGrid>
      <w:tr w:rsidR="00DA702B" w:rsidRPr="00DA702B" w14:paraId="201A3BBC" w14:textId="77777777" w:rsidTr="00247007">
        <w:trPr>
          <w:cantSplit/>
          <w:tblHeader/>
        </w:trPr>
        <w:tc>
          <w:tcPr>
            <w:tcW w:w="4800" w:type="dxa"/>
            <w:shd w:val="clear" w:color="auto" w:fill="D9D9D9" w:themeFill="background1" w:themeFillShade="D9"/>
          </w:tcPr>
          <w:p w14:paraId="70807216"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0AA5B4ED"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121A9030"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3E703651" w14:textId="77777777" w:rsidTr="00247007">
        <w:trPr>
          <w:cantSplit/>
          <w:tblHeader/>
        </w:trPr>
        <w:tc>
          <w:tcPr>
            <w:tcW w:w="4800" w:type="dxa"/>
          </w:tcPr>
          <w:p w14:paraId="29725AEA" w14:textId="77777777" w:rsidR="00DA702B" w:rsidRPr="00DA702B" w:rsidRDefault="00DA702B" w:rsidP="00DA702B">
            <w:pPr>
              <w:rPr>
                <w:rFonts w:asciiTheme="majorHAnsi" w:hAnsiTheme="majorHAnsi" w:cstheme="majorHAnsi"/>
              </w:rPr>
            </w:pPr>
          </w:p>
        </w:tc>
        <w:tc>
          <w:tcPr>
            <w:tcW w:w="4800" w:type="dxa"/>
          </w:tcPr>
          <w:p w14:paraId="23167EA7" w14:textId="77777777" w:rsidR="00DA702B" w:rsidRPr="00DA702B" w:rsidRDefault="00DA702B" w:rsidP="00DA702B">
            <w:pPr>
              <w:rPr>
                <w:rFonts w:asciiTheme="majorHAnsi" w:hAnsiTheme="majorHAnsi" w:cstheme="majorHAnsi"/>
              </w:rPr>
            </w:pPr>
          </w:p>
        </w:tc>
        <w:tc>
          <w:tcPr>
            <w:tcW w:w="4800" w:type="dxa"/>
          </w:tcPr>
          <w:p w14:paraId="310596A0" w14:textId="77777777" w:rsidR="00DA702B" w:rsidRPr="00DA702B" w:rsidRDefault="00DA702B" w:rsidP="00DA702B">
            <w:pPr>
              <w:rPr>
                <w:rFonts w:asciiTheme="majorHAnsi" w:hAnsiTheme="majorHAnsi" w:cstheme="majorHAnsi"/>
              </w:rPr>
            </w:pPr>
          </w:p>
        </w:tc>
      </w:tr>
    </w:tbl>
    <w:p w14:paraId="71E0921F"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1:  Title 30 Texas Administrative Code Chapter 111 (TAC Chapter 111)&#10;Subchapter A: Division 2:  Incineration&#10;"/>
      </w:tblPr>
      <w:tblGrid>
        <w:gridCol w:w="3599"/>
        <w:gridCol w:w="3599"/>
        <w:gridCol w:w="3601"/>
        <w:gridCol w:w="3601"/>
      </w:tblGrid>
      <w:tr w:rsidR="00DA702B" w:rsidRPr="00DA702B" w14:paraId="07CDC060" w14:textId="77777777" w:rsidTr="00247007">
        <w:trPr>
          <w:cantSplit/>
          <w:trHeight w:val="346"/>
          <w:tblHeader/>
        </w:trPr>
        <w:tc>
          <w:tcPr>
            <w:tcW w:w="3599" w:type="dxa"/>
            <w:shd w:val="clear" w:color="auto" w:fill="D9D9D9" w:themeFill="background1" w:themeFillShade="D9"/>
            <w:vAlign w:val="center"/>
          </w:tcPr>
          <w:p w14:paraId="4F52A127" w14:textId="77777777" w:rsidR="00DA702B" w:rsidRPr="00DA702B" w:rsidRDefault="00DA702B" w:rsidP="00DA702B">
            <w:pPr>
              <w:jc w:val="center"/>
              <w:rPr>
                <w:sz w:val="20"/>
                <w:szCs w:val="20"/>
              </w:rPr>
            </w:pPr>
            <w:r w:rsidRPr="00DA702B">
              <w:rPr>
                <w:b/>
                <w:sz w:val="20"/>
                <w:szCs w:val="20"/>
              </w:rPr>
              <w:t>Unit ID No.</w:t>
            </w:r>
          </w:p>
        </w:tc>
        <w:tc>
          <w:tcPr>
            <w:tcW w:w="3599" w:type="dxa"/>
            <w:shd w:val="clear" w:color="auto" w:fill="D9D9D9" w:themeFill="background1" w:themeFillShade="D9"/>
            <w:vAlign w:val="center"/>
          </w:tcPr>
          <w:p w14:paraId="2FFD329B" w14:textId="77777777" w:rsidR="00DA702B" w:rsidRPr="00DA702B" w:rsidRDefault="00DA702B" w:rsidP="00DA702B">
            <w:pPr>
              <w:jc w:val="center"/>
              <w:rPr>
                <w:sz w:val="20"/>
                <w:szCs w:val="20"/>
              </w:rPr>
            </w:pPr>
            <w:r w:rsidRPr="00DA702B">
              <w:rPr>
                <w:b/>
                <w:sz w:val="20"/>
                <w:szCs w:val="20"/>
              </w:rPr>
              <w:t>SOP Index No.</w:t>
            </w:r>
          </w:p>
        </w:tc>
        <w:tc>
          <w:tcPr>
            <w:tcW w:w="3601" w:type="dxa"/>
            <w:shd w:val="clear" w:color="auto" w:fill="D9D9D9" w:themeFill="background1" w:themeFillShade="D9"/>
            <w:vAlign w:val="center"/>
          </w:tcPr>
          <w:p w14:paraId="1F8B2B31" w14:textId="77777777" w:rsidR="00DA702B" w:rsidRPr="00DA702B" w:rsidRDefault="00DA702B" w:rsidP="00DA702B">
            <w:pPr>
              <w:jc w:val="center"/>
              <w:rPr>
                <w:sz w:val="20"/>
                <w:szCs w:val="20"/>
              </w:rPr>
            </w:pPr>
            <w:r w:rsidRPr="00DA702B">
              <w:rPr>
                <w:b/>
                <w:sz w:val="20"/>
                <w:szCs w:val="20"/>
              </w:rPr>
              <w:t>Hazardous Waste</w:t>
            </w:r>
          </w:p>
        </w:tc>
        <w:tc>
          <w:tcPr>
            <w:tcW w:w="3601" w:type="dxa"/>
            <w:shd w:val="clear" w:color="auto" w:fill="D9D9D9" w:themeFill="background1" w:themeFillShade="D9"/>
            <w:vAlign w:val="center"/>
          </w:tcPr>
          <w:p w14:paraId="3904CA32" w14:textId="77777777" w:rsidR="00DA702B" w:rsidRPr="00DA702B" w:rsidRDefault="00DA702B" w:rsidP="00DA702B">
            <w:pPr>
              <w:jc w:val="center"/>
              <w:rPr>
                <w:sz w:val="20"/>
                <w:szCs w:val="20"/>
              </w:rPr>
            </w:pPr>
            <w:r w:rsidRPr="00DA702B">
              <w:rPr>
                <w:b/>
                <w:sz w:val="20"/>
                <w:szCs w:val="20"/>
              </w:rPr>
              <w:t>Monitor</w:t>
            </w:r>
          </w:p>
        </w:tc>
      </w:tr>
      <w:tr w:rsidR="00DA702B" w:rsidRPr="00DA702B" w14:paraId="3F98EEC2" w14:textId="77777777" w:rsidTr="00247007">
        <w:trPr>
          <w:cantSplit/>
          <w:trHeight w:val="346"/>
          <w:tblHeader/>
        </w:trPr>
        <w:tc>
          <w:tcPr>
            <w:tcW w:w="3599" w:type="dxa"/>
          </w:tcPr>
          <w:p w14:paraId="7B59DF0A" w14:textId="77777777" w:rsidR="00DA702B" w:rsidRPr="00DA702B" w:rsidRDefault="00DA702B" w:rsidP="00DA702B">
            <w:pPr>
              <w:rPr>
                <w:sz w:val="20"/>
                <w:szCs w:val="20"/>
              </w:rPr>
            </w:pPr>
          </w:p>
        </w:tc>
        <w:tc>
          <w:tcPr>
            <w:tcW w:w="3599" w:type="dxa"/>
          </w:tcPr>
          <w:p w14:paraId="41CE7D5E" w14:textId="77777777" w:rsidR="00DA702B" w:rsidRPr="00DA702B" w:rsidRDefault="00DA702B" w:rsidP="00DA702B">
            <w:pPr>
              <w:rPr>
                <w:sz w:val="20"/>
                <w:szCs w:val="20"/>
              </w:rPr>
            </w:pPr>
          </w:p>
        </w:tc>
        <w:tc>
          <w:tcPr>
            <w:tcW w:w="3601" w:type="dxa"/>
          </w:tcPr>
          <w:p w14:paraId="29AC4702" w14:textId="77777777" w:rsidR="00DA702B" w:rsidRPr="00DA702B" w:rsidRDefault="00DA702B" w:rsidP="00DA702B">
            <w:pPr>
              <w:rPr>
                <w:sz w:val="20"/>
                <w:szCs w:val="20"/>
              </w:rPr>
            </w:pPr>
          </w:p>
        </w:tc>
        <w:tc>
          <w:tcPr>
            <w:tcW w:w="3601" w:type="dxa"/>
          </w:tcPr>
          <w:p w14:paraId="512CD29F" w14:textId="77777777" w:rsidR="00DA702B" w:rsidRPr="00DA702B" w:rsidRDefault="00DA702B" w:rsidP="00DA702B">
            <w:pPr>
              <w:rPr>
                <w:sz w:val="20"/>
                <w:szCs w:val="20"/>
              </w:rPr>
            </w:pPr>
          </w:p>
        </w:tc>
      </w:tr>
      <w:tr w:rsidR="00DA702B" w:rsidRPr="00DA702B" w14:paraId="19576F9E" w14:textId="77777777" w:rsidTr="00247007">
        <w:trPr>
          <w:cantSplit/>
          <w:trHeight w:val="346"/>
          <w:tblHeader/>
        </w:trPr>
        <w:tc>
          <w:tcPr>
            <w:tcW w:w="3599" w:type="dxa"/>
          </w:tcPr>
          <w:p w14:paraId="690C6FE0" w14:textId="77777777" w:rsidR="00DA702B" w:rsidRPr="00DA702B" w:rsidRDefault="00DA702B" w:rsidP="00DA702B">
            <w:pPr>
              <w:rPr>
                <w:sz w:val="20"/>
                <w:szCs w:val="20"/>
              </w:rPr>
            </w:pPr>
          </w:p>
        </w:tc>
        <w:tc>
          <w:tcPr>
            <w:tcW w:w="3599" w:type="dxa"/>
          </w:tcPr>
          <w:p w14:paraId="1D2CD7B1" w14:textId="77777777" w:rsidR="00DA702B" w:rsidRPr="00DA702B" w:rsidRDefault="00DA702B" w:rsidP="00DA702B">
            <w:pPr>
              <w:rPr>
                <w:sz w:val="20"/>
                <w:szCs w:val="20"/>
              </w:rPr>
            </w:pPr>
          </w:p>
        </w:tc>
        <w:tc>
          <w:tcPr>
            <w:tcW w:w="3601" w:type="dxa"/>
          </w:tcPr>
          <w:p w14:paraId="5C5B69AE" w14:textId="77777777" w:rsidR="00DA702B" w:rsidRPr="00DA702B" w:rsidRDefault="00DA702B" w:rsidP="00DA702B">
            <w:pPr>
              <w:rPr>
                <w:sz w:val="20"/>
                <w:szCs w:val="20"/>
              </w:rPr>
            </w:pPr>
          </w:p>
        </w:tc>
        <w:tc>
          <w:tcPr>
            <w:tcW w:w="3601" w:type="dxa"/>
          </w:tcPr>
          <w:p w14:paraId="39F223E2" w14:textId="77777777" w:rsidR="00DA702B" w:rsidRPr="00DA702B" w:rsidRDefault="00DA702B" w:rsidP="00DA702B">
            <w:pPr>
              <w:rPr>
                <w:sz w:val="20"/>
                <w:szCs w:val="20"/>
              </w:rPr>
            </w:pPr>
          </w:p>
        </w:tc>
      </w:tr>
      <w:tr w:rsidR="00DA702B" w:rsidRPr="00DA702B" w14:paraId="2D2D0047" w14:textId="77777777" w:rsidTr="00247007">
        <w:trPr>
          <w:cantSplit/>
          <w:trHeight w:val="346"/>
          <w:tblHeader/>
        </w:trPr>
        <w:tc>
          <w:tcPr>
            <w:tcW w:w="3599" w:type="dxa"/>
          </w:tcPr>
          <w:p w14:paraId="4A61C40F" w14:textId="77777777" w:rsidR="00DA702B" w:rsidRPr="00DA702B" w:rsidRDefault="00DA702B" w:rsidP="00DA702B">
            <w:pPr>
              <w:rPr>
                <w:sz w:val="20"/>
                <w:szCs w:val="20"/>
              </w:rPr>
            </w:pPr>
          </w:p>
        </w:tc>
        <w:tc>
          <w:tcPr>
            <w:tcW w:w="3599" w:type="dxa"/>
          </w:tcPr>
          <w:p w14:paraId="23AB4E1D" w14:textId="77777777" w:rsidR="00DA702B" w:rsidRPr="00DA702B" w:rsidRDefault="00DA702B" w:rsidP="00DA702B">
            <w:pPr>
              <w:rPr>
                <w:sz w:val="20"/>
                <w:szCs w:val="20"/>
              </w:rPr>
            </w:pPr>
          </w:p>
        </w:tc>
        <w:tc>
          <w:tcPr>
            <w:tcW w:w="3601" w:type="dxa"/>
          </w:tcPr>
          <w:p w14:paraId="7DE08021" w14:textId="77777777" w:rsidR="00DA702B" w:rsidRPr="00DA702B" w:rsidRDefault="00DA702B" w:rsidP="00DA702B">
            <w:pPr>
              <w:rPr>
                <w:sz w:val="20"/>
                <w:szCs w:val="20"/>
              </w:rPr>
            </w:pPr>
          </w:p>
        </w:tc>
        <w:tc>
          <w:tcPr>
            <w:tcW w:w="3601" w:type="dxa"/>
          </w:tcPr>
          <w:p w14:paraId="28A06AC6" w14:textId="77777777" w:rsidR="00DA702B" w:rsidRPr="00DA702B" w:rsidRDefault="00DA702B" w:rsidP="00DA702B">
            <w:pPr>
              <w:rPr>
                <w:sz w:val="20"/>
                <w:szCs w:val="20"/>
              </w:rPr>
            </w:pPr>
          </w:p>
        </w:tc>
      </w:tr>
      <w:tr w:rsidR="00DA702B" w:rsidRPr="00DA702B" w14:paraId="46B4AFBD" w14:textId="77777777" w:rsidTr="00247007">
        <w:trPr>
          <w:cantSplit/>
          <w:trHeight w:val="346"/>
          <w:tblHeader/>
        </w:trPr>
        <w:tc>
          <w:tcPr>
            <w:tcW w:w="3599" w:type="dxa"/>
          </w:tcPr>
          <w:p w14:paraId="32706F2C" w14:textId="77777777" w:rsidR="00DA702B" w:rsidRPr="00DA702B" w:rsidRDefault="00DA702B" w:rsidP="00DA702B">
            <w:pPr>
              <w:rPr>
                <w:sz w:val="20"/>
                <w:szCs w:val="20"/>
              </w:rPr>
            </w:pPr>
          </w:p>
        </w:tc>
        <w:tc>
          <w:tcPr>
            <w:tcW w:w="3599" w:type="dxa"/>
          </w:tcPr>
          <w:p w14:paraId="1E65BA7C" w14:textId="77777777" w:rsidR="00DA702B" w:rsidRPr="00DA702B" w:rsidRDefault="00DA702B" w:rsidP="00DA702B">
            <w:pPr>
              <w:rPr>
                <w:sz w:val="20"/>
                <w:szCs w:val="20"/>
              </w:rPr>
            </w:pPr>
          </w:p>
        </w:tc>
        <w:tc>
          <w:tcPr>
            <w:tcW w:w="3601" w:type="dxa"/>
          </w:tcPr>
          <w:p w14:paraId="3FAFF62C" w14:textId="77777777" w:rsidR="00DA702B" w:rsidRPr="00DA702B" w:rsidRDefault="00DA702B" w:rsidP="00DA702B">
            <w:pPr>
              <w:rPr>
                <w:sz w:val="20"/>
                <w:szCs w:val="20"/>
              </w:rPr>
            </w:pPr>
          </w:p>
        </w:tc>
        <w:tc>
          <w:tcPr>
            <w:tcW w:w="3601" w:type="dxa"/>
          </w:tcPr>
          <w:p w14:paraId="5C83C8A1" w14:textId="77777777" w:rsidR="00DA702B" w:rsidRPr="00DA702B" w:rsidRDefault="00DA702B" w:rsidP="00DA702B">
            <w:pPr>
              <w:rPr>
                <w:sz w:val="20"/>
                <w:szCs w:val="20"/>
              </w:rPr>
            </w:pPr>
          </w:p>
        </w:tc>
      </w:tr>
      <w:tr w:rsidR="00DA702B" w:rsidRPr="00DA702B" w14:paraId="4264B506" w14:textId="77777777" w:rsidTr="00247007">
        <w:trPr>
          <w:cantSplit/>
          <w:trHeight w:val="346"/>
          <w:tblHeader/>
        </w:trPr>
        <w:tc>
          <w:tcPr>
            <w:tcW w:w="3599" w:type="dxa"/>
          </w:tcPr>
          <w:p w14:paraId="1CC6CB0A" w14:textId="77777777" w:rsidR="00DA702B" w:rsidRPr="00DA702B" w:rsidRDefault="00DA702B" w:rsidP="00DA702B">
            <w:pPr>
              <w:rPr>
                <w:sz w:val="20"/>
                <w:szCs w:val="20"/>
              </w:rPr>
            </w:pPr>
          </w:p>
        </w:tc>
        <w:tc>
          <w:tcPr>
            <w:tcW w:w="3599" w:type="dxa"/>
          </w:tcPr>
          <w:p w14:paraId="11680F42" w14:textId="77777777" w:rsidR="00DA702B" w:rsidRPr="00DA702B" w:rsidRDefault="00DA702B" w:rsidP="00DA702B">
            <w:pPr>
              <w:rPr>
                <w:sz w:val="20"/>
                <w:szCs w:val="20"/>
              </w:rPr>
            </w:pPr>
          </w:p>
        </w:tc>
        <w:tc>
          <w:tcPr>
            <w:tcW w:w="3601" w:type="dxa"/>
          </w:tcPr>
          <w:p w14:paraId="601E1B89" w14:textId="77777777" w:rsidR="00DA702B" w:rsidRPr="00DA702B" w:rsidRDefault="00DA702B" w:rsidP="00DA702B">
            <w:pPr>
              <w:rPr>
                <w:sz w:val="20"/>
                <w:szCs w:val="20"/>
              </w:rPr>
            </w:pPr>
          </w:p>
        </w:tc>
        <w:tc>
          <w:tcPr>
            <w:tcW w:w="3601" w:type="dxa"/>
          </w:tcPr>
          <w:p w14:paraId="7E133853" w14:textId="77777777" w:rsidR="00DA702B" w:rsidRPr="00DA702B" w:rsidRDefault="00DA702B" w:rsidP="00DA702B">
            <w:pPr>
              <w:rPr>
                <w:sz w:val="20"/>
                <w:szCs w:val="20"/>
              </w:rPr>
            </w:pPr>
          </w:p>
        </w:tc>
      </w:tr>
      <w:tr w:rsidR="00DA702B" w:rsidRPr="00DA702B" w14:paraId="303A8EA1" w14:textId="77777777" w:rsidTr="00247007">
        <w:trPr>
          <w:cantSplit/>
          <w:trHeight w:val="346"/>
          <w:tblHeader/>
        </w:trPr>
        <w:tc>
          <w:tcPr>
            <w:tcW w:w="3599" w:type="dxa"/>
          </w:tcPr>
          <w:p w14:paraId="2C817E2C" w14:textId="77777777" w:rsidR="00DA702B" w:rsidRPr="00DA702B" w:rsidRDefault="00DA702B" w:rsidP="00DA702B">
            <w:pPr>
              <w:rPr>
                <w:sz w:val="20"/>
                <w:szCs w:val="20"/>
              </w:rPr>
            </w:pPr>
          </w:p>
        </w:tc>
        <w:tc>
          <w:tcPr>
            <w:tcW w:w="3599" w:type="dxa"/>
          </w:tcPr>
          <w:p w14:paraId="7ED23366" w14:textId="77777777" w:rsidR="00DA702B" w:rsidRPr="00DA702B" w:rsidRDefault="00DA702B" w:rsidP="00DA702B">
            <w:pPr>
              <w:rPr>
                <w:sz w:val="20"/>
                <w:szCs w:val="20"/>
              </w:rPr>
            </w:pPr>
          </w:p>
        </w:tc>
        <w:tc>
          <w:tcPr>
            <w:tcW w:w="3601" w:type="dxa"/>
          </w:tcPr>
          <w:p w14:paraId="610AD2F4" w14:textId="77777777" w:rsidR="00DA702B" w:rsidRPr="00DA702B" w:rsidRDefault="00DA702B" w:rsidP="00DA702B">
            <w:pPr>
              <w:rPr>
                <w:sz w:val="20"/>
                <w:szCs w:val="20"/>
              </w:rPr>
            </w:pPr>
          </w:p>
        </w:tc>
        <w:tc>
          <w:tcPr>
            <w:tcW w:w="3601" w:type="dxa"/>
          </w:tcPr>
          <w:p w14:paraId="774BC111" w14:textId="77777777" w:rsidR="00DA702B" w:rsidRPr="00DA702B" w:rsidRDefault="00DA702B" w:rsidP="00DA702B">
            <w:pPr>
              <w:rPr>
                <w:sz w:val="20"/>
                <w:szCs w:val="20"/>
              </w:rPr>
            </w:pPr>
          </w:p>
        </w:tc>
      </w:tr>
      <w:tr w:rsidR="00DA702B" w:rsidRPr="00DA702B" w14:paraId="6FA540D0" w14:textId="77777777" w:rsidTr="00247007">
        <w:trPr>
          <w:cantSplit/>
          <w:trHeight w:val="346"/>
          <w:tblHeader/>
        </w:trPr>
        <w:tc>
          <w:tcPr>
            <w:tcW w:w="3599" w:type="dxa"/>
          </w:tcPr>
          <w:p w14:paraId="517E8E3B" w14:textId="77777777" w:rsidR="00DA702B" w:rsidRPr="00DA702B" w:rsidRDefault="00DA702B" w:rsidP="00DA702B">
            <w:pPr>
              <w:rPr>
                <w:sz w:val="20"/>
                <w:szCs w:val="20"/>
              </w:rPr>
            </w:pPr>
          </w:p>
        </w:tc>
        <w:tc>
          <w:tcPr>
            <w:tcW w:w="3599" w:type="dxa"/>
          </w:tcPr>
          <w:p w14:paraId="7F233BCE" w14:textId="77777777" w:rsidR="00DA702B" w:rsidRPr="00DA702B" w:rsidRDefault="00DA702B" w:rsidP="00DA702B">
            <w:pPr>
              <w:rPr>
                <w:sz w:val="20"/>
                <w:szCs w:val="20"/>
              </w:rPr>
            </w:pPr>
          </w:p>
        </w:tc>
        <w:tc>
          <w:tcPr>
            <w:tcW w:w="3601" w:type="dxa"/>
          </w:tcPr>
          <w:p w14:paraId="05BA4DE4" w14:textId="77777777" w:rsidR="00DA702B" w:rsidRPr="00DA702B" w:rsidRDefault="00DA702B" w:rsidP="00DA702B">
            <w:pPr>
              <w:rPr>
                <w:sz w:val="20"/>
                <w:szCs w:val="20"/>
              </w:rPr>
            </w:pPr>
          </w:p>
        </w:tc>
        <w:tc>
          <w:tcPr>
            <w:tcW w:w="3601" w:type="dxa"/>
          </w:tcPr>
          <w:p w14:paraId="574AE7A3" w14:textId="77777777" w:rsidR="00DA702B" w:rsidRPr="00DA702B" w:rsidRDefault="00DA702B" w:rsidP="00DA702B">
            <w:pPr>
              <w:rPr>
                <w:sz w:val="20"/>
                <w:szCs w:val="20"/>
              </w:rPr>
            </w:pPr>
          </w:p>
        </w:tc>
      </w:tr>
      <w:tr w:rsidR="00DA702B" w:rsidRPr="00DA702B" w14:paraId="5795207A" w14:textId="77777777" w:rsidTr="00247007">
        <w:trPr>
          <w:cantSplit/>
          <w:trHeight w:val="346"/>
          <w:tblHeader/>
        </w:trPr>
        <w:tc>
          <w:tcPr>
            <w:tcW w:w="3599" w:type="dxa"/>
          </w:tcPr>
          <w:p w14:paraId="31B45B48" w14:textId="77777777" w:rsidR="00DA702B" w:rsidRPr="00DA702B" w:rsidRDefault="00DA702B" w:rsidP="00DA702B">
            <w:pPr>
              <w:rPr>
                <w:sz w:val="20"/>
                <w:szCs w:val="20"/>
              </w:rPr>
            </w:pPr>
          </w:p>
        </w:tc>
        <w:tc>
          <w:tcPr>
            <w:tcW w:w="3599" w:type="dxa"/>
          </w:tcPr>
          <w:p w14:paraId="6F1EAC66" w14:textId="77777777" w:rsidR="00DA702B" w:rsidRPr="00DA702B" w:rsidRDefault="00DA702B" w:rsidP="00DA702B">
            <w:pPr>
              <w:rPr>
                <w:sz w:val="20"/>
                <w:szCs w:val="20"/>
              </w:rPr>
            </w:pPr>
          </w:p>
        </w:tc>
        <w:tc>
          <w:tcPr>
            <w:tcW w:w="3601" w:type="dxa"/>
          </w:tcPr>
          <w:p w14:paraId="06C8BDB1" w14:textId="77777777" w:rsidR="00DA702B" w:rsidRPr="00DA702B" w:rsidRDefault="00DA702B" w:rsidP="00DA702B">
            <w:pPr>
              <w:rPr>
                <w:sz w:val="20"/>
                <w:szCs w:val="20"/>
              </w:rPr>
            </w:pPr>
          </w:p>
        </w:tc>
        <w:tc>
          <w:tcPr>
            <w:tcW w:w="3601" w:type="dxa"/>
          </w:tcPr>
          <w:p w14:paraId="5E21F3DC" w14:textId="77777777" w:rsidR="00DA702B" w:rsidRPr="00DA702B" w:rsidRDefault="00DA702B" w:rsidP="00DA702B">
            <w:pPr>
              <w:rPr>
                <w:sz w:val="20"/>
                <w:szCs w:val="20"/>
              </w:rPr>
            </w:pPr>
          </w:p>
        </w:tc>
      </w:tr>
      <w:tr w:rsidR="00DA702B" w:rsidRPr="00DA702B" w14:paraId="694200E5" w14:textId="77777777" w:rsidTr="00247007">
        <w:trPr>
          <w:cantSplit/>
          <w:trHeight w:val="346"/>
          <w:tblHeader/>
        </w:trPr>
        <w:tc>
          <w:tcPr>
            <w:tcW w:w="3599" w:type="dxa"/>
          </w:tcPr>
          <w:p w14:paraId="0F0BD532" w14:textId="77777777" w:rsidR="00DA702B" w:rsidRPr="00DA702B" w:rsidRDefault="00DA702B" w:rsidP="00DA702B">
            <w:pPr>
              <w:rPr>
                <w:sz w:val="20"/>
                <w:szCs w:val="20"/>
              </w:rPr>
            </w:pPr>
          </w:p>
        </w:tc>
        <w:tc>
          <w:tcPr>
            <w:tcW w:w="3599" w:type="dxa"/>
          </w:tcPr>
          <w:p w14:paraId="53FE8FB7" w14:textId="77777777" w:rsidR="00DA702B" w:rsidRPr="00DA702B" w:rsidRDefault="00DA702B" w:rsidP="00DA702B">
            <w:pPr>
              <w:rPr>
                <w:sz w:val="20"/>
                <w:szCs w:val="20"/>
              </w:rPr>
            </w:pPr>
          </w:p>
        </w:tc>
        <w:tc>
          <w:tcPr>
            <w:tcW w:w="3601" w:type="dxa"/>
          </w:tcPr>
          <w:p w14:paraId="67DC544B" w14:textId="77777777" w:rsidR="00DA702B" w:rsidRPr="00DA702B" w:rsidRDefault="00DA702B" w:rsidP="00DA702B">
            <w:pPr>
              <w:rPr>
                <w:sz w:val="20"/>
                <w:szCs w:val="20"/>
              </w:rPr>
            </w:pPr>
          </w:p>
        </w:tc>
        <w:tc>
          <w:tcPr>
            <w:tcW w:w="3601" w:type="dxa"/>
          </w:tcPr>
          <w:p w14:paraId="0A9AA1E8" w14:textId="77777777" w:rsidR="00DA702B" w:rsidRPr="00DA702B" w:rsidRDefault="00DA702B" w:rsidP="00DA702B">
            <w:pPr>
              <w:rPr>
                <w:sz w:val="20"/>
                <w:szCs w:val="20"/>
              </w:rPr>
            </w:pPr>
          </w:p>
        </w:tc>
      </w:tr>
      <w:tr w:rsidR="00DA702B" w:rsidRPr="00DA702B" w14:paraId="2DBC5B73" w14:textId="77777777" w:rsidTr="00247007">
        <w:trPr>
          <w:cantSplit/>
          <w:trHeight w:val="346"/>
          <w:tblHeader/>
        </w:trPr>
        <w:tc>
          <w:tcPr>
            <w:tcW w:w="3599" w:type="dxa"/>
          </w:tcPr>
          <w:p w14:paraId="24293333" w14:textId="77777777" w:rsidR="00DA702B" w:rsidRPr="00DA702B" w:rsidRDefault="00DA702B" w:rsidP="00DA702B">
            <w:pPr>
              <w:rPr>
                <w:sz w:val="20"/>
                <w:szCs w:val="20"/>
              </w:rPr>
            </w:pPr>
          </w:p>
        </w:tc>
        <w:tc>
          <w:tcPr>
            <w:tcW w:w="3599" w:type="dxa"/>
          </w:tcPr>
          <w:p w14:paraId="5B9DF57B" w14:textId="77777777" w:rsidR="00DA702B" w:rsidRPr="00DA702B" w:rsidRDefault="00DA702B" w:rsidP="00DA702B">
            <w:pPr>
              <w:rPr>
                <w:sz w:val="20"/>
                <w:szCs w:val="20"/>
              </w:rPr>
            </w:pPr>
          </w:p>
        </w:tc>
        <w:tc>
          <w:tcPr>
            <w:tcW w:w="3601" w:type="dxa"/>
          </w:tcPr>
          <w:p w14:paraId="55DF543D" w14:textId="77777777" w:rsidR="00DA702B" w:rsidRPr="00DA702B" w:rsidRDefault="00DA702B" w:rsidP="00DA702B">
            <w:pPr>
              <w:rPr>
                <w:sz w:val="20"/>
                <w:szCs w:val="20"/>
              </w:rPr>
            </w:pPr>
          </w:p>
        </w:tc>
        <w:tc>
          <w:tcPr>
            <w:tcW w:w="3601" w:type="dxa"/>
          </w:tcPr>
          <w:p w14:paraId="73AF78DB" w14:textId="77777777" w:rsidR="00DA702B" w:rsidRPr="00DA702B" w:rsidRDefault="00DA702B" w:rsidP="00DA702B">
            <w:pPr>
              <w:rPr>
                <w:sz w:val="20"/>
                <w:szCs w:val="20"/>
              </w:rPr>
            </w:pPr>
          </w:p>
        </w:tc>
      </w:tr>
    </w:tbl>
    <w:p w14:paraId="49CC8CDD" w14:textId="77777777" w:rsidR="00DA702B" w:rsidRPr="00DA702B" w:rsidRDefault="00DA702B" w:rsidP="00DA702B">
      <w:r w:rsidRPr="00DA702B">
        <w:br w:type="page"/>
      </w:r>
    </w:p>
    <w:p w14:paraId="4744CDAE" w14:textId="77777777" w:rsidR="00DA702B" w:rsidRPr="00DA702B" w:rsidRDefault="00DA702B" w:rsidP="00A86140">
      <w:pPr>
        <w:widowControl w:val="0"/>
        <w:jc w:val="center"/>
        <w:rPr>
          <w:rFonts w:eastAsiaTheme="majorEastAsia"/>
          <w:b/>
          <w:bCs/>
        </w:rPr>
      </w:pPr>
      <w:r w:rsidRPr="00DA702B">
        <w:rPr>
          <w:rFonts w:eastAsiaTheme="majorEastAsia"/>
          <w:b/>
          <w:bCs/>
        </w:rPr>
        <w:lastRenderedPageBreak/>
        <w:t>Boiler/Steam Generator/Steam Generating Unit Attributes</w:t>
      </w:r>
    </w:p>
    <w:p w14:paraId="35936C6B" w14:textId="77777777" w:rsidR="00DA702B" w:rsidRPr="00DA702B" w:rsidRDefault="00DA702B" w:rsidP="00A86140">
      <w:pPr>
        <w:widowControl w:val="0"/>
        <w:jc w:val="center"/>
        <w:rPr>
          <w:rFonts w:eastAsiaTheme="majorEastAsia"/>
          <w:b/>
          <w:bCs/>
        </w:rPr>
      </w:pPr>
      <w:r w:rsidRPr="00DA702B">
        <w:rPr>
          <w:rFonts w:eastAsiaTheme="majorEastAsia"/>
          <w:b/>
          <w:bCs/>
        </w:rPr>
        <w:t>Form OP-UA6 (Page 27)</w:t>
      </w:r>
    </w:p>
    <w:p w14:paraId="73B32766" w14:textId="77777777" w:rsidR="00DA702B" w:rsidRPr="00DA702B" w:rsidRDefault="00DA702B" w:rsidP="00A86140">
      <w:pPr>
        <w:widowControl w:val="0"/>
        <w:jc w:val="center"/>
        <w:rPr>
          <w:rFonts w:eastAsiaTheme="majorEastAsia"/>
          <w:b/>
          <w:bCs/>
        </w:rPr>
      </w:pPr>
      <w:r w:rsidRPr="00DA702B">
        <w:rPr>
          <w:rFonts w:eastAsiaTheme="majorEastAsia"/>
          <w:b/>
          <w:bCs/>
        </w:rPr>
        <w:t>Federal Operating Permit Program</w:t>
      </w:r>
    </w:p>
    <w:p w14:paraId="3AFB6ECA" w14:textId="77777777" w:rsidR="00DA702B" w:rsidRPr="00DA702B" w:rsidRDefault="00DA702B" w:rsidP="00A86140">
      <w:pPr>
        <w:widowControl w:val="0"/>
        <w:jc w:val="center"/>
        <w:rPr>
          <w:rFonts w:eastAsiaTheme="majorEastAsia"/>
          <w:b/>
          <w:bCs/>
        </w:rPr>
      </w:pPr>
      <w:bookmarkStart w:id="189" w:name="TBL_12"/>
      <w:r w:rsidRPr="00DA702B">
        <w:rPr>
          <w:rFonts w:eastAsiaTheme="majorEastAsia"/>
          <w:b/>
          <w:bCs/>
        </w:rPr>
        <w:t>Table 12</w:t>
      </w:r>
      <w:bookmarkEnd w:id="189"/>
      <w:r w:rsidRPr="00DA702B">
        <w:rPr>
          <w:rFonts w:eastAsiaTheme="majorEastAsia"/>
          <w:b/>
          <w:bCs/>
        </w:rPr>
        <w:t>:  Title 30 Texas Administrative Code Chapter 111 (TAC Chapter 111)</w:t>
      </w:r>
    </w:p>
    <w:p w14:paraId="5AD6033D" w14:textId="77777777" w:rsidR="00DA702B" w:rsidRPr="00DA702B" w:rsidRDefault="00DA702B" w:rsidP="00A86140">
      <w:pPr>
        <w:widowControl w:val="0"/>
        <w:jc w:val="center"/>
        <w:rPr>
          <w:rFonts w:eastAsiaTheme="majorEastAsia"/>
          <w:b/>
          <w:bCs/>
        </w:rPr>
      </w:pPr>
      <w:r w:rsidRPr="00DA702B">
        <w:rPr>
          <w:rFonts w:eastAsiaTheme="majorEastAsia"/>
          <w:b/>
          <w:bCs/>
        </w:rPr>
        <w:t>Subchapter A: Division 5:  Emission Limits on Nonagricultural Processes</w:t>
      </w:r>
    </w:p>
    <w:p w14:paraId="5F471C6A" w14:textId="77777777" w:rsidR="00DA702B" w:rsidRPr="00DA702B" w:rsidRDefault="00DA702B" w:rsidP="00A86140">
      <w:pPr>
        <w:widowControl w:val="0"/>
        <w:jc w:val="center"/>
        <w:rPr>
          <w:b/>
          <w:bCs/>
        </w:rPr>
      </w:pPr>
      <w:r w:rsidRPr="00DA702B">
        <w:rPr>
          <w:b/>
          <w:bCs/>
        </w:rPr>
        <w:t>Texas Commission on Environmental Quality</w:t>
      </w:r>
    </w:p>
    <w:p w14:paraId="461A05DE"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2:  Title 30 Texas Administrative Code Chapter 111 (TAC Chapter 111)&#10;Subchapter A: Division 5:  Emission Limits on Nonagricultural Processes&#10;"/>
      </w:tblPr>
      <w:tblGrid>
        <w:gridCol w:w="4800"/>
        <w:gridCol w:w="4800"/>
        <w:gridCol w:w="4800"/>
      </w:tblGrid>
      <w:tr w:rsidR="00DA702B" w:rsidRPr="00DA702B" w14:paraId="0B25259E" w14:textId="77777777" w:rsidTr="00247007">
        <w:trPr>
          <w:cantSplit/>
          <w:tblHeader/>
        </w:trPr>
        <w:tc>
          <w:tcPr>
            <w:tcW w:w="4800" w:type="dxa"/>
            <w:shd w:val="clear" w:color="auto" w:fill="D9D9D9" w:themeFill="background1" w:themeFillShade="D9"/>
          </w:tcPr>
          <w:p w14:paraId="6F5FFD0C"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07BA8AC"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3302BD4E"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35B1EBA6" w14:textId="77777777" w:rsidTr="00247007">
        <w:trPr>
          <w:cantSplit/>
          <w:tblHeader/>
        </w:trPr>
        <w:tc>
          <w:tcPr>
            <w:tcW w:w="4800" w:type="dxa"/>
          </w:tcPr>
          <w:p w14:paraId="2B20CE6E" w14:textId="77777777" w:rsidR="00DA702B" w:rsidRPr="00DA702B" w:rsidRDefault="00DA702B" w:rsidP="00DA702B">
            <w:pPr>
              <w:rPr>
                <w:rFonts w:asciiTheme="majorHAnsi" w:hAnsiTheme="majorHAnsi" w:cstheme="majorHAnsi"/>
              </w:rPr>
            </w:pPr>
          </w:p>
        </w:tc>
        <w:tc>
          <w:tcPr>
            <w:tcW w:w="4800" w:type="dxa"/>
          </w:tcPr>
          <w:p w14:paraId="249C15FF" w14:textId="77777777" w:rsidR="00DA702B" w:rsidRPr="00DA702B" w:rsidRDefault="00DA702B" w:rsidP="00DA702B">
            <w:pPr>
              <w:rPr>
                <w:rFonts w:asciiTheme="majorHAnsi" w:hAnsiTheme="majorHAnsi" w:cstheme="majorHAnsi"/>
              </w:rPr>
            </w:pPr>
          </w:p>
        </w:tc>
        <w:tc>
          <w:tcPr>
            <w:tcW w:w="4800" w:type="dxa"/>
          </w:tcPr>
          <w:p w14:paraId="1304AEC8" w14:textId="77777777" w:rsidR="00DA702B" w:rsidRPr="00DA702B" w:rsidRDefault="00DA702B" w:rsidP="00DA702B">
            <w:pPr>
              <w:rPr>
                <w:rFonts w:asciiTheme="majorHAnsi" w:hAnsiTheme="majorHAnsi" w:cstheme="majorHAnsi"/>
              </w:rPr>
            </w:pPr>
          </w:p>
        </w:tc>
      </w:tr>
    </w:tbl>
    <w:p w14:paraId="05AA139A"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2:  Title 30 Texas Administrative Code Chapter 111 (TAC Chapter 111)&#10;Subchapter A: Division 5:  Emission Limits on Nonagricultural Processes&#10;"/>
      </w:tblPr>
      <w:tblGrid>
        <w:gridCol w:w="4800"/>
        <w:gridCol w:w="4800"/>
        <w:gridCol w:w="4800"/>
      </w:tblGrid>
      <w:tr w:rsidR="00DA702B" w:rsidRPr="00DA702B" w14:paraId="74F277BF" w14:textId="77777777" w:rsidTr="00247007">
        <w:trPr>
          <w:cantSplit/>
          <w:trHeight w:val="346"/>
          <w:tblHeader/>
        </w:trPr>
        <w:tc>
          <w:tcPr>
            <w:tcW w:w="4800" w:type="dxa"/>
            <w:shd w:val="clear" w:color="auto" w:fill="D9D9D9" w:themeFill="background1" w:themeFillShade="D9"/>
            <w:vAlign w:val="center"/>
          </w:tcPr>
          <w:p w14:paraId="68BEBBAE" w14:textId="77777777" w:rsidR="00DA702B" w:rsidRPr="00DA702B" w:rsidRDefault="00DA702B" w:rsidP="00DA702B">
            <w:pPr>
              <w:jc w:val="center"/>
              <w:rPr>
                <w:sz w:val="20"/>
                <w:szCs w:val="20"/>
              </w:rPr>
            </w:pPr>
            <w:r w:rsidRPr="00DA702B">
              <w:rPr>
                <w:b/>
                <w:sz w:val="20"/>
                <w:szCs w:val="20"/>
              </w:rPr>
              <w:t>Unit ID No.</w:t>
            </w:r>
          </w:p>
        </w:tc>
        <w:tc>
          <w:tcPr>
            <w:tcW w:w="4800" w:type="dxa"/>
            <w:shd w:val="clear" w:color="auto" w:fill="D9D9D9" w:themeFill="background1" w:themeFillShade="D9"/>
            <w:vAlign w:val="center"/>
          </w:tcPr>
          <w:p w14:paraId="78330003" w14:textId="77777777" w:rsidR="00DA702B" w:rsidRPr="00DA702B" w:rsidRDefault="00DA702B" w:rsidP="00DA702B">
            <w:pPr>
              <w:jc w:val="center"/>
              <w:rPr>
                <w:sz w:val="20"/>
                <w:szCs w:val="20"/>
              </w:rPr>
            </w:pPr>
            <w:r w:rsidRPr="00DA702B">
              <w:rPr>
                <w:b/>
                <w:sz w:val="20"/>
                <w:szCs w:val="20"/>
              </w:rPr>
              <w:t>SOP Index No.</w:t>
            </w:r>
          </w:p>
        </w:tc>
        <w:tc>
          <w:tcPr>
            <w:tcW w:w="4800" w:type="dxa"/>
            <w:shd w:val="clear" w:color="auto" w:fill="D9D9D9" w:themeFill="background1" w:themeFillShade="D9"/>
            <w:vAlign w:val="center"/>
          </w:tcPr>
          <w:p w14:paraId="57947251" w14:textId="77777777" w:rsidR="00DA702B" w:rsidRPr="00DA702B" w:rsidRDefault="00DA702B" w:rsidP="00DA702B">
            <w:pPr>
              <w:jc w:val="center"/>
              <w:rPr>
                <w:sz w:val="20"/>
                <w:szCs w:val="20"/>
              </w:rPr>
            </w:pPr>
            <w:r w:rsidRPr="00DA702B">
              <w:rPr>
                <w:b/>
                <w:sz w:val="20"/>
                <w:szCs w:val="20"/>
              </w:rPr>
              <w:t>Source Type</w:t>
            </w:r>
          </w:p>
        </w:tc>
      </w:tr>
      <w:tr w:rsidR="00DA702B" w:rsidRPr="00DA702B" w14:paraId="1B0CE22D" w14:textId="77777777" w:rsidTr="00247007">
        <w:trPr>
          <w:cantSplit/>
          <w:trHeight w:val="346"/>
          <w:tblHeader/>
        </w:trPr>
        <w:tc>
          <w:tcPr>
            <w:tcW w:w="4800" w:type="dxa"/>
          </w:tcPr>
          <w:p w14:paraId="14E8D0ED" w14:textId="77777777" w:rsidR="00DA702B" w:rsidRPr="00DA702B" w:rsidRDefault="00DA702B" w:rsidP="00DA702B">
            <w:pPr>
              <w:rPr>
                <w:sz w:val="20"/>
                <w:szCs w:val="20"/>
              </w:rPr>
            </w:pPr>
          </w:p>
        </w:tc>
        <w:tc>
          <w:tcPr>
            <w:tcW w:w="4800" w:type="dxa"/>
          </w:tcPr>
          <w:p w14:paraId="42A3D55C" w14:textId="77777777" w:rsidR="00DA702B" w:rsidRPr="00DA702B" w:rsidRDefault="00DA702B" w:rsidP="00DA702B">
            <w:pPr>
              <w:rPr>
                <w:sz w:val="20"/>
                <w:szCs w:val="20"/>
              </w:rPr>
            </w:pPr>
          </w:p>
        </w:tc>
        <w:tc>
          <w:tcPr>
            <w:tcW w:w="4800" w:type="dxa"/>
          </w:tcPr>
          <w:p w14:paraId="223D0C48" w14:textId="77777777" w:rsidR="00DA702B" w:rsidRPr="00DA702B" w:rsidRDefault="00DA702B" w:rsidP="00DA702B">
            <w:pPr>
              <w:rPr>
                <w:sz w:val="20"/>
                <w:szCs w:val="20"/>
              </w:rPr>
            </w:pPr>
          </w:p>
        </w:tc>
      </w:tr>
      <w:tr w:rsidR="00DA702B" w:rsidRPr="00DA702B" w14:paraId="0A421206" w14:textId="77777777" w:rsidTr="00247007">
        <w:trPr>
          <w:cantSplit/>
          <w:trHeight w:val="346"/>
          <w:tblHeader/>
        </w:trPr>
        <w:tc>
          <w:tcPr>
            <w:tcW w:w="4800" w:type="dxa"/>
          </w:tcPr>
          <w:p w14:paraId="584D9EC7" w14:textId="77777777" w:rsidR="00DA702B" w:rsidRPr="00DA702B" w:rsidRDefault="00DA702B" w:rsidP="00DA702B">
            <w:pPr>
              <w:rPr>
                <w:sz w:val="20"/>
                <w:szCs w:val="20"/>
              </w:rPr>
            </w:pPr>
          </w:p>
        </w:tc>
        <w:tc>
          <w:tcPr>
            <w:tcW w:w="4800" w:type="dxa"/>
          </w:tcPr>
          <w:p w14:paraId="34D12E9B" w14:textId="77777777" w:rsidR="00DA702B" w:rsidRPr="00DA702B" w:rsidRDefault="00DA702B" w:rsidP="00DA702B">
            <w:pPr>
              <w:rPr>
                <w:sz w:val="20"/>
                <w:szCs w:val="20"/>
              </w:rPr>
            </w:pPr>
          </w:p>
        </w:tc>
        <w:tc>
          <w:tcPr>
            <w:tcW w:w="4800" w:type="dxa"/>
          </w:tcPr>
          <w:p w14:paraId="57F5C2E1" w14:textId="77777777" w:rsidR="00DA702B" w:rsidRPr="00DA702B" w:rsidRDefault="00DA702B" w:rsidP="00DA702B">
            <w:pPr>
              <w:rPr>
                <w:sz w:val="20"/>
                <w:szCs w:val="20"/>
              </w:rPr>
            </w:pPr>
          </w:p>
        </w:tc>
      </w:tr>
      <w:tr w:rsidR="00DA702B" w:rsidRPr="00DA702B" w14:paraId="6970A842" w14:textId="77777777" w:rsidTr="00247007">
        <w:trPr>
          <w:cantSplit/>
          <w:trHeight w:val="346"/>
          <w:tblHeader/>
        </w:trPr>
        <w:tc>
          <w:tcPr>
            <w:tcW w:w="4800" w:type="dxa"/>
          </w:tcPr>
          <w:p w14:paraId="23BA3351" w14:textId="77777777" w:rsidR="00DA702B" w:rsidRPr="00DA702B" w:rsidRDefault="00DA702B" w:rsidP="00DA702B">
            <w:pPr>
              <w:rPr>
                <w:sz w:val="20"/>
                <w:szCs w:val="20"/>
              </w:rPr>
            </w:pPr>
          </w:p>
        </w:tc>
        <w:tc>
          <w:tcPr>
            <w:tcW w:w="4800" w:type="dxa"/>
          </w:tcPr>
          <w:p w14:paraId="394F7AAD" w14:textId="77777777" w:rsidR="00DA702B" w:rsidRPr="00DA702B" w:rsidRDefault="00DA702B" w:rsidP="00DA702B">
            <w:pPr>
              <w:rPr>
                <w:sz w:val="20"/>
                <w:szCs w:val="20"/>
              </w:rPr>
            </w:pPr>
          </w:p>
        </w:tc>
        <w:tc>
          <w:tcPr>
            <w:tcW w:w="4800" w:type="dxa"/>
          </w:tcPr>
          <w:p w14:paraId="392206EE" w14:textId="77777777" w:rsidR="00DA702B" w:rsidRPr="00DA702B" w:rsidRDefault="00DA702B" w:rsidP="00DA702B">
            <w:pPr>
              <w:rPr>
                <w:sz w:val="20"/>
                <w:szCs w:val="20"/>
              </w:rPr>
            </w:pPr>
          </w:p>
        </w:tc>
      </w:tr>
      <w:tr w:rsidR="00DA702B" w:rsidRPr="00DA702B" w14:paraId="3D021F1E" w14:textId="77777777" w:rsidTr="00247007">
        <w:trPr>
          <w:cantSplit/>
          <w:trHeight w:val="346"/>
          <w:tblHeader/>
        </w:trPr>
        <w:tc>
          <w:tcPr>
            <w:tcW w:w="4800" w:type="dxa"/>
          </w:tcPr>
          <w:p w14:paraId="21F3D6FA" w14:textId="77777777" w:rsidR="00DA702B" w:rsidRPr="00DA702B" w:rsidRDefault="00DA702B" w:rsidP="00DA702B">
            <w:pPr>
              <w:rPr>
                <w:sz w:val="20"/>
                <w:szCs w:val="20"/>
              </w:rPr>
            </w:pPr>
          </w:p>
        </w:tc>
        <w:tc>
          <w:tcPr>
            <w:tcW w:w="4800" w:type="dxa"/>
          </w:tcPr>
          <w:p w14:paraId="228AF6FC" w14:textId="77777777" w:rsidR="00DA702B" w:rsidRPr="00DA702B" w:rsidRDefault="00DA702B" w:rsidP="00DA702B">
            <w:pPr>
              <w:rPr>
                <w:sz w:val="20"/>
                <w:szCs w:val="20"/>
              </w:rPr>
            </w:pPr>
          </w:p>
        </w:tc>
        <w:tc>
          <w:tcPr>
            <w:tcW w:w="4800" w:type="dxa"/>
          </w:tcPr>
          <w:p w14:paraId="4831E3EF" w14:textId="77777777" w:rsidR="00DA702B" w:rsidRPr="00DA702B" w:rsidRDefault="00DA702B" w:rsidP="00DA702B">
            <w:pPr>
              <w:rPr>
                <w:sz w:val="20"/>
                <w:szCs w:val="20"/>
              </w:rPr>
            </w:pPr>
          </w:p>
        </w:tc>
      </w:tr>
      <w:tr w:rsidR="00DA702B" w:rsidRPr="00DA702B" w14:paraId="638095F0" w14:textId="77777777" w:rsidTr="00247007">
        <w:trPr>
          <w:cantSplit/>
          <w:trHeight w:val="346"/>
          <w:tblHeader/>
        </w:trPr>
        <w:tc>
          <w:tcPr>
            <w:tcW w:w="4800" w:type="dxa"/>
          </w:tcPr>
          <w:p w14:paraId="15708CD4" w14:textId="77777777" w:rsidR="00DA702B" w:rsidRPr="00DA702B" w:rsidRDefault="00DA702B" w:rsidP="00DA702B">
            <w:pPr>
              <w:rPr>
                <w:sz w:val="20"/>
                <w:szCs w:val="20"/>
              </w:rPr>
            </w:pPr>
          </w:p>
        </w:tc>
        <w:tc>
          <w:tcPr>
            <w:tcW w:w="4800" w:type="dxa"/>
          </w:tcPr>
          <w:p w14:paraId="19D76D12" w14:textId="77777777" w:rsidR="00DA702B" w:rsidRPr="00DA702B" w:rsidRDefault="00DA702B" w:rsidP="00DA702B">
            <w:pPr>
              <w:rPr>
                <w:sz w:val="20"/>
                <w:szCs w:val="20"/>
              </w:rPr>
            </w:pPr>
          </w:p>
        </w:tc>
        <w:tc>
          <w:tcPr>
            <w:tcW w:w="4800" w:type="dxa"/>
          </w:tcPr>
          <w:p w14:paraId="78800D06" w14:textId="77777777" w:rsidR="00DA702B" w:rsidRPr="00DA702B" w:rsidRDefault="00DA702B" w:rsidP="00DA702B">
            <w:pPr>
              <w:rPr>
                <w:sz w:val="20"/>
                <w:szCs w:val="20"/>
              </w:rPr>
            </w:pPr>
          </w:p>
        </w:tc>
      </w:tr>
      <w:tr w:rsidR="00DA702B" w:rsidRPr="00DA702B" w14:paraId="29D92B7E" w14:textId="77777777" w:rsidTr="00247007">
        <w:trPr>
          <w:cantSplit/>
          <w:trHeight w:val="346"/>
          <w:tblHeader/>
        </w:trPr>
        <w:tc>
          <w:tcPr>
            <w:tcW w:w="4800" w:type="dxa"/>
          </w:tcPr>
          <w:p w14:paraId="570514A4" w14:textId="77777777" w:rsidR="00DA702B" w:rsidRPr="00DA702B" w:rsidRDefault="00DA702B" w:rsidP="00DA702B">
            <w:pPr>
              <w:rPr>
                <w:sz w:val="20"/>
                <w:szCs w:val="20"/>
              </w:rPr>
            </w:pPr>
          </w:p>
        </w:tc>
        <w:tc>
          <w:tcPr>
            <w:tcW w:w="4800" w:type="dxa"/>
          </w:tcPr>
          <w:p w14:paraId="78F5CC77" w14:textId="77777777" w:rsidR="00DA702B" w:rsidRPr="00DA702B" w:rsidRDefault="00DA702B" w:rsidP="00DA702B">
            <w:pPr>
              <w:rPr>
                <w:sz w:val="20"/>
                <w:szCs w:val="20"/>
              </w:rPr>
            </w:pPr>
          </w:p>
        </w:tc>
        <w:tc>
          <w:tcPr>
            <w:tcW w:w="4800" w:type="dxa"/>
          </w:tcPr>
          <w:p w14:paraId="08B1D8DC" w14:textId="77777777" w:rsidR="00DA702B" w:rsidRPr="00DA702B" w:rsidRDefault="00DA702B" w:rsidP="00DA702B">
            <w:pPr>
              <w:rPr>
                <w:sz w:val="20"/>
                <w:szCs w:val="20"/>
              </w:rPr>
            </w:pPr>
          </w:p>
        </w:tc>
      </w:tr>
      <w:tr w:rsidR="00DA702B" w:rsidRPr="00DA702B" w14:paraId="23731AD3" w14:textId="77777777" w:rsidTr="00247007">
        <w:trPr>
          <w:cantSplit/>
          <w:trHeight w:val="346"/>
          <w:tblHeader/>
        </w:trPr>
        <w:tc>
          <w:tcPr>
            <w:tcW w:w="4800" w:type="dxa"/>
          </w:tcPr>
          <w:p w14:paraId="0B6643C3" w14:textId="77777777" w:rsidR="00DA702B" w:rsidRPr="00DA702B" w:rsidRDefault="00DA702B" w:rsidP="00DA702B">
            <w:pPr>
              <w:rPr>
                <w:sz w:val="20"/>
                <w:szCs w:val="20"/>
              </w:rPr>
            </w:pPr>
          </w:p>
        </w:tc>
        <w:tc>
          <w:tcPr>
            <w:tcW w:w="4800" w:type="dxa"/>
          </w:tcPr>
          <w:p w14:paraId="6D425226" w14:textId="77777777" w:rsidR="00DA702B" w:rsidRPr="00DA702B" w:rsidRDefault="00DA702B" w:rsidP="00DA702B">
            <w:pPr>
              <w:rPr>
                <w:sz w:val="20"/>
                <w:szCs w:val="20"/>
              </w:rPr>
            </w:pPr>
          </w:p>
        </w:tc>
        <w:tc>
          <w:tcPr>
            <w:tcW w:w="4800" w:type="dxa"/>
          </w:tcPr>
          <w:p w14:paraId="2456727E" w14:textId="77777777" w:rsidR="00DA702B" w:rsidRPr="00DA702B" w:rsidRDefault="00DA702B" w:rsidP="00DA702B">
            <w:pPr>
              <w:rPr>
                <w:sz w:val="20"/>
                <w:szCs w:val="20"/>
              </w:rPr>
            </w:pPr>
          </w:p>
        </w:tc>
      </w:tr>
      <w:tr w:rsidR="00DA702B" w:rsidRPr="00DA702B" w14:paraId="651F09BC" w14:textId="77777777" w:rsidTr="00247007">
        <w:trPr>
          <w:cantSplit/>
          <w:trHeight w:val="346"/>
          <w:tblHeader/>
        </w:trPr>
        <w:tc>
          <w:tcPr>
            <w:tcW w:w="4800" w:type="dxa"/>
          </w:tcPr>
          <w:p w14:paraId="11D8DC55" w14:textId="77777777" w:rsidR="00DA702B" w:rsidRPr="00DA702B" w:rsidRDefault="00DA702B" w:rsidP="00DA702B">
            <w:pPr>
              <w:rPr>
                <w:sz w:val="20"/>
                <w:szCs w:val="20"/>
              </w:rPr>
            </w:pPr>
          </w:p>
        </w:tc>
        <w:tc>
          <w:tcPr>
            <w:tcW w:w="4800" w:type="dxa"/>
          </w:tcPr>
          <w:p w14:paraId="47896DE3" w14:textId="77777777" w:rsidR="00DA702B" w:rsidRPr="00DA702B" w:rsidRDefault="00DA702B" w:rsidP="00DA702B">
            <w:pPr>
              <w:rPr>
                <w:sz w:val="20"/>
                <w:szCs w:val="20"/>
              </w:rPr>
            </w:pPr>
          </w:p>
        </w:tc>
        <w:tc>
          <w:tcPr>
            <w:tcW w:w="4800" w:type="dxa"/>
          </w:tcPr>
          <w:p w14:paraId="7E498277" w14:textId="77777777" w:rsidR="00DA702B" w:rsidRPr="00DA702B" w:rsidRDefault="00DA702B" w:rsidP="00DA702B">
            <w:pPr>
              <w:rPr>
                <w:sz w:val="20"/>
                <w:szCs w:val="20"/>
              </w:rPr>
            </w:pPr>
          </w:p>
        </w:tc>
      </w:tr>
      <w:tr w:rsidR="00DA702B" w:rsidRPr="00DA702B" w14:paraId="46D7B138" w14:textId="77777777" w:rsidTr="00247007">
        <w:trPr>
          <w:cantSplit/>
          <w:trHeight w:val="346"/>
          <w:tblHeader/>
        </w:trPr>
        <w:tc>
          <w:tcPr>
            <w:tcW w:w="4800" w:type="dxa"/>
          </w:tcPr>
          <w:p w14:paraId="72C570E6" w14:textId="77777777" w:rsidR="00DA702B" w:rsidRPr="00DA702B" w:rsidRDefault="00DA702B" w:rsidP="00DA702B">
            <w:pPr>
              <w:rPr>
                <w:sz w:val="20"/>
                <w:szCs w:val="20"/>
              </w:rPr>
            </w:pPr>
          </w:p>
        </w:tc>
        <w:tc>
          <w:tcPr>
            <w:tcW w:w="4800" w:type="dxa"/>
          </w:tcPr>
          <w:p w14:paraId="1B890E36" w14:textId="77777777" w:rsidR="00DA702B" w:rsidRPr="00DA702B" w:rsidRDefault="00DA702B" w:rsidP="00DA702B">
            <w:pPr>
              <w:rPr>
                <w:sz w:val="20"/>
                <w:szCs w:val="20"/>
              </w:rPr>
            </w:pPr>
          </w:p>
        </w:tc>
        <w:tc>
          <w:tcPr>
            <w:tcW w:w="4800" w:type="dxa"/>
          </w:tcPr>
          <w:p w14:paraId="73F2DB65" w14:textId="77777777" w:rsidR="00DA702B" w:rsidRPr="00DA702B" w:rsidRDefault="00DA702B" w:rsidP="00DA702B">
            <w:pPr>
              <w:rPr>
                <w:sz w:val="20"/>
                <w:szCs w:val="20"/>
              </w:rPr>
            </w:pPr>
          </w:p>
        </w:tc>
      </w:tr>
      <w:tr w:rsidR="00DA702B" w:rsidRPr="00DA702B" w14:paraId="3110BBBE" w14:textId="77777777" w:rsidTr="00247007">
        <w:trPr>
          <w:cantSplit/>
          <w:trHeight w:val="346"/>
          <w:tblHeader/>
        </w:trPr>
        <w:tc>
          <w:tcPr>
            <w:tcW w:w="4800" w:type="dxa"/>
          </w:tcPr>
          <w:p w14:paraId="5BB6912D" w14:textId="77777777" w:rsidR="00DA702B" w:rsidRPr="00DA702B" w:rsidRDefault="00DA702B" w:rsidP="00DA702B">
            <w:pPr>
              <w:rPr>
                <w:sz w:val="20"/>
                <w:szCs w:val="20"/>
              </w:rPr>
            </w:pPr>
          </w:p>
        </w:tc>
        <w:tc>
          <w:tcPr>
            <w:tcW w:w="4800" w:type="dxa"/>
          </w:tcPr>
          <w:p w14:paraId="05EC5167" w14:textId="77777777" w:rsidR="00DA702B" w:rsidRPr="00DA702B" w:rsidRDefault="00DA702B" w:rsidP="00DA702B">
            <w:pPr>
              <w:rPr>
                <w:sz w:val="20"/>
                <w:szCs w:val="20"/>
              </w:rPr>
            </w:pPr>
          </w:p>
        </w:tc>
        <w:tc>
          <w:tcPr>
            <w:tcW w:w="4800" w:type="dxa"/>
          </w:tcPr>
          <w:p w14:paraId="55FB9F07" w14:textId="77777777" w:rsidR="00DA702B" w:rsidRPr="00DA702B" w:rsidRDefault="00DA702B" w:rsidP="00DA702B">
            <w:pPr>
              <w:rPr>
                <w:sz w:val="20"/>
                <w:szCs w:val="20"/>
              </w:rPr>
            </w:pPr>
          </w:p>
        </w:tc>
      </w:tr>
    </w:tbl>
    <w:p w14:paraId="69FF2696" w14:textId="77777777" w:rsidR="00DA702B" w:rsidRPr="00DA702B" w:rsidRDefault="00DA702B" w:rsidP="00DA702B">
      <w:pPr>
        <w:rPr>
          <w:sz w:val="20"/>
          <w:szCs w:val="20"/>
        </w:rPr>
      </w:pPr>
      <w:r w:rsidRPr="00DA702B">
        <w:rPr>
          <w:sz w:val="20"/>
          <w:szCs w:val="20"/>
        </w:rPr>
        <w:br w:type="page"/>
      </w:r>
    </w:p>
    <w:p w14:paraId="7C783C07" w14:textId="77777777" w:rsidR="00DA702B" w:rsidRPr="00DA702B" w:rsidRDefault="00DA702B" w:rsidP="00A86140">
      <w:pPr>
        <w:widowControl w:val="0"/>
        <w:jc w:val="center"/>
        <w:rPr>
          <w:rFonts w:eastAsiaTheme="majorEastAsia"/>
          <w:b/>
          <w:bCs/>
        </w:rPr>
      </w:pPr>
      <w:r w:rsidRPr="00DA702B">
        <w:rPr>
          <w:rFonts w:eastAsiaTheme="majorEastAsia"/>
          <w:b/>
          <w:bCs/>
        </w:rPr>
        <w:lastRenderedPageBreak/>
        <w:t>Boiler/Steam Generator/Steam Generating Unit Attributes</w:t>
      </w:r>
    </w:p>
    <w:p w14:paraId="2BA3DC32" w14:textId="77777777" w:rsidR="00DA702B" w:rsidRPr="00DA702B" w:rsidRDefault="00DA702B" w:rsidP="00A86140">
      <w:pPr>
        <w:widowControl w:val="0"/>
        <w:jc w:val="center"/>
        <w:rPr>
          <w:rFonts w:eastAsiaTheme="majorEastAsia"/>
          <w:b/>
          <w:bCs/>
        </w:rPr>
      </w:pPr>
      <w:r w:rsidRPr="00DA702B">
        <w:rPr>
          <w:rFonts w:eastAsiaTheme="majorEastAsia"/>
          <w:b/>
          <w:bCs/>
        </w:rPr>
        <w:t>Form OP-UA6 (Page 28)</w:t>
      </w:r>
    </w:p>
    <w:p w14:paraId="4843232F" w14:textId="77777777" w:rsidR="00DA702B" w:rsidRPr="00DA702B" w:rsidRDefault="00DA702B" w:rsidP="00A86140">
      <w:pPr>
        <w:widowControl w:val="0"/>
        <w:jc w:val="center"/>
        <w:rPr>
          <w:rFonts w:eastAsiaTheme="majorEastAsia"/>
          <w:b/>
          <w:bCs/>
        </w:rPr>
      </w:pPr>
      <w:r w:rsidRPr="00DA702B">
        <w:rPr>
          <w:rFonts w:eastAsiaTheme="majorEastAsia"/>
          <w:b/>
          <w:bCs/>
        </w:rPr>
        <w:t>Federal Operating Permit Program</w:t>
      </w:r>
    </w:p>
    <w:p w14:paraId="52A9A4AE" w14:textId="77777777" w:rsidR="00DA702B" w:rsidRPr="00DA702B" w:rsidRDefault="00DA702B" w:rsidP="00A86140">
      <w:pPr>
        <w:widowControl w:val="0"/>
        <w:jc w:val="center"/>
        <w:rPr>
          <w:rFonts w:eastAsiaTheme="majorEastAsia"/>
          <w:b/>
          <w:bCs/>
        </w:rPr>
      </w:pPr>
      <w:bookmarkStart w:id="190" w:name="TBL_13a"/>
      <w:r w:rsidRPr="00DA702B">
        <w:rPr>
          <w:rFonts w:eastAsiaTheme="majorEastAsia"/>
          <w:b/>
          <w:bCs/>
        </w:rPr>
        <w:t>Table 13a</w:t>
      </w:r>
      <w:bookmarkEnd w:id="190"/>
      <w:r w:rsidRPr="00DA702B">
        <w:rPr>
          <w:rFonts w:eastAsiaTheme="majorEastAsia"/>
          <w:b/>
          <w:bCs/>
        </w:rPr>
        <w:t>:  Title 40 Code of Federal Regulations Part 63 (40 CFR Part 63)</w:t>
      </w:r>
    </w:p>
    <w:p w14:paraId="511F828C" w14:textId="77777777" w:rsidR="00DA702B" w:rsidRPr="00DA702B" w:rsidRDefault="00DA702B" w:rsidP="00A86140">
      <w:pPr>
        <w:widowControl w:val="0"/>
        <w:jc w:val="center"/>
        <w:rPr>
          <w:rFonts w:eastAsiaTheme="majorEastAsia"/>
          <w:b/>
          <w:bCs/>
        </w:rPr>
      </w:pPr>
      <w:r w:rsidRPr="00DA702B">
        <w:rPr>
          <w:rFonts w:eastAsiaTheme="majorEastAsia"/>
          <w:b/>
          <w:bCs/>
        </w:rPr>
        <w:t>Subpart UUUUU:  Coal- and Oil-Fired Electric Utility Steam Generating Units</w:t>
      </w:r>
    </w:p>
    <w:p w14:paraId="40E01ECF" w14:textId="77777777" w:rsidR="00DA702B" w:rsidRPr="00DA702B" w:rsidRDefault="00DA702B" w:rsidP="00A86140">
      <w:pPr>
        <w:widowControl w:val="0"/>
        <w:jc w:val="center"/>
        <w:rPr>
          <w:b/>
          <w:bCs/>
        </w:rPr>
      </w:pPr>
      <w:r w:rsidRPr="00DA702B">
        <w:rPr>
          <w:b/>
          <w:bCs/>
        </w:rPr>
        <w:t>Texas Commission on Environmental Quality</w:t>
      </w:r>
    </w:p>
    <w:p w14:paraId="710ABEE4"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a:  Title 40 Code of Federal Regulations Part 63 (40 CFR Part 63)&#10;Subpart UUUUU:  Coal- and Oil-Fired Electric Utility Steam Generating Units&#10;"/>
      </w:tblPr>
      <w:tblGrid>
        <w:gridCol w:w="4800"/>
        <w:gridCol w:w="4800"/>
        <w:gridCol w:w="4800"/>
      </w:tblGrid>
      <w:tr w:rsidR="00DA702B" w:rsidRPr="00DA702B" w14:paraId="362135C1" w14:textId="77777777" w:rsidTr="00247007">
        <w:trPr>
          <w:cantSplit/>
          <w:tblHeader/>
        </w:trPr>
        <w:tc>
          <w:tcPr>
            <w:tcW w:w="4800" w:type="dxa"/>
            <w:shd w:val="clear" w:color="auto" w:fill="D9D9D9" w:themeFill="background1" w:themeFillShade="D9"/>
          </w:tcPr>
          <w:p w14:paraId="444A2CE9"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6CA9B8B0"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461F342B"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120B3308" w14:textId="77777777" w:rsidTr="00247007">
        <w:trPr>
          <w:cantSplit/>
          <w:tblHeader/>
        </w:trPr>
        <w:tc>
          <w:tcPr>
            <w:tcW w:w="4800" w:type="dxa"/>
          </w:tcPr>
          <w:p w14:paraId="331808AD" w14:textId="77777777" w:rsidR="00DA702B" w:rsidRPr="00DA702B" w:rsidRDefault="00DA702B" w:rsidP="00DA702B">
            <w:pPr>
              <w:rPr>
                <w:rFonts w:asciiTheme="majorHAnsi" w:hAnsiTheme="majorHAnsi" w:cstheme="majorHAnsi"/>
              </w:rPr>
            </w:pPr>
          </w:p>
        </w:tc>
        <w:tc>
          <w:tcPr>
            <w:tcW w:w="4800" w:type="dxa"/>
          </w:tcPr>
          <w:p w14:paraId="3C11AD57" w14:textId="77777777" w:rsidR="00DA702B" w:rsidRPr="00DA702B" w:rsidRDefault="00DA702B" w:rsidP="00DA702B">
            <w:pPr>
              <w:rPr>
                <w:rFonts w:asciiTheme="majorHAnsi" w:hAnsiTheme="majorHAnsi" w:cstheme="majorHAnsi"/>
              </w:rPr>
            </w:pPr>
          </w:p>
        </w:tc>
        <w:tc>
          <w:tcPr>
            <w:tcW w:w="4800" w:type="dxa"/>
          </w:tcPr>
          <w:p w14:paraId="0D33A9F1" w14:textId="77777777" w:rsidR="00DA702B" w:rsidRPr="00DA702B" w:rsidRDefault="00DA702B" w:rsidP="00DA702B">
            <w:pPr>
              <w:rPr>
                <w:rFonts w:asciiTheme="majorHAnsi" w:hAnsiTheme="majorHAnsi" w:cstheme="majorHAnsi"/>
              </w:rPr>
            </w:pPr>
          </w:p>
        </w:tc>
      </w:tr>
    </w:tbl>
    <w:p w14:paraId="52B18163"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3a:  Title 40 Code of Federal Regulations Part 63 (40 CFR Part 63)&#10;Subpart UUUUU:  Coal- and Oil-Fired Electric Utility Steam Generating Units&#10;"/>
      </w:tblPr>
      <w:tblGrid>
        <w:gridCol w:w="1800"/>
        <w:gridCol w:w="1800"/>
        <w:gridCol w:w="1800"/>
        <w:gridCol w:w="1800"/>
        <w:gridCol w:w="1800"/>
        <w:gridCol w:w="1800"/>
        <w:gridCol w:w="1800"/>
        <w:gridCol w:w="1800"/>
      </w:tblGrid>
      <w:tr w:rsidR="00DA702B" w:rsidRPr="00DA702B" w14:paraId="4E39EA8E" w14:textId="77777777" w:rsidTr="00247007">
        <w:trPr>
          <w:cantSplit/>
          <w:trHeight w:val="346"/>
          <w:tblHeader/>
        </w:trPr>
        <w:tc>
          <w:tcPr>
            <w:tcW w:w="1800" w:type="dxa"/>
            <w:shd w:val="clear" w:color="auto" w:fill="D9D9D9" w:themeFill="background1" w:themeFillShade="D9"/>
            <w:vAlign w:val="center"/>
          </w:tcPr>
          <w:p w14:paraId="7EBD97BD" w14:textId="77777777" w:rsidR="00DA702B" w:rsidRPr="00DA702B" w:rsidRDefault="00DA702B" w:rsidP="00DA702B">
            <w:pPr>
              <w:jc w:val="center"/>
              <w:rPr>
                <w:sz w:val="20"/>
                <w:szCs w:val="20"/>
              </w:rPr>
            </w:pPr>
            <w:r w:rsidRPr="00DA702B">
              <w:rPr>
                <w:b/>
                <w:sz w:val="20"/>
                <w:szCs w:val="20"/>
              </w:rPr>
              <w:t>Unit ID No.</w:t>
            </w:r>
          </w:p>
        </w:tc>
        <w:tc>
          <w:tcPr>
            <w:tcW w:w="1800" w:type="dxa"/>
            <w:shd w:val="clear" w:color="auto" w:fill="D9D9D9" w:themeFill="background1" w:themeFillShade="D9"/>
            <w:vAlign w:val="center"/>
          </w:tcPr>
          <w:p w14:paraId="4A7339A0" w14:textId="77777777" w:rsidR="00DA702B" w:rsidRPr="00DA702B" w:rsidRDefault="00DA702B" w:rsidP="00DA702B">
            <w:pPr>
              <w:jc w:val="center"/>
              <w:rPr>
                <w:sz w:val="20"/>
                <w:szCs w:val="20"/>
              </w:rPr>
            </w:pPr>
            <w:r w:rsidRPr="00DA702B">
              <w:rPr>
                <w:b/>
                <w:sz w:val="20"/>
                <w:szCs w:val="20"/>
              </w:rPr>
              <w:t>SOP Index No.</w:t>
            </w:r>
          </w:p>
        </w:tc>
        <w:tc>
          <w:tcPr>
            <w:tcW w:w="1800" w:type="dxa"/>
            <w:shd w:val="clear" w:color="auto" w:fill="D9D9D9" w:themeFill="background1" w:themeFillShade="D9"/>
            <w:vAlign w:val="center"/>
          </w:tcPr>
          <w:p w14:paraId="417694A7" w14:textId="77777777" w:rsidR="00DA702B" w:rsidRPr="00DA702B" w:rsidRDefault="00DA702B" w:rsidP="00DA702B">
            <w:pPr>
              <w:jc w:val="center"/>
              <w:rPr>
                <w:sz w:val="20"/>
                <w:szCs w:val="20"/>
              </w:rPr>
            </w:pPr>
            <w:r w:rsidRPr="00DA702B">
              <w:rPr>
                <w:b/>
                <w:sz w:val="20"/>
                <w:szCs w:val="20"/>
              </w:rPr>
              <w:t>§63.9983(a)</w:t>
            </w:r>
          </w:p>
        </w:tc>
        <w:tc>
          <w:tcPr>
            <w:tcW w:w="1800" w:type="dxa"/>
            <w:shd w:val="clear" w:color="auto" w:fill="D9D9D9" w:themeFill="background1" w:themeFillShade="D9"/>
            <w:vAlign w:val="center"/>
          </w:tcPr>
          <w:p w14:paraId="7D31A939" w14:textId="77777777" w:rsidR="00DA702B" w:rsidRPr="00DA702B" w:rsidRDefault="00DA702B" w:rsidP="00DA702B">
            <w:pPr>
              <w:jc w:val="center"/>
              <w:rPr>
                <w:sz w:val="20"/>
                <w:szCs w:val="20"/>
              </w:rPr>
            </w:pPr>
            <w:r w:rsidRPr="00DA702B">
              <w:rPr>
                <w:b/>
                <w:sz w:val="20"/>
                <w:szCs w:val="20"/>
              </w:rPr>
              <w:t>§63.9983(b)</w:t>
            </w:r>
          </w:p>
        </w:tc>
        <w:tc>
          <w:tcPr>
            <w:tcW w:w="1800" w:type="dxa"/>
            <w:shd w:val="clear" w:color="auto" w:fill="D9D9D9" w:themeFill="background1" w:themeFillShade="D9"/>
            <w:vAlign w:val="center"/>
          </w:tcPr>
          <w:p w14:paraId="7535F8BF" w14:textId="77777777" w:rsidR="00DA702B" w:rsidRPr="00DA702B" w:rsidRDefault="00DA702B" w:rsidP="00DA702B">
            <w:pPr>
              <w:jc w:val="center"/>
              <w:rPr>
                <w:sz w:val="20"/>
                <w:szCs w:val="20"/>
              </w:rPr>
            </w:pPr>
            <w:r w:rsidRPr="00DA702B">
              <w:rPr>
                <w:b/>
                <w:sz w:val="20"/>
                <w:szCs w:val="20"/>
              </w:rPr>
              <w:t>§63.9983(c)</w:t>
            </w:r>
          </w:p>
        </w:tc>
        <w:tc>
          <w:tcPr>
            <w:tcW w:w="1800" w:type="dxa"/>
            <w:shd w:val="clear" w:color="auto" w:fill="D9D9D9" w:themeFill="background1" w:themeFillShade="D9"/>
            <w:vAlign w:val="center"/>
          </w:tcPr>
          <w:p w14:paraId="3294C022" w14:textId="77777777" w:rsidR="00DA702B" w:rsidRPr="00DA702B" w:rsidRDefault="00DA702B" w:rsidP="00DA702B">
            <w:pPr>
              <w:jc w:val="center"/>
              <w:rPr>
                <w:sz w:val="20"/>
                <w:szCs w:val="20"/>
              </w:rPr>
            </w:pPr>
            <w:r w:rsidRPr="00DA702B">
              <w:rPr>
                <w:b/>
                <w:sz w:val="20"/>
                <w:szCs w:val="20"/>
              </w:rPr>
              <w:t>§63.9983(d)</w:t>
            </w:r>
          </w:p>
        </w:tc>
        <w:tc>
          <w:tcPr>
            <w:tcW w:w="1800" w:type="dxa"/>
            <w:shd w:val="clear" w:color="auto" w:fill="D9D9D9" w:themeFill="background1" w:themeFillShade="D9"/>
            <w:vAlign w:val="center"/>
          </w:tcPr>
          <w:p w14:paraId="0F9B9EDD" w14:textId="77777777" w:rsidR="00DA702B" w:rsidRPr="00DA702B" w:rsidRDefault="00DA702B" w:rsidP="00DA702B">
            <w:pPr>
              <w:jc w:val="center"/>
              <w:rPr>
                <w:sz w:val="20"/>
                <w:szCs w:val="20"/>
              </w:rPr>
            </w:pPr>
            <w:r w:rsidRPr="00DA702B">
              <w:rPr>
                <w:b/>
                <w:sz w:val="20"/>
                <w:szCs w:val="20"/>
              </w:rPr>
              <w:t>Limited-use Liquid</w:t>
            </w:r>
          </w:p>
        </w:tc>
        <w:tc>
          <w:tcPr>
            <w:tcW w:w="1800" w:type="dxa"/>
            <w:shd w:val="clear" w:color="auto" w:fill="D9D9D9" w:themeFill="background1" w:themeFillShade="D9"/>
            <w:vAlign w:val="center"/>
          </w:tcPr>
          <w:p w14:paraId="602A34D6" w14:textId="77777777" w:rsidR="00DA702B" w:rsidRPr="00DA702B" w:rsidRDefault="00DA702B" w:rsidP="00DA702B">
            <w:pPr>
              <w:jc w:val="center"/>
              <w:rPr>
                <w:sz w:val="20"/>
                <w:szCs w:val="20"/>
              </w:rPr>
            </w:pPr>
            <w:r w:rsidRPr="00DA702B">
              <w:rPr>
                <w:b/>
                <w:sz w:val="20"/>
                <w:szCs w:val="20"/>
              </w:rPr>
              <w:t>Construction Status</w:t>
            </w:r>
          </w:p>
        </w:tc>
      </w:tr>
      <w:tr w:rsidR="00DA702B" w:rsidRPr="00DA702B" w14:paraId="5720FD56" w14:textId="77777777" w:rsidTr="00247007">
        <w:trPr>
          <w:cantSplit/>
          <w:trHeight w:val="346"/>
          <w:tblHeader/>
        </w:trPr>
        <w:tc>
          <w:tcPr>
            <w:tcW w:w="1800" w:type="dxa"/>
          </w:tcPr>
          <w:p w14:paraId="1EE82A3F" w14:textId="77777777" w:rsidR="00DA702B" w:rsidRPr="00DA702B" w:rsidRDefault="00DA702B" w:rsidP="00DA702B">
            <w:pPr>
              <w:rPr>
                <w:sz w:val="20"/>
                <w:szCs w:val="20"/>
              </w:rPr>
            </w:pPr>
          </w:p>
        </w:tc>
        <w:tc>
          <w:tcPr>
            <w:tcW w:w="1800" w:type="dxa"/>
          </w:tcPr>
          <w:p w14:paraId="4BA97280" w14:textId="77777777" w:rsidR="00DA702B" w:rsidRPr="00DA702B" w:rsidRDefault="00DA702B" w:rsidP="00DA702B">
            <w:pPr>
              <w:rPr>
                <w:sz w:val="20"/>
                <w:szCs w:val="20"/>
              </w:rPr>
            </w:pPr>
          </w:p>
        </w:tc>
        <w:tc>
          <w:tcPr>
            <w:tcW w:w="1800" w:type="dxa"/>
          </w:tcPr>
          <w:p w14:paraId="3E9A7A82" w14:textId="77777777" w:rsidR="00DA702B" w:rsidRPr="00DA702B" w:rsidRDefault="00DA702B" w:rsidP="00DA702B">
            <w:pPr>
              <w:rPr>
                <w:sz w:val="20"/>
                <w:szCs w:val="20"/>
              </w:rPr>
            </w:pPr>
          </w:p>
        </w:tc>
        <w:tc>
          <w:tcPr>
            <w:tcW w:w="1800" w:type="dxa"/>
          </w:tcPr>
          <w:p w14:paraId="475A972E" w14:textId="77777777" w:rsidR="00DA702B" w:rsidRPr="00DA702B" w:rsidRDefault="00DA702B" w:rsidP="00DA702B">
            <w:pPr>
              <w:rPr>
                <w:sz w:val="20"/>
                <w:szCs w:val="20"/>
              </w:rPr>
            </w:pPr>
          </w:p>
        </w:tc>
        <w:tc>
          <w:tcPr>
            <w:tcW w:w="1800" w:type="dxa"/>
          </w:tcPr>
          <w:p w14:paraId="7966A443" w14:textId="77777777" w:rsidR="00DA702B" w:rsidRPr="00DA702B" w:rsidRDefault="00DA702B" w:rsidP="00DA702B">
            <w:pPr>
              <w:rPr>
                <w:sz w:val="20"/>
                <w:szCs w:val="20"/>
              </w:rPr>
            </w:pPr>
          </w:p>
        </w:tc>
        <w:tc>
          <w:tcPr>
            <w:tcW w:w="1800" w:type="dxa"/>
          </w:tcPr>
          <w:p w14:paraId="71B89566" w14:textId="77777777" w:rsidR="00DA702B" w:rsidRPr="00DA702B" w:rsidRDefault="00DA702B" w:rsidP="00DA702B">
            <w:pPr>
              <w:rPr>
                <w:sz w:val="20"/>
                <w:szCs w:val="20"/>
              </w:rPr>
            </w:pPr>
          </w:p>
        </w:tc>
        <w:tc>
          <w:tcPr>
            <w:tcW w:w="1800" w:type="dxa"/>
          </w:tcPr>
          <w:p w14:paraId="51485C05" w14:textId="77777777" w:rsidR="00DA702B" w:rsidRPr="00DA702B" w:rsidRDefault="00DA702B" w:rsidP="00DA702B">
            <w:pPr>
              <w:rPr>
                <w:sz w:val="20"/>
                <w:szCs w:val="20"/>
              </w:rPr>
            </w:pPr>
          </w:p>
        </w:tc>
        <w:tc>
          <w:tcPr>
            <w:tcW w:w="1800" w:type="dxa"/>
          </w:tcPr>
          <w:p w14:paraId="5FFF104B" w14:textId="77777777" w:rsidR="00DA702B" w:rsidRPr="00DA702B" w:rsidRDefault="00DA702B" w:rsidP="00DA702B">
            <w:pPr>
              <w:rPr>
                <w:sz w:val="20"/>
                <w:szCs w:val="20"/>
              </w:rPr>
            </w:pPr>
          </w:p>
        </w:tc>
      </w:tr>
      <w:tr w:rsidR="00DA702B" w:rsidRPr="00DA702B" w14:paraId="00D6739E" w14:textId="77777777" w:rsidTr="00247007">
        <w:trPr>
          <w:cantSplit/>
          <w:trHeight w:val="346"/>
          <w:tblHeader/>
        </w:trPr>
        <w:tc>
          <w:tcPr>
            <w:tcW w:w="1800" w:type="dxa"/>
          </w:tcPr>
          <w:p w14:paraId="27A3C242" w14:textId="77777777" w:rsidR="00DA702B" w:rsidRPr="00DA702B" w:rsidRDefault="00DA702B" w:rsidP="00DA702B">
            <w:pPr>
              <w:rPr>
                <w:sz w:val="20"/>
                <w:szCs w:val="20"/>
              </w:rPr>
            </w:pPr>
          </w:p>
        </w:tc>
        <w:tc>
          <w:tcPr>
            <w:tcW w:w="1800" w:type="dxa"/>
          </w:tcPr>
          <w:p w14:paraId="506014AC" w14:textId="77777777" w:rsidR="00DA702B" w:rsidRPr="00DA702B" w:rsidRDefault="00DA702B" w:rsidP="00DA702B">
            <w:pPr>
              <w:rPr>
                <w:sz w:val="20"/>
                <w:szCs w:val="20"/>
              </w:rPr>
            </w:pPr>
          </w:p>
        </w:tc>
        <w:tc>
          <w:tcPr>
            <w:tcW w:w="1800" w:type="dxa"/>
          </w:tcPr>
          <w:p w14:paraId="1105FB41" w14:textId="77777777" w:rsidR="00DA702B" w:rsidRPr="00DA702B" w:rsidRDefault="00DA702B" w:rsidP="00DA702B">
            <w:pPr>
              <w:rPr>
                <w:sz w:val="20"/>
                <w:szCs w:val="20"/>
              </w:rPr>
            </w:pPr>
          </w:p>
        </w:tc>
        <w:tc>
          <w:tcPr>
            <w:tcW w:w="1800" w:type="dxa"/>
          </w:tcPr>
          <w:p w14:paraId="2D84AE40" w14:textId="77777777" w:rsidR="00DA702B" w:rsidRPr="00DA702B" w:rsidRDefault="00DA702B" w:rsidP="00DA702B">
            <w:pPr>
              <w:rPr>
                <w:sz w:val="20"/>
                <w:szCs w:val="20"/>
              </w:rPr>
            </w:pPr>
          </w:p>
        </w:tc>
        <w:tc>
          <w:tcPr>
            <w:tcW w:w="1800" w:type="dxa"/>
          </w:tcPr>
          <w:p w14:paraId="561DAB95" w14:textId="77777777" w:rsidR="00DA702B" w:rsidRPr="00DA702B" w:rsidRDefault="00DA702B" w:rsidP="00DA702B">
            <w:pPr>
              <w:rPr>
                <w:sz w:val="20"/>
                <w:szCs w:val="20"/>
              </w:rPr>
            </w:pPr>
          </w:p>
        </w:tc>
        <w:tc>
          <w:tcPr>
            <w:tcW w:w="1800" w:type="dxa"/>
          </w:tcPr>
          <w:p w14:paraId="4B4C6744" w14:textId="77777777" w:rsidR="00DA702B" w:rsidRPr="00DA702B" w:rsidRDefault="00DA702B" w:rsidP="00DA702B">
            <w:pPr>
              <w:rPr>
                <w:sz w:val="20"/>
                <w:szCs w:val="20"/>
              </w:rPr>
            </w:pPr>
          </w:p>
        </w:tc>
        <w:tc>
          <w:tcPr>
            <w:tcW w:w="1800" w:type="dxa"/>
          </w:tcPr>
          <w:p w14:paraId="4D228A5F" w14:textId="77777777" w:rsidR="00DA702B" w:rsidRPr="00DA702B" w:rsidRDefault="00DA702B" w:rsidP="00DA702B">
            <w:pPr>
              <w:rPr>
                <w:sz w:val="20"/>
                <w:szCs w:val="20"/>
              </w:rPr>
            </w:pPr>
          </w:p>
        </w:tc>
        <w:tc>
          <w:tcPr>
            <w:tcW w:w="1800" w:type="dxa"/>
          </w:tcPr>
          <w:p w14:paraId="41234337" w14:textId="77777777" w:rsidR="00DA702B" w:rsidRPr="00DA702B" w:rsidRDefault="00DA702B" w:rsidP="00DA702B">
            <w:pPr>
              <w:rPr>
                <w:sz w:val="20"/>
                <w:szCs w:val="20"/>
              </w:rPr>
            </w:pPr>
          </w:p>
        </w:tc>
      </w:tr>
      <w:tr w:rsidR="00DA702B" w:rsidRPr="00DA702B" w14:paraId="117F1747" w14:textId="77777777" w:rsidTr="00247007">
        <w:trPr>
          <w:cantSplit/>
          <w:trHeight w:val="346"/>
          <w:tblHeader/>
        </w:trPr>
        <w:tc>
          <w:tcPr>
            <w:tcW w:w="1800" w:type="dxa"/>
          </w:tcPr>
          <w:p w14:paraId="3E1E37AF" w14:textId="77777777" w:rsidR="00DA702B" w:rsidRPr="00DA702B" w:rsidRDefault="00DA702B" w:rsidP="00DA702B">
            <w:pPr>
              <w:rPr>
                <w:sz w:val="20"/>
                <w:szCs w:val="20"/>
              </w:rPr>
            </w:pPr>
          </w:p>
        </w:tc>
        <w:tc>
          <w:tcPr>
            <w:tcW w:w="1800" w:type="dxa"/>
          </w:tcPr>
          <w:p w14:paraId="284B12C3" w14:textId="77777777" w:rsidR="00DA702B" w:rsidRPr="00DA702B" w:rsidRDefault="00DA702B" w:rsidP="00DA702B">
            <w:pPr>
              <w:rPr>
                <w:sz w:val="20"/>
                <w:szCs w:val="20"/>
              </w:rPr>
            </w:pPr>
          </w:p>
        </w:tc>
        <w:tc>
          <w:tcPr>
            <w:tcW w:w="1800" w:type="dxa"/>
          </w:tcPr>
          <w:p w14:paraId="631B8E24" w14:textId="77777777" w:rsidR="00DA702B" w:rsidRPr="00DA702B" w:rsidRDefault="00DA702B" w:rsidP="00DA702B">
            <w:pPr>
              <w:rPr>
                <w:sz w:val="20"/>
                <w:szCs w:val="20"/>
              </w:rPr>
            </w:pPr>
          </w:p>
        </w:tc>
        <w:tc>
          <w:tcPr>
            <w:tcW w:w="1800" w:type="dxa"/>
          </w:tcPr>
          <w:p w14:paraId="3328E9F9" w14:textId="77777777" w:rsidR="00DA702B" w:rsidRPr="00DA702B" w:rsidRDefault="00DA702B" w:rsidP="00DA702B">
            <w:pPr>
              <w:rPr>
                <w:sz w:val="20"/>
                <w:szCs w:val="20"/>
              </w:rPr>
            </w:pPr>
          </w:p>
        </w:tc>
        <w:tc>
          <w:tcPr>
            <w:tcW w:w="1800" w:type="dxa"/>
          </w:tcPr>
          <w:p w14:paraId="43A4C8B4" w14:textId="77777777" w:rsidR="00DA702B" w:rsidRPr="00DA702B" w:rsidRDefault="00DA702B" w:rsidP="00DA702B">
            <w:pPr>
              <w:rPr>
                <w:sz w:val="20"/>
                <w:szCs w:val="20"/>
              </w:rPr>
            </w:pPr>
          </w:p>
        </w:tc>
        <w:tc>
          <w:tcPr>
            <w:tcW w:w="1800" w:type="dxa"/>
          </w:tcPr>
          <w:p w14:paraId="23B473AA" w14:textId="77777777" w:rsidR="00DA702B" w:rsidRPr="00DA702B" w:rsidRDefault="00DA702B" w:rsidP="00DA702B">
            <w:pPr>
              <w:rPr>
                <w:sz w:val="20"/>
                <w:szCs w:val="20"/>
              </w:rPr>
            </w:pPr>
          </w:p>
        </w:tc>
        <w:tc>
          <w:tcPr>
            <w:tcW w:w="1800" w:type="dxa"/>
          </w:tcPr>
          <w:p w14:paraId="5CC6052A" w14:textId="77777777" w:rsidR="00DA702B" w:rsidRPr="00DA702B" w:rsidRDefault="00DA702B" w:rsidP="00DA702B">
            <w:pPr>
              <w:rPr>
                <w:sz w:val="20"/>
                <w:szCs w:val="20"/>
              </w:rPr>
            </w:pPr>
          </w:p>
        </w:tc>
        <w:tc>
          <w:tcPr>
            <w:tcW w:w="1800" w:type="dxa"/>
          </w:tcPr>
          <w:p w14:paraId="33C1163E" w14:textId="77777777" w:rsidR="00DA702B" w:rsidRPr="00DA702B" w:rsidRDefault="00DA702B" w:rsidP="00DA702B">
            <w:pPr>
              <w:rPr>
                <w:sz w:val="20"/>
                <w:szCs w:val="20"/>
              </w:rPr>
            </w:pPr>
          </w:p>
        </w:tc>
      </w:tr>
      <w:tr w:rsidR="00DA702B" w:rsidRPr="00DA702B" w14:paraId="75E47DDE" w14:textId="77777777" w:rsidTr="00247007">
        <w:trPr>
          <w:cantSplit/>
          <w:trHeight w:val="346"/>
          <w:tblHeader/>
        </w:trPr>
        <w:tc>
          <w:tcPr>
            <w:tcW w:w="1800" w:type="dxa"/>
          </w:tcPr>
          <w:p w14:paraId="53ACAE99" w14:textId="77777777" w:rsidR="00DA702B" w:rsidRPr="00DA702B" w:rsidRDefault="00DA702B" w:rsidP="00DA702B">
            <w:pPr>
              <w:rPr>
                <w:sz w:val="20"/>
                <w:szCs w:val="20"/>
              </w:rPr>
            </w:pPr>
          </w:p>
        </w:tc>
        <w:tc>
          <w:tcPr>
            <w:tcW w:w="1800" w:type="dxa"/>
          </w:tcPr>
          <w:p w14:paraId="22B2F914" w14:textId="77777777" w:rsidR="00DA702B" w:rsidRPr="00DA702B" w:rsidRDefault="00DA702B" w:rsidP="00DA702B">
            <w:pPr>
              <w:rPr>
                <w:sz w:val="20"/>
                <w:szCs w:val="20"/>
              </w:rPr>
            </w:pPr>
          </w:p>
        </w:tc>
        <w:tc>
          <w:tcPr>
            <w:tcW w:w="1800" w:type="dxa"/>
          </w:tcPr>
          <w:p w14:paraId="470A3168" w14:textId="77777777" w:rsidR="00DA702B" w:rsidRPr="00DA702B" w:rsidRDefault="00DA702B" w:rsidP="00DA702B">
            <w:pPr>
              <w:rPr>
                <w:sz w:val="20"/>
                <w:szCs w:val="20"/>
              </w:rPr>
            </w:pPr>
          </w:p>
        </w:tc>
        <w:tc>
          <w:tcPr>
            <w:tcW w:w="1800" w:type="dxa"/>
          </w:tcPr>
          <w:p w14:paraId="6D164503" w14:textId="77777777" w:rsidR="00DA702B" w:rsidRPr="00DA702B" w:rsidRDefault="00DA702B" w:rsidP="00DA702B">
            <w:pPr>
              <w:rPr>
                <w:sz w:val="20"/>
                <w:szCs w:val="20"/>
              </w:rPr>
            </w:pPr>
          </w:p>
        </w:tc>
        <w:tc>
          <w:tcPr>
            <w:tcW w:w="1800" w:type="dxa"/>
          </w:tcPr>
          <w:p w14:paraId="0A6262F4" w14:textId="77777777" w:rsidR="00DA702B" w:rsidRPr="00DA702B" w:rsidRDefault="00DA702B" w:rsidP="00DA702B">
            <w:pPr>
              <w:rPr>
                <w:sz w:val="20"/>
                <w:szCs w:val="20"/>
              </w:rPr>
            </w:pPr>
          </w:p>
        </w:tc>
        <w:tc>
          <w:tcPr>
            <w:tcW w:w="1800" w:type="dxa"/>
          </w:tcPr>
          <w:p w14:paraId="7B7ADC9D" w14:textId="77777777" w:rsidR="00DA702B" w:rsidRPr="00DA702B" w:rsidRDefault="00DA702B" w:rsidP="00DA702B">
            <w:pPr>
              <w:rPr>
                <w:sz w:val="20"/>
                <w:szCs w:val="20"/>
              </w:rPr>
            </w:pPr>
          </w:p>
        </w:tc>
        <w:tc>
          <w:tcPr>
            <w:tcW w:w="1800" w:type="dxa"/>
          </w:tcPr>
          <w:p w14:paraId="336E7928" w14:textId="77777777" w:rsidR="00DA702B" w:rsidRPr="00DA702B" w:rsidRDefault="00DA702B" w:rsidP="00DA702B">
            <w:pPr>
              <w:rPr>
                <w:sz w:val="20"/>
                <w:szCs w:val="20"/>
              </w:rPr>
            </w:pPr>
          </w:p>
        </w:tc>
        <w:tc>
          <w:tcPr>
            <w:tcW w:w="1800" w:type="dxa"/>
          </w:tcPr>
          <w:p w14:paraId="302AD2C4" w14:textId="77777777" w:rsidR="00DA702B" w:rsidRPr="00DA702B" w:rsidRDefault="00DA702B" w:rsidP="00DA702B">
            <w:pPr>
              <w:rPr>
                <w:sz w:val="20"/>
                <w:szCs w:val="20"/>
              </w:rPr>
            </w:pPr>
          </w:p>
        </w:tc>
      </w:tr>
      <w:tr w:rsidR="00DA702B" w:rsidRPr="00DA702B" w14:paraId="6A0B692A" w14:textId="77777777" w:rsidTr="00247007">
        <w:trPr>
          <w:cantSplit/>
          <w:trHeight w:val="346"/>
          <w:tblHeader/>
        </w:trPr>
        <w:tc>
          <w:tcPr>
            <w:tcW w:w="1800" w:type="dxa"/>
          </w:tcPr>
          <w:p w14:paraId="59BDB797" w14:textId="77777777" w:rsidR="00DA702B" w:rsidRPr="00DA702B" w:rsidRDefault="00DA702B" w:rsidP="00DA702B">
            <w:pPr>
              <w:rPr>
                <w:sz w:val="20"/>
                <w:szCs w:val="20"/>
              </w:rPr>
            </w:pPr>
          </w:p>
        </w:tc>
        <w:tc>
          <w:tcPr>
            <w:tcW w:w="1800" w:type="dxa"/>
          </w:tcPr>
          <w:p w14:paraId="5E390521" w14:textId="77777777" w:rsidR="00DA702B" w:rsidRPr="00DA702B" w:rsidRDefault="00DA702B" w:rsidP="00DA702B">
            <w:pPr>
              <w:rPr>
                <w:sz w:val="20"/>
                <w:szCs w:val="20"/>
              </w:rPr>
            </w:pPr>
          </w:p>
        </w:tc>
        <w:tc>
          <w:tcPr>
            <w:tcW w:w="1800" w:type="dxa"/>
          </w:tcPr>
          <w:p w14:paraId="4C86A4B2" w14:textId="77777777" w:rsidR="00DA702B" w:rsidRPr="00DA702B" w:rsidRDefault="00DA702B" w:rsidP="00DA702B">
            <w:pPr>
              <w:rPr>
                <w:sz w:val="20"/>
                <w:szCs w:val="20"/>
              </w:rPr>
            </w:pPr>
          </w:p>
        </w:tc>
        <w:tc>
          <w:tcPr>
            <w:tcW w:w="1800" w:type="dxa"/>
          </w:tcPr>
          <w:p w14:paraId="6469151B" w14:textId="77777777" w:rsidR="00DA702B" w:rsidRPr="00DA702B" w:rsidRDefault="00DA702B" w:rsidP="00DA702B">
            <w:pPr>
              <w:rPr>
                <w:sz w:val="20"/>
                <w:szCs w:val="20"/>
              </w:rPr>
            </w:pPr>
          </w:p>
        </w:tc>
        <w:tc>
          <w:tcPr>
            <w:tcW w:w="1800" w:type="dxa"/>
          </w:tcPr>
          <w:p w14:paraId="2E5BA1D9" w14:textId="77777777" w:rsidR="00DA702B" w:rsidRPr="00DA702B" w:rsidRDefault="00DA702B" w:rsidP="00DA702B">
            <w:pPr>
              <w:rPr>
                <w:sz w:val="20"/>
                <w:szCs w:val="20"/>
              </w:rPr>
            </w:pPr>
          </w:p>
        </w:tc>
        <w:tc>
          <w:tcPr>
            <w:tcW w:w="1800" w:type="dxa"/>
          </w:tcPr>
          <w:p w14:paraId="0C5CD109" w14:textId="77777777" w:rsidR="00DA702B" w:rsidRPr="00DA702B" w:rsidRDefault="00DA702B" w:rsidP="00DA702B">
            <w:pPr>
              <w:rPr>
                <w:sz w:val="20"/>
                <w:szCs w:val="20"/>
              </w:rPr>
            </w:pPr>
          </w:p>
        </w:tc>
        <w:tc>
          <w:tcPr>
            <w:tcW w:w="1800" w:type="dxa"/>
          </w:tcPr>
          <w:p w14:paraId="5FCBF985" w14:textId="77777777" w:rsidR="00DA702B" w:rsidRPr="00DA702B" w:rsidRDefault="00DA702B" w:rsidP="00DA702B">
            <w:pPr>
              <w:rPr>
                <w:sz w:val="20"/>
                <w:szCs w:val="20"/>
              </w:rPr>
            </w:pPr>
          </w:p>
        </w:tc>
        <w:tc>
          <w:tcPr>
            <w:tcW w:w="1800" w:type="dxa"/>
          </w:tcPr>
          <w:p w14:paraId="2F304673" w14:textId="77777777" w:rsidR="00DA702B" w:rsidRPr="00DA702B" w:rsidRDefault="00DA702B" w:rsidP="00DA702B">
            <w:pPr>
              <w:rPr>
                <w:sz w:val="20"/>
                <w:szCs w:val="20"/>
              </w:rPr>
            </w:pPr>
          </w:p>
        </w:tc>
      </w:tr>
      <w:tr w:rsidR="00DA702B" w:rsidRPr="00DA702B" w14:paraId="661B54DF" w14:textId="77777777" w:rsidTr="00247007">
        <w:trPr>
          <w:cantSplit/>
          <w:trHeight w:val="346"/>
          <w:tblHeader/>
        </w:trPr>
        <w:tc>
          <w:tcPr>
            <w:tcW w:w="1800" w:type="dxa"/>
          </w:tcPr>
          <w:p w14:paraId="52CE63B9" w14:textId="77777777" w:rsidR="00DA702B" w:rsidRPr="00DA702B" w:rsidRDefault="00DA702B" w:rsidP="00DA702B">
            <w:pPr>
              <w:rPr>
                <w:sz w:val="20"/>
                <w:szCs w:val="20"/>
              </w:rPr>
            </w:pPr>
          </w:p>
        </w:tc>
        <w:tc>
          <w:tcPr>
            <w:tcW w:w="1800" w:type="dxa"/>
          </w:tcPr>
          <w:p w14:paraId="52D48686" w14:textId="77777777" w:rsidR="00DA702B" w:rsidRPr="00DA702B" w:rsidRDefault="00DA702B" w:rsidP="00DA702B">
            <w:pPr>
              <w:rPr>
                <w:sz w:val="20"/>
                <w:szCs w:val="20"/>
              </w:rPr>
            </w:pPr>
          </w:p>
        </w:tc>
        <w:tc>
          <w:tcPr>
            <w:tcW w:w="1800" w:type="dxa"/>
          </w:tcPr>
          <w:p w14:paraId="3E39A61C" w14:textId="77777777" w:rsidR="00DA702B" w:rsidRPr="00DA702B" w:rsidRDefault="00DA702B" w:rsidP="00DA702B">
            <w:pPr>
              <w:rPr>
                <w:sz w:val="20"/>
                <w:szCs w:val="20"/>
              </w:rPr>
            </w:pPr>
          </w:p>
        </w:tc>
        <w:tc>
          <w:tcPr>
            <w:tcW w:w="1800" w:type="dxa"/>
          </w:tcPr>
          <w:p w14:paraId="44A65B6F" w14:textId="77777777" w:rsidR="00DA702B" w:rsidRPr="00DA702B" w:rsidRDefault="00DA702B" w:rsidP="00DA702B">
            <w:pPr>
              <w:rPr>
                <w:sz w:val="20"/>
                <w:szCs w:val="20"/>
              </w:rPr>
            </w:pPr>
          </w:p>
        </w:tc>
        <w:tc>
          <w:tcPr>
            <w:tcW w:w="1800" w:type="dxa"/>
          </w:tcPr>
          <w:p w14:paraId="3D0E944E" w14:textId="77777777" w:rsidR="00DA702B" w:rsidRPr="00DA702B" w:rsidRDefault="00DA702B" w:rsidP="00DA702B">
            <w:pPr>
              <w:rPr>
                <w:sz w:val="20"/>
                <w:szCs w:val="20"/>
              </w:rPr>
            </w:pPr>
          </w:p>
        </w:tc>
        <w:tc>
          <w:tcPr>
            <w:tcW w:w="1800" w:type="dxa"/>
          </w:tcPr>
          <w:p w14:paraId="735C4C26" w14:textId="77777777" w:rsidR="00DA702B" w:rsidRPr="00DA702B" w:rsidRDefault="00DA702B" w:rsidP="00DA702B">
            <w:pPr>
              <w:rPr>
                <w:sz w:val="20"/>
                <w:szCs w:val="20"/>
              </w:rPr>
            </w:pPr>
          </w:p>
        </w:tc>
        <w:tc>
          <w:tcPr>
            <w:tcW w:w="1800" w:type="dxa"/>
          </w:tcPr>
          <w:p w14:paraId="36E24983" w14:textId="77777777" w:rsidR="00DA702B" w:rsidRPr="00DA702B" w:rsidRDefault="00DA702B" w:rsidP="00DA702B">
            <w:pPr>
              <w:rPr>
                <w:sz w:val="20"/>
                <w:szCs w:val="20"/>
              </w:rPr>
            </w:pPr>
          </w:p>
        </w:tc>
        <w:tc>
          <w:tcPr>
            <w:tcW w:w="1800" w:type="dxa"/>
          </w:tcPr>
          <w:p w14:paraId="222AFC3C" w14:textId="77777777" w:rsidR="00DA702B" w:rsidRPr="00DA702B" w:rsidRDefault="00DA702B" w:rsidP="00DA702B">
            <w:pPr>
              <w:rPr>
                <w:sz w:val="20"/>
                <w:szCs w:val="20"/>
              </w:rPr>
            </w:pPr>
          </w:p>
        </w:tc>
      </w:tr>
      <w:tr w:rsidR="00DA702B" w:rsidRPr="00DA702B" w14:paraId="1251688E" w14:textId="77777777" w:rsidTr="00247007">
        <w:trPr>
          <w:cantSplit/>
          <w:trHeight w:val="346"/>
          <w:tblHeader/>
        </w:trPr>
        <w:tc>
          <w:tcPr>
            <w:tcW w:w="1800" w:type="dxa"/>
          </w:tcPr>
          <w:p w14:paraId="4193EF5D" w14:textId="77777777" w:rsidR="00DA702B" w:rsidRPr="00DA702B" w:rsidRDefault="00DA702B" w:rsidP="00DA702B">
            <w:pPr>
              <w:rPr>
                <w:sz w:val="20"/>
                <w:szCs w:val="20"/>
              </w:rPr>
            </w:pPr>
          </w:p>
        </w:tc>
        <w:tc>
          <w:tcPr>
            <w:tcW w:w="1800" w:type="dxa"/>
          </w:tcPr>
          <w:p w14:paraId="6352A264" w14:textId="77777777" w:rsidR="00DA702B" w:rsidRPr="00DA702B" w:rsidRDefault="00DA702B" w:rsidP="00DA702B">
            <w:pPr>
              <w:rPr>
                <w:sz w:val="20"/>
                <w:szCs w:val="20"/>
              </w:rPr>
            </w:pPr>
          </w:p>
        </w:tc>
        <w:tc>
          <w:tcPr>
            <w:tcW w:w="1800" w:type="dxa"/>
          </w:tcPr>
          <w:p w14:paraId="742CCDD6" w14:textId="77777777" w:rsidR="00DA702B" w:rsidRPr="00DA702B" w:rsidRDefault="00DA702B" w:rsidP="00DA702B">
            <w:pPr>
              <w:rPr>
                <w:sz w:val="20"/>
                <w:szCs w:val="20"/>
              </w:rPr>
            </w:pPr>
          </w:p>
        </w:tc>
        <w:tc>
          <w:tcPr>
            <w:tcW w:w="1800" w:type="dxa"/>
          </w:tcPr>
          <w:p w14:paraId="75E18014" w14:textId="77777777" w:rsidR="00DA702B" w:rsidRPr="00DA702B" w:rsidRDefault="00DA702B" w:rsidP="00DA702B">
            <w:pPr>
              <w:rPr>
                <w:sz w:val="20"/>
                <w:szCs w:val="20"/>
              </w:rPr>
            </w:pPr>
          </w:p>
        </w:tc>
        <w:tc>
          <w:tcPr>
            <w:tcW w:w="1800" w:type="dxa"/>
          </w:tcPr>
          <w:p w14:paraId="66FB6A7C" w14:textId="77777777" w:rsidR="00DA702B" w:rsidRPr="00DA702B" w:rsidRDefault="00DA702B" w:rsidP="00DA702B">
            <w:pPr>
              <w:rPr>
                <w:sz w:val="20"/>
                <w:szCs w:val="20"/>
              </w:rPr>
            </w:pPr>
          </w:p>
        </w:tc>
        <w:tc>
          <w:tcPr>
            <w:tcW w:w="1800" w:type="dxa"/>
          </w:tcPr>
          <w:p w14:paraId="5631148D" w14:textId="77777777" w:rsidR="00DA702B" w:rsidRPr="00DA702B" w:rsidRDefault="00DA702B" w:rsidP="00DA702B">
            <w:pPr>
              <w:rPr>
                <w:sz w:val="20"/>
                <w:szCs w:val="20"/>
              </w:rPr>
            </w:pPr>
          </w:p>
        </w:tc>
        <w:tc>
          <w:tcPr>
            <w:tcW w:w="1800" w:type="dxa"/>
          </w:tcPr>
          <w:p w14:paraId="33EE4894" w14:textId="77777777" w:rsidR="00DA702B" w:rsidRPr="00DA702B" w:rsidRDefault="00DA702B" w:rsidP="00DA702B">
            <w:pPr>
              <w:rPr>
                <w:sz w:val="20"/>
                <w:szCs w:val="20"/>
              </w:rPr>
            </w:pPr>
          </w:p>
        </w:tc>
        <w:tc>
          <w:tcPr>
            <w:tcW w:w="1800" w:type="dxa"/>
          </w:tcPr>
          <w:p w14:paraId="57632A0F" w14:textId="77777777" w:rsidR="00DA702B" w:rsidRPr="00DA702B" w:rsidRDefault="00DA702B" w:rsidP="00DA702B">
            <w:pPr>
              <w:rPr>
                <w:sz w:val="20"/>
                <w:szCs w:val="20"/>
              </w:rPr>
            </w:pPr>
          </w:p>
        </w:tc>
      </w:tr>
      <w:tr w:rsidR="00DA702B" w:rsidRPr="00DA702B" w14:paraId="733F0BBC" w14:textId="77777777" w:rsidTr="00247007">
        <w:trPr>
          <w:cantSplit/>
          <w:trHeight w:val="346"/>
          <w:tblHeader/>
        </w:trPr>
        <w:tc>
          <w:tcPr>
            <w:tcW w:w="1800" w:type="dxa"/>
          </w:tcPr>
          <w:p w14:paraId="5824C0AA" w14:textId="77777777" w:rsidR="00DA702B" w:rsidRPr="00DA702B" w:rsidRDefault="00DA702B" w:rsidP="00DA702B">
            <w:pPr>
              <w:rPr>
                <w:sz w:val="20"/>
                <w:szCs w:val="20"/>
              </w:rPr>
            </w:pPr>
          </w:p>
        </w:tc>
        <w:tc>
          <w:tcPr>
            <w:tcW w:w="1800" w:type="dxa"/>
          </w:tcPr>
          <w:p w14:paraId="150012A0" w14:textId="77777777" w:rsidR="00DA702B" w:rsidRPr="00DA702B" w:rsidRDefault="00DA702B" w:rsidP="00DA702B">
            <w:pPr>
              <w:rPr>
                <w:sz w:val="20"/>
                <w:szCs w:val="20"/>
              </w:rPr>
            </w:pPr>
          </w:p>
        </w:tc>
        <w:tc>
          <w:tcPr>
            <w:tcW w:w="1800" w:type="dxa"/>
          </w:tcPr>
          <w:p w14:paraId="3ED747EF" w14:textId="77777777" w:rsidR="00DA702B" w:rsidRPr="00DA702B" w:rsidRDefault="00DA702B" w:rsidP="00DA702B">
            <w:pPr>
              <w:rPr>
                <w:sz w:val="20"/>
                <w:szCs w:val="20"/>
              </w:rPr>
            </w:pPr>
          </w:p>
        </w:tc>
        <w:tc>
          <w:tcPr>
            <w:tcW w:w="1800" w:type="dxa"/>
          </w:tcPr>
          <w:p w14:paraId="63EF846C" w14:textId="77777777" w:rsidR="00DA702B" w:rsidRPr="00DA702B" w:rsidRDefault="00DA702B" w:rsidP="00DA702B">
            <w:pPr>
              <w:rPr>
                <w:sz w:val="20"/>
                <w:szCs w:val="20"/>
              </w:rPr>
            </w:pPr>
          </w:p>
        </w:tc>
        <w:tc>
          <w:tcPr>
            <w:tcW w:w="1800" w:type="dxa"/>
          </w:tcPr>
          <w:p w14:paraId="76B812F3" w14:textId="77777777" w:rsidR="00DA702B" w:rsidRPr="00DA702B" w:rsidRDefault="00DA702B" w:rsidP="00DA702B">
            <w:pPr>
              <w:rPr>
                <w:sz w:val="20"/>
                <w:szCs w:val="20"/>
              </w:rPr>
            </w:pPr>
          </w:p>
        </w:tc>
        <w:tc>
          <w:tcPr>
            <w:tcW w:w="1800" w:type="dxa"/>
          </w:tcPr>
          <w:p w14:paraId="0EBBEDD0" w14:textId="77777777" w:rsidR="00DA702B" w:rsidRPr="00DA702B" w:rsidRDefault="00DA702B" w:rsidP="00DA702B">
            <w:pPr>
              <w:rPr>
                <w:sz w:val="20"/>
                <w:szCs w:val="20"/>
              </w:rPr>
            </w:pPr>
          </w:p>
        </w:tc>
        <w:tc>
          <w:tcPr>
            <w:tcW w:w="1800" w:type="dxa"/>
          </w:tcPr>
          <w:p w14:paraId="5A9F1004" w14:textId="77777777" w:rsidR="00DA702B" w:rsidRPr="00DA702B" w:rsidRDefault="00DA702B" w:rsidP="00DA702B">
            <w:pPr>
              <w:rPr>
                <w:sz w:val="20"/>
                <w:szCs w:val="20"/>
              </w:rPr>
            </w:pPr>
          </w:p>
        </w:tc>
        <w:tc>
          <w:tcPr>
            <w:tcW w:w="1800" w:type="dxa"/>
          </w:tcPr>
          <w:p w14:paraId="23363FEC" w14:textId="77777777" w:rsidR="00DA702B" w:rsidRPr="00DA702B" w:rsidRDefault="00DA702B" w:rsidP="00DA702B">
            <w:pPr>
              <w:rPr>
                <w:sz w:val="20"/>
                <w:szCs w:val="20"/>
              </w:rPr>
            </w:pPr>
          </w:p>
        </w:tc>
      </w:tr>
      <w:tr w:rsidR="00DA702B" w:rsidRPr="00DA702B" w14:paraId="7D4C300F" w14:textId="77777777" w:rsidTr="00247007">
        <w:trPr>
          <w:cantSplit/>
          <w:trHeight w:val="346"/>
          <w:tblHeader/>
        </w:trPr>
        <w:tc>
          <w:tcPr>
            <w:tcW w:w="1800" w:type="dxa"/>
          </w:tcPr>
          <w:p w14:paraId="54B224AE" w14:textId="77777777" w:rsidR="00DA702B" w:rsidRPr="00DA702B" w:rsidRDefault="00DA702B" w:rsidP="00DA702B">
            <w:pPr>
              <w:rPr>
                <w:sz w:val="20"/>
                <w:szCs w:val="20"/>
              </w:rPr>
            </w:pPr>
          </w:p>
        </w:tc>
        <w:tc>
          <w:tcPr>
            <w:tcW w:w="1800" w:type="dxa"/>
          </w:tcPr>
          <w:p w14:paraId="51360AF1" w14:textId="77777777" w:rsidR="00DA702B" w:rsidRPr="00DA702B" w:rsidRDefault="00DA702B" w:rsidP="00DA702B">
            <w:pPr>
              <w:rPr>
                <w:sz w:val="20"/>
                <w:szCs w:val="20"/>
              </w:rPr>
            </w:pPr>
          </w:p>
        </w:tc>
        <w:tc>
          <w:tcPr>
            <w:tcW w:w="1800" w:type="dxa"/>
          </w:tcPr>
          <w:p w14:paraId="214E9053" w14:textId="77777777" w:rsidR="00DA702B" w:rsidRPr="00DA702B" w:rsidRDefault="00DA702B" w:rsidP="00DA702B">
            <w:pPr>
              <w:rPr>
                <w:sz w:val="20"/>
                <w:szCs w:val="20"/>
              </w:rPr>
            </w:pPr>
          </w:p>
        </w:tc>
        <w:tc>
          <w:tcPr>
            <w:tcW w:w="1800" w:type="dxa"/>
          </w:tcPr>
          <w:p w14:paraId="5E0392A6" w14:textId="77777777" w:rsidR="00DA702B" w:rsidRPr="00DA702B" w:rsidRDefault="00DA702B" w:rsidP="00DA702B">
            <w:pPr>
              <w:rPr>
                <w:sz w:val="20"/>
                <w:szCs w:val="20"/>
              </w:rPr>
            </w:pPr>
          </w:p>
        </w:tc>
        <w:tc>
          <w:tcPr>
            <w:tcW w:w="1800" w:type="dxa"/>
          </w:tcPr>
          <w:p w14:paraId="4A1DC39E" w14:textId="77777777" w:rsidR="00DA702B" w:rsidRPr="00DA702B" w:rsidRDefault="00DA702B" w:rsidP="00DA702B">
            <w:pPr>
              <w:rPr>
                <w:sz w:val="20"/>
                <w:szCs w:val="20"/>
              </w:rPr>
            </w:pPr>
          </w:p>
        </w:tc>
        <w:tc>
          <w:tcPr>
            <w:tcW w:w="1800" w:type="dxa"/>
          </w:tcPr>
          <w:p w14:paraId="72E67204" w14:textId="77777777" w:rsidR="00DA702B" w:rsidRPr="00DA702B" w:rsidRDefault="00DA702B" w:rsidP="00DA702B">
            <w:pPr>
              <w:rPr>
                <w:sz w:val="20"/>
                <w:szCs w:val="20"/>
              </w:rPr>
            </w:pPr>
          </w:p>
        </w:tc>
        <w:tc>
          <w:tcPr>
            <w:tcW w:w="1800" w:type="dxa"/>
          </w:tcPr>
          <w:p w14:paraId="0DB0F9B2" w14:textId="77777777" w:rsidR="00DA702B" w:rsidRPr="00DA702B" w:rsidRDefault="00DA702B" w:rsidP="00DA702B">
            <w:pPr>
              <w:rPr>
                <w:sz w:val="20"/>
                <w:szCs w:val="20"/>
              </w:rPr>
            </w:pPr>
          </w:p>
        </w:tc>
        <w:tc>
          <w:tcPr>
            <w:tcW w:w="1800" w:type="dxa"/>
          </w:tcPr>
          <w:p w14:paraId="5967C70D" w14:textId="77777777" w:rsidR="00DA702B" w:rsidRPr="00DA702B" w:rsidRDefault="00DA702B" w:rsidP="00DA702B">
            <w:pPr>
              <w:rPr>
                <w:sz w:val="20"/>
                <w:szCs w:val="20"/>
              </w:rPr>
            </w:pPr>
          </w:p>
        </w:tc>
      </w:tr>
      <w:tr w:rsidR="00DA702B" w:rsidRPr="00DA702B" w14:paraId="5D5CD265" w14:textId="77777777" w:rsidTr="00247007">
        <w:trPr>
          <w:cantSplit/>
          <w:trHeight w:val="346"/>
          <w:tblHeader/>
        </w:trPr>
        <w:tc>
          <w:tcPr>
            <w:tcW w:w="1800" w:type="dxa"/>
          </w:tcPr>
          <w:p w14:paraId="6EDCB6B1" w14:textId="77777777" w:rsidR="00DA702B" w:rsidRPr="00DA702B" w:rsidRDefault="00DA702B" w:rsidP="00DA702B">
            <w:pPr>
              <w:rPr>
                <w:sz w:val="20"/>
                <w:szCs w:val="20"/>
              </w:rPr>
            </w:pPr>
          </w:p>
        </w:tc>
        <w:tc>
          <w:tcPr>
            <w:tcW w:w="1800" w:type="dxa"/>
          </w:tcPr>
          <w:p w14:paraId="24599F43" w14:textId="77777777" w:rsidR="00DA702B" w:rsidRPr="00DA702B" w:rsidRDefault="00DA702B" w:rsidP="00DA702B">
            <w:pPr>
              <w:rPr>
                <w:sz w:val="20"/>
                <w:szCs w:val="20"/>
              </w:rPr>
            </w:pPr>
          </w:p>
        </w:tc>
        <w:tc>
          <w:tcPr>
            <w:tcW w:w="1800" w:type="dxa"/>
          </w:tcPr>
          <w:p w14:paraId="1D3F83AA" w14:textId="77777777" w:rsidR="00DA702B" w:rsidRPr="00DA702B" w:rsidRDefault="00DA702B" w:rsidP="00DA702B">
            <w:pPr>
              <w:rPr>
                <w:sz w:val="20"/>
                <w:szCs w:val="20"/>
              </w:rPr>
            </w:pPr>
          </w:p>
        </w:tc>
        <w:tc>
          <w:tcPr>
            <w:tcW w:w="1800" w:type="dxa"/>
          </w:tcPr>
          <w:p w14:paraId="28AADEAF" w14:textId="77777777" w:rsidR="00DA702B" w:rsidRPr="00DA702B" w:rsidRDefault="00DA702B" w:rsidP="00DA702B">
            <w:pPr>
              <w:rPr>
                <w:sz w:val="20"/>
                <w:szCs w:val="20"/>
              </w:rPr>
            </w:pPr>
          </w:p>
        </w:tc>
        <w:tc>
          <w:tcPr>
            <w:tcW w:w="1800" w:type="dxa"/>
          </w:tcPr>
          <w:p w14:paraId="3E2DB5D1" w14:textId="77777777" w:rsidR="00DA702B" w:rsidRPr="00DA702B" w:rsidRDefault="00DA702B" w:rsidP="00DA702B">
            <w:pPr>
              <w:rPr>
                <w:sz w:val="20"/>
                <w:szCs w:val="20"/>
              </w:rPr>
            </w:pPr>
          </w:p>
        </w:tc>
        <w:tc>
          <w:tcPr>
            <w:tcW w:w="1800" w:type="dxa"/>
          </w:tcPr>
          <w:p w14:paraId="7AA4EF62" w14:textId="77777777" w:rsidR="00DA702B" w:rsidRPr="00DA702B" w:rsidRDefault="00DA702B" w:rsidP="00DA702B">
            <w:pPr>
              <w:rPr>
                <w:sz w:val="20"/>
                <w:szCs w:val="20"/>
              </w:rPr>
            </w:pPr>
          </w:p>
        </w:tc>
        <w:tc>
          <w:tcPr>
            <w:tcW w:w="1800" w:type="dxa"/>
          </w:tcPr>
          <w:p w14:paraId="2480885A" w14:textId="77777777" w:rsidR="00DA702B" w:rsidRPr="00DA702B" w:rsidRDefault="00DA702B" w:rsidP="00DA702B">
            <w:pPr>
              <w:rPr>
                <w:sz w:val="20"/>
                <w:szCs w:val="20"/>
              </w:rPr>
            </w:pPr>
          </w:p>
        </w:tc>
        <w:tc>
          <w:tcPr>
            <w:tcW w:w="1800" w:type="dxa"/>
          </w:tcPr>
          <w:p w14:paraId="71FBA103" w14:textId="77777777" w:rsidR="00DA702B" w:rsidRPr="00DA702B" w:rsidRDefault="00DA702B" w:rsidP="00DA702B">
            <w:pPr>
              <w:rPr>
                <w:sz w:val="20"/>
                <w:szCs w:val="20"/>
              </w:rPr>
            </w:pPr>
          </w:p>
        </w:tc>
      </w:tr>
    </w:tbl>
    <w:p w14:paraId="206A8C63" w14:textId="77777777" w:rsidR="00DA702B" w:rsidRPr="00DA702B" w:rsidRDefault="00DA702B" w:rsidP="00DA702B">
      <w:pPr>
        <w:rPr>
          <w:b/>
          <w:bCs/>
          <w:sz w:val="24"/>
          <w:szCs w:val="24"/>
        </w:rPr>
      </w:pPr>
      <w:r w:rsidRPr="00DA702B">
        <w:br w:type="page"/>
      </w:r>
    </w:p>
    <w:p w14:paraId="3298842A" w14:textId="77777777" w:rsidR="00DA702B" w:rsidRPr="00DA702B" w:rsidRDefault="00DA702B" w:rsidP="00067D6C">
      <w:pPr>
        <w:widowControl w:val="0"/>
        <w:jc w:val="center"/>
        <w:rPr>
          <w:rFonts w:eastAsiaTheme="majorEastAsia"/>
          <w:b/>
          <w:bCs/>
        </w:rPr>
      </w:pPr>
      <w:r w:rsidRPr="00DA702B">
        <w:rPr>
          <w:rFonts w:eastAsiaTheme="majorEastAsia"/>
          <w:b/>
          <w:bCs/>
        </w:rPr>
        <w:lastRenderedPageBreak/>
        <w:t>Boiler/Steam Generator/Steam Generating Unit Attributes</w:t>
      </w:r>
    </w:p>
    <w:p w14:paraId="2012FCB4" w14:textId="77777777" w:rsidR="00DA702B" w:rsidRPr="00DA702B" w:rsidRDefault="00DA702B" w:rsidP="00067D6C">
      <w:pPr>
        <w:widowControl w:val="0"/>
        <w:jc w:val="center"/>
        <w:rPr>
          <w:rFonts w:eastAsiaTheme="majorEastAsia"/>
          <w:b/>
          <w:bCs/>
        </w:rPr>
      </w:pPr>
      <w:r w:rsidRPr="00DA702B">
        <w:rPr>
          <w:rFonts w:eastAsiaTheme="majorEastAsia"/>
          <w:b/>
          <w:bCs/>
        </w:rPr>
        <w:t>Form OP-UA6 (Page 29)</w:t>
      </w:r>
    </w:p>
    <w:p w14:paraId="137536C5" w14:textId="77777777" w:rsidR="00DA702B" w:rsidRPr="00DA702B" w:rsidRDefault="00DA702B" w:rsidP="00067D6C">
      <w:pPr>
        <w:widowControl w:val="0"/>
        <w:jc w:val="center"/>
        <w:rPr>
          <w:rFonts w:eastAsiaTheme="majorEastAsia"/>
          <w:b/>
          <w:bCs/>
        </w:rPr>
      </w:pPr>
      <w:r w:rsidRPr="00DA702B">
        <w:rPr>
          <w:rFonts w:eastAsiaTheme="majorEastAsia"/>
          <w:b/>
          <w:bCs/>
        </w:rPr>
        <w:t>Federal Operating Permit Program</w:t>
      </w:r>
    </w:p>
    <w:p w14:paraId="12C2F1F2" w14:textId="77777777" w:rsidR="00DA702B" w:rsidRPr="00DA702B" w:rsidRDefault="00DA702B" w:rsidP="00067D6C">
      <w:pPr>
        <w:widowControl w:val="0"/>
        <w:jc w:val="center"/>
        <w:rPr>
          <w:rFonts w:eastAsiaTheme="majorEastAsia"/>
          <w:b/>
          <w:bCs/>
        </w:rPr>
      </w:pPr>
      <w:bookmarkStart w:id="191" w:name="TBL_13b"/>
      <w:r w:rsidRPr="00DA702B">
        <w:rPr>
          <w:rFonts w:eastAsiaTheme="majorEastAsia"/>
          <w:b/>
          <w:bCs/>
        </w:rPr>
        <w:t>Table 13b</w:t>
      </w:r>
      <w:bookmarkEnd w:id="191"/>
      <w:r w:rsidRPr="00DA702B">
        <w:rPr>
          <w:rFonts w:eastAsiaTheme="majorEastAsia"/>
          <w:b/>
          <w:bCs/>
        </w:rPr>
        <w:t>:  Title 40 Code of Federal Regulations Part 63 (40 CFR Part 63)</w:t>
      </w:r>
    </w:p>
    <w:p w14:paraId="5BC8843D" w14:textId="77777777" w:rsidR="00DA702B" w:rsidRPr="00DA702B" w:rsidRDefault="00DA702B" w:rsidP="00067D6C">
      <w:pPr>
        <w:widowControl w:val="0"/>
        <w:jc w:val="center"/>
        <w:rPr>
          <w:rFonts w:eastAsiaTheme="majorEastAsia"/>
          <w:b/>
          <w:bCs/>
        </w:rPr>
      </w:pPr>
      <w:r w:rsidRPr="00DA702B">
        <w:rPr>
          <w:rFonts w:eastAsiaTheme="majorEastAsia"/>
          <w:b/>
          <w:bCs/>
        </w:rPr>
        <w:t>Subpart UUUUU:  Coal- and Oil-Fired Electric Utility Steam Generating Units</w:t>
      </w:r>
    </w:p>
    <w:p w14:paraId="36860242" w14:textId="77777777" w:rsidR="00DA702B" w:rsidRPr="00DA702B" w:rsidRDefault="00DA702B" w:rsidP="00067D6C">
      <w:pPr>
        <w:widowControl w:val="0"/>
        <w:jc w:val="center"/>
        <w:rPr>
          <w:b/>
          <w:bCs/>
        </w:rPr>
      </w:pPr>
      <w:r w:rsidRPr="00DA702B">
        <w:rPr>
          <w:b/>
          <w:bCs/>
        </w:rPr>
        <w:t>Texas Commission on Environmental Quality</w:t>
      </w:r>
    </w:p>
    <w:p w14:paraId="4E117F9C" w14:textId="77777777" w:rsidR="00DA702B" w:rsidRPr="00DA702B" w:rsidRDefault="00DA702B" w:rsidP="00DA702B">
      <w:pPr>
        <w:spacing w:before="24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b:  Title 40 Code of Federal Regulations Part 63 (40 CFR Part 63)&#10;Subpart UUUUU:  Coal- and Oil-Fired Electric Utility Steam Generating Units&#10;"/>
      </w:tblPr>
      <w:tblGrid>
        <w:gridCol w:w="4800"/>
        <w:gridCol w:w="4800"/>
        <w:gridCol w:w="4800"/>
      </w:tblGrid>
      <w:tr w:rsidR="00DA702B" w:rsidRPr="00DA702B" w14:paraId="0FC3B5B5" w14:textId="77777777" w:rsidTr="00247007">
        <w:trPr>
          <w:cantSplit/>
          <w:tblHeader/>
        </w:trPr>
        <w:tc>
          <w:tcPr>
            <w:tcW w:w="4800" w:type="dxa"/>
            <w:shd w:val="clear" w:color="auto" w:fill="D9D9D9" w:themeFill="background1" w:themeFillShade="D9"/>
          </w:tcPr>
          <w:p w14:paraId="10595127"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4D8AF19A"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66636FC5"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2085D1D8" w14:textId="77777777" w:rsidTr="00247007">
        <w:trPr>
          <w:cantSplit/>
          <w:tblHeader/>
        </w:trPr>
        <w:tc>
          <w:tcPr>
            <w:tcW w:w="4800" w:type="dxa"/>
          </w:tcPr>
          <w:p w14:paraId="621E8BC3" w14:textId="77777777" w:rsidR="00DA702B" w:rsidRPr="00DA702B" w:rsidRDefault="00DA702B" w:rsidP="00DA702B">
            <w:pPr>
              <w:rPr>
                <w:rFonts w:asciiTheme="majorHAnsi" w:hAnsiTheme="majorHAnsi" w:cstheme="majorHAnsi"/>
              </w:rPr>
            </w:pPr>
          </w:p>
        </w:tc>
        <w:tc>
          <w:tcPr>
            <w:tcW w:w="4800" w:type="dxa"/>
          </w:tcPr>
          <w:p w14:paraId="48E49BB8" w14:textId="77777777" w:rsidR="00DA702B" w:rsidRPr="00DA702B" w:rsidRDefault="00DA702B" w:rsidP="00DA702B">
            <w:pPr>
              <w:rPr>
                <w:rFonts w:asciiTheme="majorHAnsi" w:hAnsiTheme="majorHAnsi" w:cstheme="majorHAnsi"/>
              </w:rPr>
            </w:pPr>
          </w:p>
        </w:tc>
        <w:tc>
          <w:tcPr>
            <w:tcW w:w="4800" w:type="dxa"/>
          </w:tcPr>
          <w:p w14:paraId="0536C08F" w14:textId="77777777" w:rsidR="00DA702B" w:rsidRPr="00DA702B" w:rsidRDefault="00DA702B" w:rsidP="00DA702B">
            <w:pPr>
              <w:rPr>
                <w:rFonts w:asciiTheme="majorHAnsi" w:hAnsiTheme="majorHAnsi" w:cstheme="majorHAnsi"/>
              </w:rPr>
            </w:pPr>
          </w:p>
        </w:tc>
      </w:tr>
    </w:tbl>
    <w:p w14:paraId="48CFFF2B"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3b:  Title 40 Code of Federal Regulations Part 63 (40 CFR Part 63)&#10;Subpart UUUUU:  Coal- and Oil-Fired Electric Utility Steam Generating Units&#10;"/>
      </w:tblPr>
      <w:tblGrid>
        <w:gridCol w:w="1800"/>
        <w:gridCol w:w="1800"/>
        <w:gridCol w:w="1800"/>
        <w:gridCol w:w="1800"/>
        <w:gridCol w:w="1800"/>
        <w:gridCol w:w="1800"/>
        <w:gridCol w:w="1800"/>
        <w:gridCol w:w="1800"/>
      </w:tblGrid>
      <w:tr w:rsidR="00DA702B" w:rsidRPr="00DA702B" w14:paraId="3286E644" w14:textId="77777777" w:rsidTr="00247007">
        <w:trPr>
          <w:cantSplit/>
          <w:trHeight w:val="346"/>
          <w:tblHeader/>
        </w:trPr>
        <w:tc>
          <w:tcPr>
            <w:tcW w:w="1800" w:type="dxa"/>
            <w:shd w:val="clear" w:color="auto" w:fill="D9D9D9" w:themeFill="background1" w:themeFillShade="D9"/>
            <w:vAlign w:val="center"/>
          </w:tcPr>
          <w:p w14:paraId="6E7CFB32" w14:textId="77777777" w:rsidR="00DA702B" w:rsidRPr="00DA702B" w:rsidRDefault="00DA702B" w:rsidP="00DA702B">
            <w:pPr>
              <w:jc w:val="center"/>
              <w:rPr>
                <w:sz w:val="20"/>
                <w:szCs w:val="20"/>
              </w:rPr>
            </w:pPr>
            <w:r w:rsidRPr="00DA702B">
              <w:rPr>
                <w:b/>
                <w:sz w:val="20"/>
                <w:szCs w:val="20"/>
              </w:rPr>
              <w:t>Unit ID No.</w:t>
            </w:r>
          </w:p>
        </w:tc>
        <w:tc>
          <w:tcPr>
            <w:tcW w:w="1800" w:type="dxa"/>
            <w:shd w:val="clear" w:color="auto" w:fill="D9D9D9" w:themeFill="background1" w:themeFillShade="D9"/>
            <w:vAlign w:val="center"/>
          </w:tcPr>
          <w:p w14:paraId="4BBDA08E" w14:textId="77777777" w:rsidR="00DA702B" w:rsidRPr="00DA702B" w:rsidRDefault="00DA702B" w:rsidP="00DA702B">
            <w:pPr>
              <w:jc w:val="center"/>
              <w:rPr>
                <w:sz w:val="20"/>
                <w:szCs w:val="20"/>
              </w:rPr>
            </w:pPr>
            <w:r w:rsidRPr="00DA702B">
              <w:rPr>
                <w:b/>
                <w:sz w:val="20"/>
                <w:szCs w:val="20"/>
              </w:rPr>
              <w:t>SOP Index No.</w:t>
            </w:r>
          </w:p>
        </w:tc>
        <w:tc>
          <w:tcPr>
            <w:tcW w:w="1800" w:type="dxa"/>
            <w:shd w:val="clear" w:color="auto" w:fill="D9D9D9" w:themeFill="background1" w:themeFillShade="D9"/>
            <w:vAlign w:val="center"/>
          </w:tcPr>
          <w:p w14:paraId="44C536EF" w14:textId="77777777" w:rsidR="00DA702B" w:rsidRPr="00DA702B" w:rsidRDefault="00DA702B" w:rsidP="00DA702B">
            <w:pPr>
              <w:jc w:val="center"/>
              <w:rPr>
                <w:sz w:val="20"/>
                <w:szCs w:val="20"/>
              </w:rPr>
            </w:pPr>
            <w:r w:rsidRPr="00DA702B">
              <w:rPr>
                <w:b/>
                <w:sz w:val="20"/>
                <w:szCs w:val="20"/>
              </w:rPr>
              <w:t>Start-Up</w:t>
            </w:r>
          </w:p>
        </w:tc>
        <w:tc>
          <w:tcPr>
            <w:tcW w:w="1800" w:type="dxa"/>
            <w:shd w:val="clear" w:color="auto" w:fill="D9D9D9" w:themeFill="background1" w:themeFillShade="D9"/>
            <w:vAlign w:val="center"/>
          </w:tcPr>
          <w:p w14:paraId="5CD95660" w14:textId="77777777" w:rsidR="00DA702B" w:rsidRPr="00DA702B" w:rsidRDefault="00DA702B" w:rsidP="00DA702B">
            <w:pPr>
              <w:jc w:val="center"/>
              <w:rPr>
                <w:sz w:val="20"/>
                <w:szCs w:val="20"/>
              </w:rPr>
            </w:pPr>
            <w:r w:rsidRPr="00DA702B">
              <w:rPr>
                <w:b/>
                <w:sz w:val="20"/>
                <w:szCs w:val="20"/>
              </w:rPr>
              <w:t>Unit Fuel</w:t>
            </w:r>
          </w:p>
        </w:tc>
        <w:tc>
          <w:tcPr>
            <w:tcW w:w="1800" w:type="dxa"/>
            <w:shd w:val="clear" w:color="auto" w:fill="D9D9D9" w:themeFill="background1" w:themeFillShade="D9"/>
            <w:vAlign w:val="center"/>
          </w:tcPr>
          <w:p w14:paraId="18D37BC4" w14:textId="77777777" w:rsidR="00DA702B" w:rsidRPr="00DA702B" w:rsidRDefault="00DA702B" w:rsidP="00DA702B">
            <w:pPr>
              <w:jc w:val="center"/>
              <w:rPr>
                <w:sz w:val="20"/>
                <w:szCs w:val="20"/>
              </w:rPr>
            </w:pPr>
            <w:r w:rsidRPr="00DA702B">
              <w:rPr>
                <w:b/>
                <w:sz w:val="20"/>
                <w:szCs w:val="20"/>
              </w:rPr>
              <w:t>Pollutant-a</w:t>
            </w:r>
          </w:p>
        </w:tc>
        <w:tc>
          <w:tcPr>
            <w:tcW w:w="1800" w:type="dxa"/>
            <w:shd w:val="clear" w:color="auto" w:fill="D9D9D9" w:themeFill="background1" w:themeFillShade="D9"/>
            <w:vAlign w:val="center"/>
          </w:tcPr>
          <w:p w14:paraId="043FCE59" w14:textId="77777777" w:rsidR="00DA702B" w:rsidRPr="00DA702B" w:rsidRDefault="00DA702B" w:rsidP="00DA702B">
            <w:pPr>
              <w:jc w:val="center"/>
              <w:rPr>
                <w:sz w:val="20"/>
                <w:szCs w:val="20"/>
              </w:rPr>
            </w:pPr>
            <w:r w:rsidRPr="00DA702B">
              <w:rPr>
                <w:b/>
                <w:sz w:val="20"/>
                <w:szCs w:val="20"/>
              </w:rPr>
              <w:t>Syngas</w:t>
            </w:r>
          </w:p>
        </w:tc>
        <w:tc>
          <w:tcPr>
            <w:tcW w:w="1800" w:type="dxa"/>
            <w:shd w:val="clear" w:color="auto" w:fill="D9D9D9" w:themeFill="background1" w:themeFillShade="D9"/>
            <w:vAlign w:val="center"/>
          </w:tcPr>
          <w:p w14:paraId="1EDBCC07" w14:textId="77777777" w:rsidR="00DA702B" w:rsidRPr="00DA702B" w:rsidRDefault="00DA702B" w:rsidP="00DA702B">
            <w:pPr>
              <w:jc w:val="center"/>
              <w:rPr>
                <w:sz w:val="20"/>
                <w:szCs w:val="20"/>
              </w:rPr>
            </w:pPr>
            <w:r w:rsidRPr="00DA702B">
              <w:rPr>
                <w:b/>
                <w:sz w:val="20"/>
                <w:szCs w:val="20"/>
              </w:rPr>
              <w:t>PM-Input</w:t>
            </w:r>
          </w:p>
        </w:tc>
        <w:tc>
          <w:tcPr>
            <w:tcW w:w="1800" w:type="dxa"/>
            <w:shd w:val="clear" w:color="auto" w:fill="D9D9D9" w:themeFill="background1" w:themeFillShade="D9"/>
            <w:vAlign w:val="center"/>
          </w:tcPr>
          <w:p w14:paraId="712EFC03" w14:textId="77777777" w:rsidR="00DA702B" w:rsidRPr="00DA702B" w:rsidRDefault="00DA702B" w:rsidP="00DA702B">
            <w:pPr>
              <w:jc w:val="center"/>
              <w:rPr>
                <w:sz w:val="20"/>
                <w:szCs w:val="20"/>
              </w:rPr>
            </w:pPr>
            <w:r w:rsidRPr="00DA702B">
              <w:rPr>
                <w:b/>
                <w:sz w:val="20"/>
                <w:szCs w:val="20"/>
              </w:rPr>
              <w:t>TOTHAP-Input</w:t>
            </w:r>
          </w:p>
        </w:tc>
      </w:tr>
      <w:tr w:rsidR="00DA702B" w:rsidRPr="00DA702B" w14:paraId="74AEA34E" w14:textId="77777777" w:rsidTr="00247007">
        <w:trPr>
          <w:cantSplit/>
          <w:trHeight w:val="346"/>
          <w:tblHeader/>
        </w:trPr>
        <w:tc>
          <w:tcPr>
            <w:tcW w:w="1800" w:type="dxa"/>
          </w:tcPr>
          <w:p w14:paraId="7C3C9D2F" w14:textId="77777777" w:rsidR="00DA702B" w:rsidRPr="00DA702B" w:rsidRDefault="00DA702B" w:rsidP="00DA702B">
            <w:pPr>
              <w:rPr>
                <w:sz w:val="20"/>
                <w:szCs w:val="20"/>
              </w:rPr>
            </w:pPr>
          </w:p>
        </w:tc>
        <w:tc>
          <w:tcPr>
            <w:tcW w:w="1800" w:type="dxa"/>
          </w:tcPr>
          <w:p w14:paraId="3C671626" w14:textId="77777777" w:rsidR="00DA702B" w:rsidRPr="00DA702B" w:rsidRDefault="00DA702B" w:rsidP="00DA702B">
            <w:pPr>
              <w:rPr>
                <w:sz w:val="20"/>
                <w:szCs w:val="20"/>
              </w:rPr>
            </w:pPr>
          </w:p>
        </w:tc>
        <w:tc>
          <w:tcPr>
            <w:tcW w:w="1800" w:type="dxa"/>
          </w:tcPr>
          <w:p w14:paraId="59C9963B" w14:textId="77777777" w:rsidR="00DA702B" w:rsidRPr="00DA702B" w:rsidRDefault="00DA702B" w:rsidP="00DA702B">
            <w:pPr>
              <w:rPr>
                <w:sz w:val="20"/>
                <w:szCs w:val="20"/>
              </w:rPr>
            </w:pPr>
          </w:p>
        </w:tc>
        <w:tc>
          <w:tcPr>
            <w:tcW w:w="1800" w:type="dxa"/>
          </w:tcPr>
          <w:p w14:paraId="25953AE3" w14:textId="77777777" w:rsidR="00DA702B" w:rsidRPr="00DA702B" w:rsidRDefault="00DA702B" w:rsidP="00DA702B">
            <w:pPr>
              <w:rPr>
                <w:sz w:val="20"/>
                <w:szCs w:val="20"/>
              </w:rPr>
            </w:pPr>
          </w:p>
        </w:tc>
        <w:tc>
          <w:tcPr>
            <w:tcW w:w="1800" w:type="dxa"/>
          </w:tcPr>
          <w:p w14:paraId="6900EE0E" w14:textId="77777777" w:rsidR="00DA702B" w:rsidRPr="00DA702B" w:rsidRDefault="00DA702B" w:rsidP="00DA702B">
            <w:pPr>
              <w:rPr>
                <w:sz w:val="20"/>
                <w:szCs w:val="20"/>
              </w:rPr>
            </w:pPr>
          </w:p>
        </w:tc>
        <w:tc>
          <w:tcPr>
            <w:tcW w:w="1800" w:type="dxa"/>
          </w:tcPr>
          <w:p w14:paraId="63B975E3" w14:textId="77777777" w:rsidR="00DA702B" w:rsidRPr="00DA702B" w:rsidRDefault="00DA702B" w:rsidP="00DA702B">
            <w:pPr>
              <w:rPr>
                <w:sz w:val="20"/>
                <w:szCs w:val="20"/>
              </w:rPr>
            </w:pPr>
          </w:p>
        </w:tc>
        <w:tc>
          <w:tcPr>
            <w:tcW w:w="1800" w:type="dxa"/>
          </w:tcPr>
          <w:p w14:paraId="5CEC6765" w14:textId="77777777" w:rsidR="00DA702B" w:rsidRPr="00DA702B" w:rsidRDefault="00DA702B" w:rsidP="00DA702B">
            <w:pPr>
              <w:rPr>
                <w:sz w:val="20"/>
                <w:szCs w:val="20"/>
              </w:rPr>
            </w:pPr>
          </w:p>
        </w:tc>
        <w:tc>
          <w:tcPr>
            <w:tcW w:w="1800" w:type="dxa"/>
          </w:tcPr>
          <w:p w14:paraId="7447770A" w14:textId="77777777" w:rsidR="00DA702B" w:rsidRPr="00DA702B" w:rsidRDefault="00DA702B" w:rsidP="00DA702B">
            <w:pPr>
              <w:rPr>
                <w:sz w:val="20"/>
                <w:szCs w:val="20"/>
              </w:rPr>
            </w:pPr>
          </w:p>
        </w:tc>
      </w:tr>
      <w:tr w:rsidR="00DA702B" w:rsidRPr="00DA702B" w14:paraId="1BE4649D" w14:textId="77777777" w:rsidTr="00247007">
        <w:trPr>
          <w:cantSplit/>
          <w:trHeight w:val="346"/>
          <w:tblHeader/>
        </w:trPr>
        <w:tc>
          <w:tcPr>
            <w:tcW w:w="1800" w:type="dxa"/>
          </w:tcPr>
          <w:p w14:paraId="6ABBDE18" w14:textId="77777777" w:rsidR="00DA702B" w:rsidRPr="00DA702B" w:rsidRDefault="00DA702B" w:rsidP="00DA702B">
            <w:pPr>
              <w:rPr>
                <w:sz w:val="20"/>
                <w:szCs w:val="20"/>
              </w:rPr>
            </w:pPr>
          </w:p>
        </w:tc>
        <w:tc>
          <w:tcPr>
            <w:tcW w:w="1800" w:type="dxa"/>
          </w:tcPr>
          <w:p w14:paraId="44443B2D" w14:textId="77777777" w:rsidR="00DA702B" w:rsidRPr="00DA702B" w:rsidRDefault="00DA702B" w:rsidP="00DA702B">
            <w:pPr>
              <w:rPr>
                <w:sz w:val="20"/>
                <w:szCs w:val="20"/>
              </w:rPr>
            </w:pPr>
          </w:p>
        </w:tc>
        <w:tc>
          <w:tcPr>
            <w:tcW w:w="1800" w:type="dxa"/>
          </w:tcPr>
          <w:p w14:paraId="089EFBE0" w14:textId="77777777" w:rsidR="00DA702B" w:rsidRPr="00DA702B" w:rsidRDefault="00DA702B" w:rsidP="00DA702B">
            <w:pPr>
              <w:rPr>
                <w:sz w:val="20"/>
                <w:szCs w:val="20"/>
              </w:rPr>
            </w:pPr>
          </w:p>
        </w:tc>
        <w:tc>
          <w:tcPr>
            <w:tcW w:w="1800" w:type="dxa"/>
          </w:tcPr>
          <w:p w14:paraId="563181A3" w14:textId="77777777" w:rsidR="00DA702B" w:rsidRPr="00DA702B" w:rsidRDefault="00DA702B" w:rsidP="00DA702B">
            <w:pPr>
              <w:rPr>
                <w:sz w:val="20"/>
                <w:szCs w:val="20"/>
              </w:rPr>
            </w:pPr>
          </w:p>
        </w:tc>
        <w:tc>
          <w:tcPr>
            <w:tcW w:w="1800" w:type="dxa"/>
          </w:tcPr>
          <w:p w14:paraId="44472C12" w14:textId="77777777" w:rsidR="00DA702B" w:rsidRPr="00DA702B" w:rsidRDefault="00DA702B" w:rsidP="00DA702B">
            <w:pPr>
              <w:rPr>
                <w:sz w:val="20"/>
                <w:szCs w:val="20"/>
              </w:rPr>
            </w:pPr>
          </w:p>
        </w:tc>
        <w:tc>
          <w:tcPr>
            <w:tcW w:w="1800" w:type="dxa"/>
          </w:tcPr>
          <w:p w14:paraId="797290EB" w14:textId="77777777" w:rsidR="00DA702B" w:rsidRPr="00DA702B" w:rsidRDefault="00DA702B" w:rsidP="00DA702B">
            <w:pPr>
              <w:rPr>
                <w:sz w:val="20"/>
                <w:szCs w:val="20"/>
              </w:rPr>
            </w:pPr>
          </w:p>
        </w:tc>
        <w:tc>
          <w:tcPr>
            <w:tcW w:w="1800" w:type="dxa"/>
          </w:tcPr>
          <w:p w14:paraId="3B2E742B" w14:textId="77777777" w:rsidR="00DA702B" w:rsidRPr="00DA702B" w:rsidRDefault="00DA702B" w:rsidP="00DA702B">
            <w:pPr>
              <w:rPr>
                <w:sz w:val="20"/>
                <w:szCs w:val="20"/>
              </w:rPr>
            </w:pPr>
          </w:p>
        </w:tc>
        <w:tc>
          <w:tcPr>
            <w:tcW w:w="1800" w:type="dxa"/>
          </w:tcPr>
          <w:p w14:paraId="002B6593" w14:textId="77777777" w:rsidR="00DA702B" w:rsidRPr="00DA702B" w:rsidRDefault="00DA702B" w:rsidP="00DA702B">
            <w:pPr>
              <w:rPr>
                <w:sz w:val="20"/>
                <w:szCs w:val="20"/>
              </w:rPr>
            </w:pPr>
          </w:p>
        </w:tc>
      </w:tr>
      <w:tr w:rsidR="00DA702B" w:rsidRPr="00DA702B" w14:paraId="7D457D74" w14:textId="77777777" w:rsidTr="00247007">
        <w:trPr>
          <w:cantSplit/>
          <w:trHeight w:val="346"/>
          <w:tblHeader/>
        </w:trPr>
        <w:tc>
          <w:tcPr>
            <w:tcW w:w="1800" w:type="dxa"/>
          </w:tcPr>
          <w:p w14:paraId="23F494F5" w14:textId="77777777" w:rsidR="00DA702B" w:rsidRPr="00DA702B" w:rsidRDefault="00DA702B" w:rsidP="00DA702B">
            <w:pPr>
              <w:rPr>
                <w:sz w:val="20"/>
                <w:szCs w:val="20"/>
              </w:rPr>
            </w:pPr>
          </w:p>
        </w:tc>
        <w:tc>
          <w:tcPr>
            <w:tcW w:w="1800" w:type="dxa"/>
          </w:tcPr>
          <w:p w14:paraId="79034C86" w14:textId="77777777" w:rsidR="00DA702B" w:rsidRPr="00DA702B" w:rsidRDefault="00DA702B" w:rsidP="00DA702B">
            <w:pPr>
              <w:rPr>
                <w:sz w:val="20"/>
                <w:szCs w:val="20"/>
              </w:rPr>
            </w:pPr>
          </w:p>
        </w:tc>
        <w:tc>
          <w:tcPr>
            <w:tcW w:w="1800" w:type="dxa"/>
          </w:tcPr>
          <w:p w14:paraId="0E9BA280" w14:textId="77777777" w:rsidR="00DA702B" w:rsidRPr="00DA702B" w:rsidRDefault="00DA702B" w:rsidP="00DA702B">
            <w:pPr>
              <w:rPr>
                <w:sz w:val="20"/>
                <w:szCs w:val="20"/>
              </w:rPr>
            </w:pPr>
          </w:p>
        </w:tc>
        <w:tc>
          <w:tcPr>
            <w:tcW w:w="1800" w:type="dxa"/>
          </w:tcPr>
          <w:p w14:paraId="03B5B8AF" w14:textId="77777777" w:rsidR="00DA702B" w:rsidRPr="00DA702B" w:rsidRDefault="00DA702B" w:rsidP="00DA702B">
            <w:pPr>
              <w:rPr>
                <w:sz w:val="20"/>
                <w:szCs w:val="20"/>
              </w:rPr>
            </w:pPr>
          </w:p>
        </w:tc>
        <w:tc>
          <w:tcPr>
            <w:tcW w:w="1800" w:type="dxa"/>
          </w:tcPr>
          <w:p w14:paraId="6D7ABD2E" w14:textId="77777777" w:rsidR="00DA702B" w:rsidRPr="00DA702B" w:rsidRDefault="00DA702B" w:rsidP="00DA702B">
            <w:pPr>
              <w:rPr>
                <w:sz w:val="20"/>
                <w:szCs w:val="20"/>
              </w:rPr>
            </w:pPr>
          </w:p>
        </w:tc>
        <w:tc>
          <w:tcPr>
            <w:tcW w:w="1800" w:type="dxa"/>
          </w:tcPr>
          <w:p w14:paraId="18B882FA" w14:textId="77777777" w:rsidR="00DA702B" w:rsidRPr="00DA702B" w:rsidRDefault="00DA702B" w:rsidP="00DA702B">
            <w:pPr>
              <w:rPr>
                <w:sz w:val="20"/>
                <w:szCs w:val="20"/>
              </w:rPr>
            </w:pPr>
          </w:p>
        </w:tc>
        <w:tc>
          <w:tcPr>
            <w:tcW w:w="1800" w:type="dxa"/>
          </w:tcPr>
          <w:p w14:paraId="79856EA2" w14:textId="77777777" w:rsidR="00DA702B" w:rsidRPr="00DA702B" w:rsidRDefault="00DA702B" w:rsidP="00DA702B">
            <w:pPr>
              <w:rPr>
                <w:sz w:val="20"/>
                <w:szCs w:val="20"/>
              </w:rPr>
            </w:pPr>
          </w:p>
        </w:tc>
        <w:tc>
          <w:tcPr>
            <w:tcW w:w="1800" w:type="dxa"/>
          </w:tcPr>
          <w:p w14:paraId="0EF23770" w14:textId="77777777" w:rsidR="00DA702B" w:rsidRPr="00DA702B" w:rsidRDefault="00DA702B" w:rsidP="00DA702B">
            <w:pPr>
              <w:rPr>
                <w:sz w:val="20"/>
                <w:szCs w:val="20"/>
              </w:rPr>
            </w:pPr>
          </w:p>
        </w:tc>
      </w:tr>
      <w:tr w:rsidR="00DA702B" w:rsidRPr="00DA702B" w14:paraId="456BA61E" w14:textId="77777777" w:rsidTr="00247007">
        <w:trPr>
          <w:cantSplit/>
          <w:trHeight w:val="346"/>
          <w:tblHeader/>
        </w:trPr>
        <w:tc>
          <w:tcPr>
            <w:tcW w:w="1800" w:type="dxa"/>
          </w:tcPr>
          <w:p w14:paraId="6DEACD10" w14:textId="77777777" w:rsidR="00DA702B" w:rsidRPr="00DA702B" w:rsidRDefault="00DA702B" w:rsidP="00DA702B">
            <w:pPr>
              <w:rPr>
                <w:sz w:val="20"/>
                <w:szCs w:val="20"/>
              </w:rPr>
            </w:pPr>
          </w:p>
        </w:tc>
        <w:tc>
          <w:tcPr>
            <w:tcW w:w="1800" w:type="dxa"/>
          </w:tcPr>
          <w:p w14:paraId="63C9DDD0" w14:textId="77777777" w:rsidR="00DA702B" w:rsidRPr="00DA702B" w:rsidRDefault="00DA702B" w:rsidP="00DA702B">
            <w:pPr>
              <w:rPr>
                <w:sz w:val="20"/>
                <w:szCs w:val="20"/>
              </w:rPr>
            </w:pPr>
          </w:p>
        </w:tc>
        <w:tc>
          <w:tcPr>
            <w:tcW w:w="1800" w:type="dxa"/>
          </w:tcPr>
          <w:p w14:paraId="524F7045" w14:textId="77777777" w:rsidR="00DA702B" w:rsidRPr="00DA702B" w:rsidRDefault="00DA702B" w:rsidP="00DA702B">
            <w:pPr>
              <w:rPr>
                <w:sz w:val="20"/>
                <w:szCs w:val="20"/>
              </w:rPr>
            </w:pPr>
          </w:p>
        </w:tc>
        <w:tc>
          <w:tcPr>
            <w:tcW w:w="1800" w:type="dxa"/>
          </w:tcPr>
          <w:p w14:paraId="4C92DCA2" w14:textId="77777777" w:rsidR="00DA702B" w:rsidRPr="00DA702B" w:rsidRDefault="00DA702B" w:rsidP="00DA702B">
            <w:pPr>
              <w:rPr>
                <w:sz w:val="20"/>
                <w:szCs w:val="20"/>
              </w:rPr>
            </w:pPr>
          </w:p>
        </w:tc>
        <w:tc>
          <w:tcPr>
            <w:tcW w:w="1800" w:type="dxa"/>
          </w:tcPr>
          <w:p w14:paraId="39271D53" w14:textId="77777777" w:rsidR="00DA702B" w:rsidRPr="00DA702B" w:rsidRDefault="00DA702B" w:rsidP="00DA702B">
            <w:pPr>
              <w:rPr>
                <w:sz w:val="20"/>
                <w:szCs w:val="20"/>
              </w:rPr>
            </w:pPr>
          </w:p>
        </w:tc>
        <w:tc>
          <w:tcPr>
            <w:tcW w:w="1800" w:type="dxa"/>
          </w:tcPr>
          <w:p w14:paraId="2C9CD744" w14:textId="77777777" w:rsidR="00DA702B" w:rsidRPr="00DA702B" w:rsidRDefault="00DA702B" w:rsidP="00DA702B">
            <w:pPr>
              <w:rPr>
                <w:sz w:val="20"/>
                <w:szCs w:val="20"/>
              </w:rPr>
            </w:pPr>
          </w:p>
        </w:tc>
        <w:tc>
          <w:tcPr>
            <w:tcW w:w="1800" w:type="dxa"/>
          </w:tcPr>
          <w:p w14:paraId="17FB0494" w14:textId="77777777" w:rsidR="00DA702B" w:rsidRPr="00DA702B" w:rsidRDefault="00DA702B" w:rsidP="00DA702B">
            <w:pPr>
              <w:rPr>
                <w:sz w:val="20"/>
                <w:szCs w:val="20"/>
              </w:rPr>
            </w:pPr>
          </w:p>
        </w:tc>
        <w:tc>
          <w:tcPr>
            <w:tcW w:w="1800" w:type="dxa"/>
          </w:tcPr>
          <w:p w14:paraId="13EB5013" w14:textId="77777777" w:rsidR="00DA702B" w:rsidRPr="00DA702B" w:rsidRDefault="00DA702B" w:rsidP="00DA702B">
            <w:pPr>
              <w:rPr>
                <w:sz w:val="20"/>
                <w:szCs w:val="20"/>
              </w:rPr>
            </w:pPr>
          </w:p>
        </w:tc>
      </w:tr>
      <w:tr w:rsidR="00DA702B" w:rsidRPr="00DA702B" w14:paraId="4811DD95" w14:textId="77777777" w:rsidTr="00247007">
        <w:trPr>
          <w:cantSplit/>
          <w:trHeight w:val="346"/>
          <w:tblHeader/>
        </w:trPr>
        <w:tc>
          <w:tcPr>
            <w:tcW w:w="1800" w:type="dxa"/>
          </w:tcPr>
          <w:p w14:paraId="4DD0B619" w14:textId="77777777" w:rsidR="00DA702B" w:rsidRPr="00DA702B" w:rsidRDefault="00DA702B" w:rsidP="00DA702B">
            <w:pPr>
              <w:rPr>
                <w:sz w:val="20"/>
                <w:szCs w:val="20"/>
              </w:rPr>
            </w:pPr>
          </w:p>
        </w:tc>
        <w:tc>
          <w:tcPr>
            <w:tcW w:w="1800" w:type="dxa"/>
          </w:tcPr>
          <w:p w14:paraId="5AE6B7D2" w14:textId="77777777" w:rsidR="00DA702B" w:rsidRPr="00DA702B" w:rsidRDefault="00DA702B" w:rsidP="00DA702B">
            <w:pPr>
              <w:rPr>
                <w:sz w:val="20"/>
                <w:szCs w:val="20"/>
              </w:rPr>
            </w:pPr>
          </w:p>
        </w:tc>
        <w:tc>
          <w:tcPr>
            <w:tcW w:w="1800" w:type="dxa"/>
          </w:tcPr>
          <w:p w14:paraId="6026CBDA" w14:textId="77777777" w:rsidR="00DA702B" w:rsidRPr="00DA702B" w:rsidRDefault="00DA702B" w:rsidP="00DA702B">
            <w:pPr>
              <w:rPr>
                <w:sz w:val="20"/>
                <w:szCs w:val="20"/>
              </w:rPr>
            </w:pPr>
          </w:p>
        </w:tc>
        <w:tc>
          <w:tcPr>
            <w:tcW w:w="1800" w:type="dxa"/>
          </w:tcPr>
          <w:p w14:paraId="4B675EDC" w14:textId="77777777" w:rsidR="00DA702B" w:rsidRPr="00DA702B" w:rsidRDefault="00DA702B" w:rsidP="00DA702B">
            <w:pPr>
              <w:rPr>
                <w:sz w:val="20"/>
                <w:szCs w:val="20"/>
              </w:rPr>
            </w:pPr>
          </w:p>
        </w:tc>
        <w:tc>
          <w:tcPr>
            <w:tcW w:w="1800" w:type="dxa"/>
          </w:tcPr>
          <w:p w14:paraId="57AEF0A4" w14:textId="77777777" w:rsidR="00DA702B" w:rsidRPr="00DA702B" w:rsidRDefault="00DA702B" w:rsidP="00DA702B">
            <w:pPr>
              <w:rPr>
                <w:sz w:val="20"/>
                <w:szCs w:val="20"/>
              </w:rPr>
            </w:pPr>
          </w:p>
        </w:tc>
        <w:tc>
          <w:tcPr>
            <w:tcW w:w="1800" w:type="dxa"/>
          </w:tcPr>
          <w:p w14:paraId="6D52B1CC" w14:textId="77777777" w:rsidR="00DA702B" w:rsidRPr="00DA702B" w:rsidRDefault="00DA702B" w:rsidP="00DA702B">
            <w:pPr>
              <w:rPr>
                <w:sz w:val="20"/>
                <w:szCs w:val="20"/>
              </w:rPr>
            </w:pPr>
          </w:p>
        </w:tc>
        <w:tc>
          <w:tcPr>
            <w:tcW w:w="1800" w:type="dxa"/>
          </w:tcPr>
          <w:p w14:paraId="187BC05E" w14:textId="77777777" w:rsidR="00DA702B" w:rsidRPr="00DA702B" w:rsidRDefault="00DA702B" w:rsidP="00DA702B">
            <w:pPr>
              <w:rPr>
                <w:sz w:val="20"/>
                <w:szCs w:val="20"/>
              </w:rPr>
            </w:pPr>
          </w:p>
        </w:tc>
        <w:tc>
          <w:tcPr>
            <w:tcW w:w="1800" w:type="dxa"/>
          </w:tcPr>
          <w:p w14:paraId="5E8FA74B" w14:textId="77777777" w:rsidR="00DA702B" w:rsidRPr="00DA702B" w:rsidRDefault="00DA702B" w:rsidP="00DA702B">
            <w:pPr>
              <w:rPr>
                <w:sz w:val="20"/>
                <w:szCs w:val="20"/>
              </w:rPr>
            </w:pPr>
          </w:p>
        </w:tc>
      </w:tr>
      <w:tr w:rsidR="00DA702B" w:rsidRPr="00DA702B" w14:paraId="1128E5F0" w14:textId="77777777" w:rsidTr="00247007">
        <w:trPr>
          <w:cantSplit/>
          <w:trHeight w:val="346"/>
          <w:tblHeader/>
        </w:trPr>
        <w:tc>
          <w:tcPr>
            <w:tcW w:w="1800" w:type="dxa"/>
          </w:tcPr>
          <w:p w14:paraId="706E8833" w14:textId="77777777" w:rsidR="00DA702B" w:rsidRPr="00DA702B" w:rsidRDefault="00DA702B" w:rsidP="00DA702B">
            <w:pPr>
              <w:rPr>
                <w:sz w:val="20"/>
                <w:szCs w:val="20"/>
              </w:rPr>
            </w:pPr>
          </w:p>
        </w:tc>
        <w:tc>
          <w:tcPr>
            <w:tcW w:w="1800" w:type="dxa"/>
          </w:tcPr>
          <w:p w14:paraId="5B6BFC05" w14:textId="77777777" w:rsidR="00DA702B" w:rsidRPr="00DA702B" w:rsidRDefault="00DA702B" w:rsidP="00DA702B">
            <w:pPr>
              <w:rPr>
                <w:sz w:val="20"/>
                <w:szCs w:val="20"/>
              </w:rPr>
            </w:pPr>
          </w:p>
        </w:tc>
        <w:tc>
          <w:tcPr>
            <w:tcW w:w="1800" w:type="dxa"/>
          </w:tcPr>
          <w:p w14:paraId="58B03072" w14:textId="77777777" w:rsidR="00DA702B" w:rsidRPr="00DA702B" w:rsidRDefault="00DA702B" w:rsidP="00DA702B">
            <w:pPr>
              <w:rPr>
                <w:sz w:val="20"/>
                <w:szCs w:val="20"/>
              </w:rPr>
            </w:pPr>
          </w:p>
        </w:tc>
        <w:tc>
          <w:tcPr>
            <w:tcW w:w="1800" w:type="dxa"/>
          </w:tcPr>
          <w:p w14:paraId="7A3F5D14" w14:textId="77777777" w:rsidR="00DA702B" w:rsidRPr="00DA702B" w:rsidRDefault="00DA702B" w:rsidP="00DA702B">
            <w:pPr>
              <w:rPr>
                <w:sz w:val="20"/>
                <w:szCs w:val="20"/>
              </w:rPr>
            </w:pPr>
          </w:p>
        </w:tc>
        <w:tc>
          <w:tcPr>
            <w:tcW w:w="1800" w:type="dxa"/>
          </w:tcPr>
          <w:p w14:paraId="6BE2B609" w14:textId="77777777" w:rsidR="00DA702B" w:rsidRPr="00DA702B" w:rsidRDefault="00DA702B" w:rsidP="00DA702B">
            <w:pPr>
              <w:rPr>
                <w:sz w:val="20"/>
                <w:szCs w:val="20"/>
              </w:rPr>
            </w:pPr>
          </w:p>
        </w:tc>
        <w:tc>
          <w:tcPr>
            <w:tcW w:w="1800" w:type="dxa"/>
          </w:tcPr>
          <w:p w14:paraId="736E5527" w14:textId="77777777" w:rsidR="00DA702B" w:rsidRPr="00DA702B" w:rsidRDefault="00DA702B" w:rsidP="00DA702B">
            <w:pPr>
              <w:rPr>
                <w:sz w:val="20"/>
                <w:szCs w:val="20"/>
              </w:rPr>
            </w:pPr>
          </w:p>
        </w:tc>
        <w:tc>
          <w:tcPr>
            <w:tcW w:w="1800" w:type="dxa"/>
          </w:tcPr>
          <w:p w14:paraId="6AC5A9EF" w14:textId="77777777" w:rsidR="00DA702B" w:rsidRPr="00DA702B" w:rsidRDefault="00DA702B" w:rsidP="00DA702B">
            <w:pPr>
              <w:rPr>
                <w:sz w:val="20"/>
                <w:szCs w:val="20"/>
              </w:rPr>
            </w:pPr>
          </w:p>
        </w:tc>
        <w:tc>
          <w:tcPr>
            <w:tcW w:w="1800" w:type="dxa"/>
          </w:tcPr>
          <w:p w14:paraId="3C151DE6" w14:textId="77777777" w:rsidR="00DA702B" w:rsidRPr="00DA702B" w:rsidRDefault="00DA702B" w:rsidP="00DA702B">
            <w:pPr>
              <w:rPr>
                <w:sz w:val="20"/>
                <w:szCs w:val="20"/>
              </w:rPr>
            </w:pPr>
          </w:p>
        </w:tc>
      </w:tr>
      <w:tr w:rsidR="00DA702B" w:rsidRPr="00DA702B" w14:paraId="0E0CF135" w14:textId="77777777" w:rsidTr="00247007">
        <w:trPr>
          <w:cantSplit/>
          <w:trHeight w:val="346"/>
          <w:tblHeader/>
        </w:trPr>
        <w:tc>
          <w:tcPr>
            <w:tcW w:w="1800" w:type="dxa"/>
          </w:tcPr>
          <w:p w14:paraId="6909D272" w14:textId="77777777" w:rsidR="00DA702B" w:rsidRPr="00DA702B" w:rsidRDefault="00DA702B" w:rsidP="00DA702B">
            <w:pPr>
              <w:rPr>
                <w:sz w:val="20"/>
                <w:szCs w:val="20"/>
              </w:rPr>
            </w:pPr>
          </w:p>
        </w:tc>
        <w:tc>
          <w:tcPr>
            <w:tcW w:w="1800" w:type="dxa"/>
          </w:tcPr>
          <w:p w14:paraId="38DB4A56" w14:textId="77777777" w:rsidR="00DA702B" w:rsidRPr="00DA702B" w:rsidRDefault="00DA702B" w:rsidP="00DA702B">
            <w:pPr>
              <w:rPr>
                <w:sz w:val="20"/>
                <w:szCs w:val="20"/>
              </w:rPr>
            </w:pPr>
          </w:p>
        </w:tc>
        <w:tc>
          <w:tcPr>
            <w:tcW w:w="1800" w:type="dxa"/>
          </w:tcPr>
          <w:p w14:paraId="4FBFA6CC" w14:textId="77777777" w:rsidR="00DA702B" w:rsidRPr="00DA702B" w:rsidRDefault="00DA702B" w:rsidP="00DA702B">
            <w:pPr>
              <w:rPr>
                <w:sz w:val="20"/>
                <w:szCs w:val="20"/>
              </w:rPr>
            </w:pPr>
          </w:p>
        </w:tc>
        <w:tc>
          <w:tcPr>
            <w:tcW w:w="1800" w:type="dxa"/>
          </w:tcPr>
          <w:p w14:paraId="066ECCFC" w14:textId="77777777" w:rsidR="00DA702B" w:rsidRPr="00DA702B" w:rsidRDefault="00DA702B" w:rsidP="00DA702B">
            <w:pPr>
              <w:rPr>
                <w:sz w:val="20"/>
                <w:szCs w:val="20"/>
              </w:rPr>
            </w:pPr>
          </w:p>
        </w:tc>
        <w:tc>
          <w:tcPr>
            <w:tcW w:w="1800" w:type="dxa"/>
          </w:tcPr>
          <w:p w14:paraId="63BA9019" w14:textId="77777777" w:rsidR="00DA702B" w:rsidRPr="00DA702B" w:rsidRDefault="00DA702B" w:rsidP="00DA702B">
            <w:pPr>
              <w:rPr>
                <w:sz w:val="20"/>
                <w:szCs w:val="20"/>
              </w:rPr>
            </w:pPr>
          </w:p>
        </w:tc>
        <w:tc>
          <w:tcPr>
            <w:tcW w:w="1800" w:type="dxa"/>
          </w:tcPr>
          <w:p w14:paraId="073703E6" w14:textId="77777777" w:rsidR="00DA702B" w:rsidRPr="00DA702B" w:rsidRDefault="00DA702B" w:rsidP="00DA702B">
            <w:pPr>
              <w:rPr>
                <w:sz w:val="20"/>
                <w:szCs w:val="20"/>
              </w:rPr>
            </w:pPr>
          </w:p>
        </w:tc>
        <w:tc>
          <w:tcPr>
            <w:tcW w:w="1800" w:type="dxa"/>
          </w:tcPr>
          <w:p w14:paraId="649D48D9" w14:textId="77777777" w:rsidR="00DA702B" w:rsidRPr="00DA702B" w:rsidRDefault="00DA702B" w:rsidP="00DA702B">
            <w:pPr>
              <w:rPr>
                <w:sz w:val="20"/>
                <w:szCs w:val="20"/>
              </w:rPr>
            </w:pPr>
          </w:p>
        </w:tc>
        <w:tc>
          <w:tcPr>
            <w:tcW w:w="1800" w:type="dxa"/>
          </w:tcPr>
          <w:p w14:paraId="010092D0" w14:textId="77777777" w:rsidR="00DA702B" w:rsidRPr="00DA702B" w:rsidRDefault="00DA702B" w:rsidP="00DA702B">
            <w:pPr>
              <w:rPr>
                <w:sz w:val="20"/>
                <w:szCs w:val="20"/>
              </w:rPr>
            </w:pPr>
          </w:p>
        </w:tc>
      </w:tr>
      <w:tr w:rsidR="00DA702B" w:rsidRPr="00DA702B" w14:paraId="64676F87" w14:textId="77777777" w:rsidTr="00247007">
        <w:trPr>
          <w:cantSplit/>
          <w:trHeight w:val="346"/>
          <w:tblHeader/>
        </w:trPr>
        <w:tc>
          <w:tcPr>
            <w:tcW w:w="1800" w:type="dxa"/>
          </w:tcPr>
          <w:p w14:paraId="218E4836" w14:textId="77777777" w:rsidR="00DA702B" w:rsidRPr="00DA702B" w:rsidRDefault="00DA702B" w:rsidP="00DA702B">
            <w:pPr>
              <w:rPr>
                <w:sz w:val="20"/>
                <w:szCs w:val="20"/>
              </w:rPr>
            </w:pPr>
          </w:p>
        </w:tc>
        <w:tc>
          <w:tcPr>
            <w:tcW w:w="1800" w:type="dxa"/>
          </w:tcPr>
          <w:p w14:paraId="6A75094F" w14:textId="77777777" w:rsidR="00DA702B" w:rsidRPr="00DA702B" w:rsidRDefault="00DA702B" w:rsidP="00DA702B">
            <w:pPr>
              <w:rPr>
                <w:sz w:val="20"/>
                <w:szCs w:val="20"/>
              </w:rPr>
            </w:pPr>
          </w:p>
        </w:tc>
        <w:tc>
          <w:tcPr>
            <w:tcW w:w="1800" w:type="dxa"/>
          </w:tcPr>
          <w:p w14:paraId="26F2FB0C" w14:textId="77777777" w:rsidR="00DA702B" w:rsidRPr="00DA702B" w:rsidRDefault="00DA702B" w:rsidP="00DA702B">
            <w:pPr>
              <w:rPr>
                <w:sz w:val="20"/>
                <w:szCs w:val="20"/>
              </w:rPr>
            </w:pPr>
          </w:p>
        </w:tc>
        <w:tc>
          <w:tcPr>
            <w:tcW w:w="1800" w:type="dxa"/>
          </w:tcPr>
          <w:p w14:paraId="5295C756" w14:textId="77777777" w:rsidR="00DA702B" w:rsidRPr="00DA702B" w:rsidRDefault="00DA702B" w:rsidP="00DA702B">
            <w:pPr>
              <w:rPr>
                <w:sz w:val="20"/>
                <w:szCs w:val="20"/>
              </w:rPr>
            </w:pPr>
          </w:p>
        </w:tc>
        <w:tc>
          <w:tcPr>
            <w:tcW w:w="1800" w:type="dxa"/>
          </w:tcPr>
          <w:p w14:paraId="570D0F20" w14:textId="77777777" w:rsidR="00DA702B" w:rsidRPr="00DA702B" w:rsidRDefault="00DA702B" w:rsidP="00DA702B">
            <w:pPr>
              <w:rPr>
                <w:sz w:val="20"/>
                <w:szCs w:val="20"/>
              </w:rPr>
            </w:pPr>
          </w:p>
        </w:tc>
        <w:tc>
          <w:tcPr>
            <w:tcW w:w="1800" w:type="dxa"/>
          </w:tcPr>
          <w:p w14:paraId="2B0A1325" w14:textId="77777777" w:rsidR="00DA702B" w:rsidRPr="00DA702B" w:rsidRDefault="00DA702B" w:rsidP="00DA702B">
            <w:pPr>
              <w:rPr>
                <w:sz w:val="20"/>
                <w:szCs w:val="20"/>
              </w:rPr>
            </w:pPr>
          </w:p>
        </w:tc>
        <w:tc>
          <w:tcPr>
            <w:tcW w:w="1800" w:type="dxa"/>
          </w:tcPr>
          <w:p w14:paraId="3C8D4816" w14:textId="77777777" w:rsidR="00DA702B" w:rsidRPr="00DA702B" w:rsidRDefault="00DA702B" w:rsidP="00DA702B">
            <w:pPr>
              <w:rPr>
                <w:sz w:val="20"/>
                <w:szCs w:val="20"/>
              </w:rPr>
            </w:pPr>
          </w:p>
        </w:tc>
        <w:tc>
          <w:tcPr>
            <w:tcW w:w="1800" w:type="dxa"/>
          </w:tcPr>
          <w:p w14:paraId="13133F13" w14:textId="77777777" w:rsidR="00DA702B" w:rsidRPr="00DA702B" w:rsidRDefault="00DA702B" w:rsidP="00DA702B">
            <w:pPr>
              <w:rPr>
                <w:sz w:val="20"/>
                <w:szCs w:val="20"/>
              </w:rPr>
            </w:pPr>
          </w:p>
        </w:tc>
      </w:tr>
      <w:tr w:rsidR="00DA702B" w:rsidRPr="00DA702B" w14:paraId="5D06A715" w14:textId="77777777" w:rsidTr="00247007">
        <w:trPr>
          <w:cantSplit/>
          <w:trHeight w:val="346"/>
          <w:tblHeader/>
        </w:trPr>
        <w:tc>
          <w:tcPr>
            <w:tcW w:w="1800" w:type="dxa"/>
          </w:tcPr>
          <w:p w14:paraId="6F2E6DA6" w14:textId="77777777" w:rsidR="00DA702B" w:rsidRPr="00DA702B" w:rsidRDefault="00DA702B" w:rsidP="00DA702B">
            <w:pPr>
              <w:rPr>
                <w:sz w:val="20"/>
                <w:szCs w:val="20"/>
              </w:rPr>
            </w:pPr>
          </w:p>
        </w:tc>
        <w:tc>
          <w:tcPr>
            <w:tcW w:w="1800" w:type="dxa"/>
          </w:tcPr>
          <w:p w14:paraId="633170D0" w14:textId="77777777" w:rsidR="00DA702B" w:rsidRPr="00DA702B" w:rsidRDefault="00DA702B" w:rsidP="00DA702B">
            <w:pPr>
              <w:rPr>
                <w:sz w:val="20"/>
                <w:szCs w:val="20"/>
              </w:rPr>
            </w:pPr>
          </w:p>
        </w:tc>
        <w:tc>
          <w:tcPr>
            <w:tcW w:w="1800" w:type="dxa"/>
          </w:tcPr>
          <w:p w14:paraId="7AC1D0F9" w14:textId="77777777" w:rsidR="00DA702B" w:rsidRPr="00DA702B" w:rsidRDefault="00DA702B" w:rsidP="00DA702B">
            <w:pPr>
              <w:rPr>
                <w:sz w:val="20"/>
                <w:szCs w:val="20"/>
              </w:rPr>
            </w:pPr>
          </w:p>
        </w:tc>
        <w:tc>
          <w:tcPr>
            <w:tcW w:w="1800" w:type="dxa"/>
          </w:tcPr>
          <w:p w14:paraId="787AD27F" w14:textId="77777777" w:rsidR="00DA702B" w:rsidRPr="00DA702B" w:rsidRDefault="00DA702B" w:rsidP="00DA702B">
            <w:pPr>
              <w:rPr>
                <w:sz w:val="20"/>
                <w:szCs w:val="20"/>
              </w:rPr>
            </w:pPr>
          </w:p>
        </w:tc>
        <w:tc>
          <w:tcPr>
            <w:tcW w:w="1800" w:type="dxa"/>
          </w:tcPr>
          <w:p w14:paraId="1AEA3DA9" w14:textId="77777777" w:rsidR="00DA702B" w:rsidRPr="00DA702B" w:rsidRDefault="00DA702B" w:rsidP="00DA702B">
            <w:pPr>
              <w:rPr>
                <w:sz w:val="20"/>
                <w:szCs w:val="20"/>
              </w:rPr>
            </w:pPr>
          </w:p>
        </w:tc>
        <w:tc>
          <w:tcPr>
            <w:tcW w:w="1800" w:type="dxa"/>
          </w:tcPr>
          <w:p w14:paraId="274C490C" w14:textId="77777777" w:rsidR="00DA702B" w:rsidRPr="00DA702B" w:rsidRDefault="00DA702B" w:rsidP="00DA702B">
            <w:pPr>
              <w:rPr>
                <w:sz w:val="20"/>
                <w:szCs w:val="20"/>
              </w:rPr>
            </w:pPr>
          </w:p>
        </w:tc>
        <w:tc>
          <w:tcPr>
            <w:tcW w:w="1800" w:type="dxa"/>
          </w:tcPr>
          <w:p w14:paraId="349B243B" w14:textId="77777777" w:rsidR="00DA702B" w:rsidRPr="00DA702B" w:rsidRDefault="00DA702B" w:rsidP="00DA702B">
            <w:pPr>
              <w:rPr>
                <w:sz w:val="20"/>
                <w:szCs w:val="20"/>
              </w:rPr>
            </w:pPr>
          </w:p>
        </w:tc>
        <w:tc>
          <w:tcPr>
            <w:tcW w:w="1800" w:type="dxa"/>
          </w:tcPr>
          <w:p w14:paraId="3EC9C13A" w14:textId="77777777" w:rsidR="00DA702B" w:rsidRPr="00DA702B" w:rsidRDefault="00DA702B" w:rsidP="00DA702B">
            <w:pPr>
              <w:rPr>
                <w:sz w:val="20"/>
                <w:szCs w:val="20"/>
              </w:rPr>
            </w:pPr>
          </w:p>
        </w:tc>
      </w:tr>
      <w:tr w:rsidR="00DA702B" w:rsidRPr="00DA702B" w14:paraId="0A61E038" w14:textId="77777777" w:rsidTr="00247007">
        <w:trPr>
          <w:cantSplit/>
          <w:trHeight w:val="346"/>
          <w:tblHeader/>
        </w:trPr>
        <w:tc>
          <w:tcPr>
            <w:tcW w:w="1800" w:type="dxa"/>
          </w:tcPr>
          <w:p w14:paraId="6344C8BD" w14:textId="77777777" w:rsidR="00DA702B" w:rsidRPr="00DA702B" w:rsidRDefault="00DA702B" w:rsidP="00DA702B">
            <w:pPr>
              <w:rPr>
                <w:sz w:val="20"/>
                <w:szCs w:val="20"/>
              </w:rPr>
            </w:pPr>
          </w:p>
        </w:tc>
        <w:tc>
          <w:tcPr>
            <w:tcW w:w="1800" w:type="dxa"/>
          </w:tcPr>
          <w:p w14:paraId="60D5DB04" w14:textId="77777777" w:rsidR="00DA702B" w:rsidRPr="00DA702B" w:rsidRDefault="00DA702B" w:rsidP="00DA702B">
            <w:pPr>
              <w:rPr>
                <w:sz w:val="20"/>
                <w:szCs w:val="20"/>
              </w:rPr>
            </w:pPr>
          </w:p>
        </w:tc>
        <w:tc>
          <w:tcPr>
            <w:tcW w:w="1800" w:type="dxa"/>
          </w:tcPr>
          <w:p w14:paraId="074018ED" w14:textId="77777777" w:rsidR="00DA702B" w:rsidRPr="00DA702B" w:rsidRDefault="00DA702B" w:rsidP="00DA702B">
            <w:pPr>
              <w:rPr>
                <w:sz w:val="20"/>
                <w:szCs w:val="20"/>
              </w:rPr>
            </w:pPr>
          </w:p>
        </w:tc>
        <w:tc>
          <w:tcPr>
            <w:tcW w:w="1800" w:type="dxa"/>
          </w:tcPr>
          <w:p w14:paraId="4108E1DD" w14:textId="77777777" w:rsidR="00DA702B" w:rsidRPr="00DA702B" w:rsidRDefault="00DA702B" w:rsidP="00DA702B">
            <w:pPr>
              <w:rPr>
                <w:sz w:val="20"/>
                <w:szCs w:val="20"/>
              </w:rPr>
            </w:pPr>
          </w:p>
        </w:tc>
        <w:tc>
          <w:tcPr>
            <w:tcW w:w="1800" w:type="dxa"/>
          </w:tcPr>
          <w:p w14:paraId="0CCDA3BF" w14:textId="77777777" w:rsidR="00DA702B" w:rsidRPr="00DA702B" w:rsidRDefault="00DA702B" w:rsidP="00DA702B">
            <w:pPr>
              <w:rPr>
                <w:sz w:val="20"/>
                <w:szCs w:val="20"/>
              </w:rPr>
            </w:pPr>
          </w:p>
        </w:tc>
        <w:tc>
          <w:tcPr>
            <w:tcW w:w="1800" w:type="dxa"/>
          </w:tcPr>
          <w:p w14:paraId="480F7C4D" w14:textId="77777777" w:rsidR="00DA702B" w:rsidRPr="00DA702B" w:rsidRDefault="00DA702B" w:rsidP="00DA702B">
            <w:pPr>
              <w:rPr>
                <w:sz w:val="20"/>
                <w:szCs w:val="20"/>
              </w:rPr>
            </w:pPr>
          </w:p>
        </w:tc>
        <w:tc>
          <w:tcPr>
            <w:tcW w:w="1800" w:type="dxa"/>
          </w:tcPr>
          <w:p w14:paraId="15206C5E" w14:textId="77777777" w:rsidR="00DA702B" w:rsidRPr="00DA702B" w:rsidRDefault="00DA702B" w:rsidP="00DA702B">
            <w:pPr>
              <w:rPr>
                <w:sz w:val="20"/>
                <w:szCs w:val="20"/>
              </w:rPr>
            </w:pPr>
          </w:p>
        </w:tc>
        <w:tc>
          <w:tcPr>
            <w:tcW w:w="1800" w:type="dxa"/>
          </w:tcPr>
          <w:p w14:paraId="17EA1630" w14:textId="77777777" w:rsidR="00DA702B" w:rsidRPr="00DA702B" w:rsidRDefault="00DA702B" w:rsidP="00DA702B">
            <w:pPr>
              <w:rPr>
                <w:sz w:val="20"/>
                <w:szCs w:val="20"/>
              </w:rPr>
            </w:pPr>
          </w:p>
        </w:tc>
      </w:tr>
    </w:tbl>
    <w:p w14:paraId="1DE5948A" w14:textId="77777777" w:rsidR="00DA702B" w:rsidRPr="00DA702B" w:rsidRDefault="00DA702B" w:rsidP="00DA702B">
      <w:r w:rsidRPr="00DA702B">
        <w:br w:type="page"/>
      </w:r>
    </w:p>
    <w:p w14:paraId="0B8032E0" w14:textId="77777777" w:rsidR="00DA702B" w:rsidRPr="00DA702B" w:rsidRDefault="00DA702B" w:rsidP="00C74CE2">
      <w:pPr>
        <w:widowControl w:val="0"/>
        <w:jc w:val="center"/>
        <w:rPr>
          <w:rFonts w:eastAsiaTheme="majorEastAsia"/>
          <w:b/>
          <w:bCs/>
        </w:rPr>
      </w:pPr>
      <w:r w:rsidRPr="00DA702B">
        <w:rPr>
          <w:rFonts w:eastAsiaTheme="majorEastAsia"/>
          <w:b/>
          <w:bCs/>
        </w:rPr>
        <w:lastRenderedPageBreak/>
        <w:t>Boiler/Steam Generator/Steam Generating Unit Attributes</w:t>
      </w:r>
    </w:p>
    <w:p w14:paraId="502C6C74" w14:textId="77777777" w:rsidR="00DA702B" w:rsidRPr="00DA702B" w:rsidRDefault="00DA702B" w:rsidP="00C74CE2">
      <w:pPr>
        <w:widowControl w:val="0"/>
        <w:jc w:val="center"/>
        <w:rPr>
          <w:rFonts w:eastAsiaTheme="majorEastAsia"/>
          <w:b/>
          <w:bCs/>
        </w:rPr>
      </w:pPr>
      <w:r w:rsidRPr="00DA702B">
        <w:rPr>
          <w:rFonts w:eastAsiaTheme="majorEastAsia"/>
          <w:b/>
          <w:bCs/>
        </w:rPr>
        <w:t>Form OP-UA6 (Page 30)</w:t>
      </w:r>
    </w:p>
    <w:p w14:paraId="53497701" w14:textId="77777777" w:rsidR="00DA702B" w:rsidRPr="00DA702B" w:rsidRDefault="00DA702B" w:rsidP="00C74CE2">
      <w:pPr>
        <w:widowControl w:val="0"/>
        <w:jc w:val="center"/>
        <w:rPr>
          <w:rFonts w:eastAsiaTheme="majorEastAsia"/>
          <w:b/>
          <w:bCs/>
        </w:rPr>
      </w:pPr>
      <w:r w:rsidRPr="00DA702B">
        <w:rPr>
          <w:rFonts w:eastAsiaTheme="majorEastAsia"/>
          <w:b/>
          <w:bCs/>
        </w:rPr>
        <w:t>Federal Operating Permit Program</w:t>
      </w:r>
    </w:p>
    <w:p w14:paraId="44674B89" w14:textId="77777777" w:rsidR="00DA702B" w:rsidRPr="00DA702B" w:rsidRDefault="00DA702B" w:rsidP="00C74CE2">
      <w:pPr>
        <w:widowControl w:val="0"/>
        <w:jc w:val="center"/>
        <w:rPr>
          <w:rFonts w:eastAsiaTheme="majorEastAsia"/>
          <w:b/>
          <w:bCs/>
        </w:rPr>
      </w:pPr>
      <w:bookmarkStart w:id="192" w:name="TBL_13c"/>
      <w:r w:rsidRPr="00DA702B">
        <w:rPr>
          <w:rFonts w:eastAsiaTheme="majorEastAsia"/>
          <w:b/>
          <w:bCs/>
        </w:rPr>
        <w:t>Table 13c</w:t>
      </w:r>
      <w:bookmarkEnd w:id="192"/>
      <w:r w:rsidRPr="00DA702B">
        <w:rPr>
          <w:rFonts w:eastAsiaTheme="majorEastAsia"/>
          <w:b/>
          <w:bCs/>
        </w:rPr>
        <w:t>:  Title 40 Code of Federal Regulations Part 63 (40 CFR Part 63)</w:t>
      </w:r>
    </w:p>
    <w:p w14:paraId="49C9AF5F" w14:textId="77777777" w:rsidR="00DA702B" w:rsidRPr="00DA702B" w:rsidRDefault="00DA702B" w:rsidP="00C74CE2">
      <w:pPr>
        <w:widowControl w:val="0"/>
        <w:jc w:val="center"/>
        <w:rPr>
          <w:rFonts w:eastAsiaTheme="majorEastAsia"/>
          <w:b/>
          <w:bCs/>
        </w:rPr>
      </w:pPr>
      <w:r w:rsidRPr="00DA702B">
        <w:rPr>
          <w:rFonts w:eastAsiaTheme="majorEastAsia"/>
          <w:b/>
          <w:bCs/>
        </w:rPr>
        <w:t>Subpart UUUUU:  Coal- and Oil-Fired Electric Utility Steam Generating Units</w:t>
      </w:r>
    </w:p>
    <w:p w14:paraId="595998DE" w14:textId="77777777" w:rsidR="00DA702B" w:rsidRPr="00DA702B" w:rsidRDefault="00DA702B" w:rsidP="00C74CE2">
      <w:pPr>
        <w:widowControl w:val="0"/>
        <w:jc w:val="center"/>
        <w:rPr>
          <w:b/>
          <w:bCs/>
        </w:rPr>
      </w:pPr>
      <w:r w:rsidRPr="00DA702B">
        <w:rPr>
          <w:b/>
          <w:bCs/>
        </w:rPr>
        <w:t>Texas Commission on Environmental Quality</w:t>
      </w:r>
    </w:p>
    <w:p w14:paraId="5D4A4FD1"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c:  Title 40 Code of Federal Regulations Part 63 (40 CFR Part 63)&#10;Subpart UUUUU:  Coal- and Oil-Fired Electric Utility Steam Generating Units&#10;"/>
      </w:tblPr>
      <w:tblGrid>
        <w:gridCol w:w="4800"/>
        <w:gridCol w:w="4800"/>
        <w:gridCol w:w="4800"/>
      </w:tblGrid>
      <w:tr w:rsidR="00DA702B" w:rsidRPr="00DA702B" w14:paraId="2B0655E9" w14:textId="77777777" w:rsidTr="00247007">
        <w:trPr>
          <w:cantSplit/>
          <w:tblHeader/>
        </w:trPr>
        <w:tc>
          <w:tcPr>
            <w:tcW w:w="4800" w:type="dxa"/>
            <w:shd w:val="clear" w:color="auto" w:fill="D9D9D9" w:themeFill="background1" w:themeFillShade="D9"/>
          </w:tcPr>
          <w:p w14:paraId="06E4F699"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18D4EDC1"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3BB1B1FF"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0EEDBD1C" w14:textId="77777777" w:rsidTr="00247007">
        <w:trPr>
          <w:cantSplit/>
          <w:tblHeader/>
        </w:trPr>
        <w:tc>
          <w:tcPr>
            <w:tcW w:w="4800" w:type="dxa"/>
          </w:tcPr>
          <w:p w14:paraId="2D1A900E" w14:textId="77777777" w:rsidR="00DA702B" w:rsidRPr="00DA702B" w:rsidRDefault="00DA702B" w:rsidP="00DA702B">
            <w:pPr>
              <w:rPr>
                <w:rFonts w:asciiTheme="majorHAnsi" w:hAnsiTheme="majorHAnsi" w:cstheme="majorHAnsi"/>
              </w:rPr>
            </w:pPr>
          </w:p>
        </w:tc>
        <w:tc>
          <w:tcPr>
            <w:tcW w:w="4800" w:type="dxa"/>
          </w:tcPr>
          <w:p w14:paraId="6F153CB4" w14:textId="77777777" w:rsidR="00DA702B" w:rsidRPr="00DA702B" w:rsidRDefault="00DA702B" w:rsidP="00DA702B">
            <w:pPr>
              <w:rPr>
                <w:rFonts w:asciiTheme="majorHAnsi" w:hAnsiTheme="majorHAnsi" w:cstheme="majorHAnsi"/>
              </w:rPr>
            </w:pPr>
          </w:p>
        </w:tc>
        <w:tc>
          <w:tcPr>
            <w:tcW w:w="4800" w:type="dxa"/>
          </w:tcPr>
          <w:p w14:paraId="1CC6BA82" w14:textId="77777777" w:rsidR="00DA702B" w:rsidRPr="00DA702B" w:rsidRDefault="00DA702B" w:rsidP="00DA702B">
            <w:pPr>
              <w:rPr>
                <w:rFonts w:asciiTheme="majorHAnsi" w:hAnsiTheme="majorHAnsi" w:cstheme="majorHAnsi"/>
              </w:rPr>
            </w:pPr>
          </w:p>
        </w:tc>
      </w:tr>
    </w:tbl>
    <w:p w14:paraId="517C9145"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3c:  Title 40 Code of Federal Regulations Part 63 (40 CFR Part 63)&#10;Subpart UUUUU:  Coal- and Oil-Fired Electric Utility Steam Generating Units&#10;"/>
      </w:tblPr>
      <w:tblGrid>
        <w:gridCol w:w="1800"/>
        <w:gridCol w:w="1800"/>
        <w:gridCol w:w="1800"/>
        <w:gridCol w:w="1800"/>
        <w:gridCol w:w="1800"/>
        <w:gridCol w:w="1800"/>
        <w:gridCol w:w="1800"/>
        <w:gridCol w:w="1800"/>
      </w:tblGrid>
      <w:tr w:rsidR="00DA702B" w:rsidRPr="00DA702B" w14:paraId="6751805E" w14:textId="77777777" w:rsidTr="00247007">
        <w:trPr>
          <w:cantSplit/>
          <w:trHeight w:val="346"/>
          <w:tblHeader/>
        </w:trPr>
        <w:tc>
          <w:tcPr>
            <w:tcW w:w="1800" w:type="dxa"/>
            <w:shd w:val="clear" w:color="auto" w:fill="D9D9D9" w:themeFill="background1" w:themeFillShade="D9"/>
            <w:vAlign w:val="center"/>
          </w:tcPr>
          <w:p w14:paraId="32DDE374" w14:textId="77777777" w:rsidR="00DA702B" w:rsidRPr="00DA702B" w:rsidRDefault="00DA702B" w:rsidP="00DA702B">
            <w:pPr>
              <w:jc w:val="center"/>
              <w:rPr>
                <w:sz w:val="20"/>
                <w:szCs w:val="20"/>
              </w:rPr>
            </w:pPr>
            <w:r w:rsidRPr="00DA702B">
              <w:rPr>
                <w:b/>
                <w:sz w:val="20"/>
                <w:szCs w:val="20"/>
              </w:rPr>
              <w:t>Unit ID No.</w:t>
            </w:r>
          </w:p>
        </w:tc>
        <w:tc>
          <w:tcPr>
            <w:tcW w:w="1800" w:type="dxa"/>
            <w:shd w:val="clear" w:color="auto" w:fill="D9D9D9" w:themeFill="background1" w:themeFillShade="D9"/>
            <w:vAlign w:val="center"/>
          </w:tcPr>
          <w:p w14:paraId="056B9563" w14:textId="77777777" w:rsidR="00DA702B" w:rsidRPr="00DA702B" w:rsidRDefault="00DA702B" w:rsidP="00DA702B">
            <w:pPr>
              <w:jc w:val="center"/>
              <w:rPr>
                <w:sz w:val="20"/>
                <w:szCs w:val="20"/>
              </w:rPr>
            </w:pPr>
            <w:r w:rsidRPr="00DA702B">
              <w:rPr>
                <w:b/>
                <w:sz w:val="20"/>
                <w:szCs w:val="20"/>
              </w:rPr>
              <w:t>SOP Index No.</w:t>
            </w:r>
          </w:p>
        </w:tc>
        <w:tc>
          <w:tcPr>
            <w:tcW w:w="1800" w:type="dxa"/>
            <w:shd w:val="clear" w:color="auto" w:fill="D9D9D9" w:themeFill="background1" w:themeFillShade="D9"/>
            <w:vAlign w:val="center"/>
          </w:tcPr>
          <w:p w14:paraId="0B4EABF1" w14:textId="77777777" w:rsidR="00DA702B" w:rsidRPr="00DA702B" w:rsidRDefault="00DA702B" w:rsidP="00DA702B">
            <w:pPr>
              <w:jc w:val="center"/>
              <w:rPr>
                <w:sz w:val="20"/>
                <w:szCs w:val="20"/>
              </w:rPr>
            </w:pPr>
            <w:r w:rsidRPr="00DA702B">
              <w:rPr>
                <w:b/>
                <w:sz w:val="20"/>
                <w:szCs w:val="20"/>
              </w:rPr>
              <w:t>Sb-Input</w:t>
            </w:r>
          </w:p>
        </w:tc>
        <w:tc>
          <w:tcPr>
            <w:tcW w:w="1800" w:type="dxa"/>
            <w:shd w:val="clear" w:color="auto" w:fill="D9D9D9" w:themeFill="background1" w:themeFillShade="D9"/>
            <w:vAlign w:val="center"/>
          </w:tcPr>
          <w:p w14:paraId="64270022" w14:textId="77777777" w:rsidR="00DA702B" w:rsidRPr="00DA702B" w:rsidRDefault="00DA702B" w:rsidP="00DA702B">
            <w:pPr>
              <w:jc w:val="center"/>
              <w:rPr>
                <w:sz w:val="20"/>
                <w:szCs w:val="20"/>
              </w:rPr>
            </w:pPr>
            <w:r w:rsidRPr="00DA702B">
              <w:rPr>
                <w:b/>
                <w:sz w:val="20"/>
                <w:szCs w:val="20"/>
              </w:rPr>
              <w:t>As-Input</w:t>
            </w:r>
          </w:p>
        </w:tc>
        <w:tc>
          <w:tcPr>
            <w:tcW w:w="1800" w:type="dxa"/>
            <w:shd w:val="clear" w:color="auto" w:fill="D9D9D9" w:themeFill="background1" w:themeFillShade="D9"/>
            <w:vAlign w:val="center"/>
          </w:tcPr>
          <w:p w14:paraId="473D1269" w14:textId="77777777" w:rsidR="00DA702B" w:rsidRPr="00DA702B" w:rsidRDefault="00DA702B" w:rsidP="00DA702B">
            <w:pPr>
              <w:jc w:val="center"/>
              <w:rPr>
                <w:sz w:val="20"/>
                <w:szCs w:val="20"/>
              </w:rPr>
            </w:pPr>
            <w:r w:rsidRPr="00DA702B">
              <w:rPr>
                <w:b/>
                <w:sz w:val="20"/>
                <w:szCs w:val="20"/>
              </w:rPr>
              <w:t>Be-Input</w:t>
            </w:r>
          </w:p>
        </w:tc>
        <w:tc>
          <w:tcPr>
            <w:tcW w:w="1800" w:type="dxa"/>
            <w:shd w:val="clear" w:color="auto" w:fill="D9D9D9" w:themeFill="background1" w:themeFillShade="D9"/>
            <w:vAlign w:val="center"/>
          </w:tcPr>
          <w:p w14:paraId="0CF81BDE" w14:textId="77777777" w:rsidR="00DA702B" w:rsidRPr="00DA702B" w:rsidRDefault="00DA702B" w:rsidP="00DA702B">
            <w:pPr>
              <w:jc w:val="center"/>
              <w:rPr>
                <w:sz w:val="20"/>
                <w:szCs w:val="20"/>
              </w:rPr>
            </w:pPr>
            <w:r w:rsidRPr="00DA702B">
              <w:rPr>
                <w:b/>
                <w:sz w:val="20"/>
                <w:szCs w:val="20"/>
              </w:rPr>
              <w:t>Cd-Input</w:t>
            </w:r>
          </w:p>
        </w:tc>
        <w:tc>
          <w:tcPr>
            <w:tcW w:w="1800" w:type="dxa"/>
            <w:shd w:val="clear" w:color="auto" w:fill="D9D9D9" w:themeFill="background1" w:themeFillShade="D9"/>
            <w:vAlign w:val="center"/>
          </w:tcPr>
          <w:p w14:paraId="2551BF55" w14:textId="77777777" w:rsidR="00DA702B" w:rsidRPr="00DA702B" w:rsidRDefault="00DA702B" w:rsidP="00DA702B">
            <w:pPr>
              <w:jc w:val="center"/>
              <w:rPr>
                <w:sz w:val="20"/>
                <w:szCs w:val="20"/>
              </w:rPr>
            </w:pPr>
            <w:r w:rsidRPr="00DA702B">
              <w:rPr>
                <w:b/>
                <w:sz w:val="20"/>
                <w:szCs w:val="20"/>
              </w:rPr>
              <w:t>Cr-Input</w:t>
            </w:r>
          </w:p>
        </w:tc>
        <w:tc>
          <w:tcPr>
            <w:tcW w:w="1800" w:type="dxa"/>
            <w:shd w:val="clear" w:color="auto" w:fill="D9D9D9" w:themeFill="background1" w:themeFillShade="D9"/>
            <w:vAlign w:val="center"/>
          </w:tcPr>
          <w:p w14:paraId="4C25F5BF" w14:textId="77777777" w:rsidR="00DA702B" w:rsidRPr="00DA702B" w:rsidRDefault="00DA702B" w:rsidP="00DA702B">
            <w:pPr>
              <w:jc w:val="center"/>
              <w:rPr>
                <w:sz w:val="20"/>
                <w:szCs w:val="20"/>
              </w:rPr>
            </w:pPr>
            <w:r w:rsidRPr="00DA702B">
              <w:rPr>
                <w:b/>
                <w:sz w:val="20"/>
                <w:szCs w:val="20"/>
              </w:rPr>
              <w:t>Co-Input</w:t>
            </w:r>
          </w:p>
        </w:tc>
      </w:tr>
      <w:tr w:rsidR="00DA702B" w:rsidRPr="00DA702B" w14:paraId="53DEF1FB" w14:textId="77777777" w:rsidTr="00247007">
        <w:trPr>
          <w:cantSplit/>
          <w:trHeight w:val="346"/>
          <w:tblHeader/>
        </w:trPr>
        <w:tc>
          <w:tcPr>
            <w:tcW w:w="1800" w:type="dxa"/>
          </w:tcPr>
          <w:p w14:paraId="3CB68A23" w14:textId="77777777" w:rsidR="00DA702B" w:rsidRPr="00DA702B" w:rsidRDefault="00DA702B" w:rsidP="00DA702B">
            <w:pPr>
              <w:rPr>
                <w:sz w:val="20"/>
                <w:szCs w:val="20"/>
              </w:rPr>
            </w:pPr>
          </w:p>
        </w:tc>
        <w:tc>
          <w:tcPr>
            <w:tcW w:w="1800" w:type="dxa"/>
          </w:tcPr>
          <w:p w14:paraId="41DE4173" w14:textId="77777777" w:rsidR="00DA702B" w:rsidRPr="00DA702B" w:rsidRDefault="00DA702B" w:rsidP="00DA702B">
            <w:pPr>
              <w:rPr>
                <w:sz w:val="20"/>
                <w:szCs w:val="20"/>
              </w:rPr>
            </w:pPr>
          </w:p>
        </w:tc>
        <w:tc>
          <w:tcPr>
            <w:tcW w:w="1800" w:type="dxa"/>
          </w:tcPr>
          <w:p w14:paraId="06819F5D" w14:textId="77777777" w:rsidR="00DA702B" w:rsidRPr="00DA702B" w:rsidRDefault="00DA702B" w:rsidP="00DA702B">
            <w:pPr>
              <w:rPr>
                <w:sz w:val="20"/>
                <w:szCs w:val="20"/>
              </w:rPr>
            </w:pPr>
          </w:p>
        </w:tc>
        <w:tc>
          <w:tcPr>
            <w:tcW w:w="1800" w:type="dxa"/>
          </w:tcPr>
          <w:p w14:paraId="35CB6A4F" w14:textId="77777777" w:rsidR="00DA702B" w:rsidRPr="00DA702B" w:rsidRDefault="00DA702B" w:rsidP="00DA702B">
            <w:pPr>
              <w:rPr>
                <w:sz w:val="20"/>
                <w:szCs w:val="20"/>
              </w:rPr>
            </w:pPr>
          </w:p>
        </w:tc>
        <w:tc>
          <w:tcPr>
            <w:tcW w:w="1800" w:type="dxa"/>
          </w:tcPr>
          <w:p w14:paraId="57BA2307" w14:textId="77777777" w:rsidR="00DA702B" w:rsidRPr="00DA702B" w:rsidRDefault="00DA702B" w:rsidP="00DA702B">
            <w:pPr>
              <w:rPr>
                <w:sz w:val="20"/>
                <w:szCs w:val="20"/>
              </w:rPr>
            </w:pPr>
          </w:p>
        </w:tc>
        <w:tc>
          <w:tcPr>
            <w:tcW w:w="1800" w:type="dxa"/>
          </w:tcPr>
          <w:p w14:paraId="1ADEA494" w14:textId="77777777" w:rsidR="00DA702B" w:rsidRPr="00DA702B" w:rsidRDefault="00DA702B" w:rsidP="00DA702B">
            <w:pPr>
              <w:rPr>
                <w:sz w:val="20"/>
                <w:szCs w:val="20"/>
              </w:rPr>
            </w:pPr>
          </w:p>
        </w:tc>
        <w:tc>
          <w:tcPr>
            <w:tcW w:w="1800" w:type="dxa"/>
          </w:tcPr>
          <w:p w14:paraId="6A5C7DDB" w14:textId="77777777" w:rsidR="00DA702B" w:rsidRPr="00DA702B" w:rsidRDefault="00DA702B" w:rsidP="00DA702B">
            <w:pPr>
              <w:rPr>
                <w:sz w:val="20"/>
                <w:szCs w:val="20"/>
              </w:rPr>
            </w:pPr>
          </w:p>
        </w:tc>
        <w:tc>
          <w:tcPr>
            <w:tcW w:w="1800" w:type="dxa"/>
          </w:tcPr>
          <w:p w14:paraId="79552E52" w14:textId="77777777" w:rsidR="00DA702B" w:rsidRPr="00DA702B" w:rsidRDefault="00DA702B" w:rsidP="00DA702B">
            <w:pPr>
              <w:rPr>
                <w:sz w:val="20"/>
                <w:szCs w:val="20"/>
              </w:rPr>
            </w:pPr>
          </w:p>
        </w:tc>
      </w:tr>
      <w:tr w:rsidR="00DA702B" w:rsidRPr="00DA702B" w14:paraId="64DBC6CC" w14:textId="77777777" w:rsidTr="00247007">
        <w:trPr>
          <w:cantSplit/>
          <w:trHeight w:val="346"/>
          <w:tblHeader/>
        </w:trPr>
        <w:tc>
          <w:tcPr>
            <w:tcW w:w="1800" w:type="dxa"/>
          </w:tcPr>
          <w:p w14:paraId="2AF5FD21" w14:textId="77777777" w:rsidR="00DA702B" w:rsidRPr="00DA702B" w:rsidRDefault="00DA702B" w:rsidP="00DA702B">
            <w:pPr>
              <w:rPr>
                <w:sz w:val="20"/>
                <w:szCs w:val="20"/>
              </w:rPr>
            </w:pPr>
          </w:p>
        </w:tc>
        <w:tc>
          <w:tcPr>
            <w:tcW w:w="1800" w:type="dxa"/>
          </w:tcPr>
          <w:p w14:paraId="39FCB7C0" w14:textId="77777777" w:rsidR="00DA702B" w:rsidRPr="00DA702B" w:rsidRDefault="00DA702B" w:rsidP="00DA702B">
            <w:pPr>
              <w:rPr>
                <w:sz w:val="20"/>
                <w:szCs w:val="20"/>
              </w:rPr>
            </w:pPr>
          </w:p>
        </w:tc>
        <w:tc>
          <w:tcPr>
            <w:tcW w:w="1800" w:type="dxa"/>
          </w:tcPr>
          <w:p w14:paraId="2F2215A5" w14:textId="77777777" w:rsidR="00DA702B" w:rsidRPr="00DA702B" w:rsidRDefault="00DA702B" w:rsidP="00DA702B">
            <w:pPr>
              <w:rPr>
                <w:sz w:val="20"/>
                <w:szCs w:val="20"/>
              </w:rPr>
            </w:pPr>
          </w:p>
        </w:tc>
        <w:tc>
          <w:tcPr>
            <w:tcW w:w="1800" w:type="dxa"/>
          </w:tcPr>
          <w:p w14:paraId="49A52D10" w14:textId="77777777" w:rsidR="00DA702B" w:rsidRPr="00DA702B" w:rsidRDefault="00DA702B" w:rsidP="00DA702B">
            <w:pPr>
              <w:rPr>
                <w:sz w:val="20"/>
                <w:szCs w:val="20"/>
              </w:rPr>
            </w:pPr>
          </w:p>
        </w:tc>
        <w:tc>
          <w:tcPr>
            <w:tcW w:w="1800" w:type="dxa"/>
          </w:tcPr>
          <w:p w14:paraId="60BE9BA6" w14:textId="77777777" w:rsidR="00DA702B" w:rsidRPr="00DA702B" w:rsidRDefault="00DA702B" w:rsidP="00DA702B">
            <w:pPr>
              <w:rPr>
                <w:sz w:val="20"/>
                <w:szCs w:val="20"/>
              </w:rPr>
            </w:pPr>
          </w:p>
        </w:tc>
        <w:tc>
          <w:tcPr>
            <w:tcW w:w="1800" w:type="dxa"/>
          </w:tcPr>
          <w:p w14:paraId="0B660B2C" w14:textId="77777777" w:rsidR="00DA702B" w:rsidRPr="00DA702B" w:rsidRDefault="00DA702B" w:rsidP="00DA702B">
            <w:pPr>
              <w:rPr>
                <w:sz w:val="20"/>
                <w:szCs w:val="20"/>
              </w:rPr>
            </w:pPr>
          </w:p>
        </w:tc>
        <w:tc>
          <w:tcPr>
            <w:tcW w:w="1800" w:type="dxa"/>
          </w:tcPr>
          <w:p w14:paraId="64C73E9F" w14:textId="77777777" w:rsidR="00DA702B" w:rsidRPr="00DA702B" w:rsidRDefault="00DA702B" w:rsidP="00DA702B">
            <w:pPr>
              <w:rPr>
                <w:sz w:val="20"/>
                <w:szCs w:val="20"/>
              </w:rPr>
            </w:pPr>
          </w:p>
        </w:tc>
        <w:tc>
          <w:tcPr>
            <w:tcW w:w="1800" w:type="dxa"/>
          </w:tcPr>
          <w:p w14:paraId="4ABA36F9" w14:textId="77777777" w:rsidR="00DA702B" w:rsidRPr="00DA702B" w:rsidRDefault="00DA702B" w:rsidP="00DA702B">
            <w:pPr>
              <w:rPr>
                <w:sz w:val="20"/>
                <w:szCs w:val="20"/>
              </w:rPr>
            </w:pPr>
          </w:p>
        </w:tc>
      </w:tr>
      <w:tr w:rsidR="00DA702B" w:rsidRPr="00DA702B" w14:paraId="4DBAB22B" w14:textId="77777777" w:rsidTr="00247007">
        <w:trPr>
          <w:cantSplit/>
          <w:trHeight w:val="346"/>
          <w:tblHeader/>
        </w:trPr>
        <w:tc>
          <w:tcPr>
            <w:tcW w:w="1800" w:type="dxa"/>
          </w:tcPr>
          <w:p w14:paraId="5E665FDE" w14:textId="77777777" w:rsidR="00DA702B" w:rsidRPr="00DA702B" w:rsidRDefault="00DA702B" w:rsidP="00DA702B">
            <w:pPr>
              <w:rPr>
                <w:sz w:val="20"/>
                <w:szCs w:val="20"/>
              </w:rPr>
            </w:pPr>
          </w:p>
        </w:tc>
        <w:tc>
          <w:tcPr>
            <w:tcW w:w="1800" w:type="dxa"/>
          </w:tcPr>
          <w:p w14:paraId="1878A6BC" w14:textId="77777777" w:rsidR="00DA702B" w:rsidRPr="00DA702B" w:rsidRDefault="00DA702B" w:rsidP="00DA702B">
            <w:pPr>
              <w:rPr>
                <w:sz w:val="20"/>
                <w:szCs w:val="20"/>
              </w:rPr>
            </w:pPr>
          </w:p>
        </w:tc>
        <w:tc>
          <w:tcPr>
            <w:tcW w:w="1800" w:type="dxa"/>
          </w:tcPr>
          <w:p w14:paraId="67A14107" w14:textId="77777777" w:rsidR="00DA702B" w:rsidRPr="00DA702B" w:rsidRDefault="00DA702B" w:rsidP="00DA702B">
            <w:pPr>
              <w:rPr>
                <w:sz w:val="20"/>
                <w:szCs w:val="20"/>
              </w:rPr>
            </w:pPr>
          </w:p>
        </w:tc>
        <w:tc>
          <w:tcPr>
            <w:tcW w:w="1800" w:type="dxa"/>
          </w:tcPr>
          <w:p w14:paraId="3048955E" w14:textId="77777777" w:rsidR="00DA702B" w:rsidRPr="00DA702B" w:rsidRDefault="00DA702B" w:rsidP="00DA702B">
            <w:pPr>
              <w:rPr>
                <w:sz w:val="20"/>
                <w:szCs w:val="20"/>
              </w:rPr>
            </w:pPr>
          </w:p>
        </w:tc>
        <w:tc>
          <w:tcPr>
            <w:tcW w:w="1800" w:type="dxa"/>
          </w:tcPr>
          <w:p w14:paraId="6B96F93C" w14:textId="77777777" w:rsidR="00DA702B" w:rsidRPr="00DA702B" w:rsidRDefault="00DA702B" w:rsidP="00DA702B">
            <w:pPr>
              <w:rPr>
                <w:sz w:val="20"/>
                <w:szCs w:val="20"/>
              </w:rPr>
            </w:pPr>
          </w:p>
        </w:tc>
        <w:tc>
          <w:tcPr>
            <w:tcW w:w="1800" w:type="dxa"/>
          </w:tcPr>
          <w:p w14:paraId="19E45495" w14:textId="77777777" w:rsidR="00DA702B" w:rsidRPr="00DA702B" w:rsidRDefault="00DA702B" w:rsidP="00DA702B">
            <w:pPr>
              <w:rPr>
                <w:sz w:val="20"/>
                <w:szCs w:val="20"/>
              </w:rPr>
            </w:pPr>
          </w:p>
        </w:tc>
        <w:tc>
          <w:tcPr>
            <w:tcW w:w="1800" w:type="dxa"/>
          </w:tcPr>
          <w:p w14:paraId="678D8D40" w14:textId="77777777" w:rsidR="00DA702B" w:rsidRPr="00DA702B" w:rsidRDefault="00DA702B" w:rsidP="00DA702B">
            <w:pPr>
              <w:rPr>
                <w:sz w:val="20"/>
                <w:szCs w:val="20"/>
              </w:rPr>
            </w:pPr>
          </w:p>
        </w:tc>
        <w:tc>
          <w:tcPr>
            <w:tcW w:w="1800" w:type="dxa"/>
          </w:tcPr>
          <w:p w14:paraId="3C70C823" w14:textId="77777777" w:rsidR="00DA702B" w:rsidRPr="00DA702B" w:rsidRDefault="00DA702B" w:rsidP="00DA702B">
            <w:pPr>
              <w:rPr>
                <w:sz w:val="20"/>
                <w:szCs w:val="20"/>
              </w:rPr>
            </w:pPr>
          </w:p>
        </w:tc>
      </w:tr>
      <w:tr w:rsidR="00DA702B" w:rsidRPr="00DA702B" w14:paraId="6E634EBB" w14:textId="77777777" w:rsidTr="00247007">
        <w:trPr>
          <w:cantSplit/>
          <w:trHeight w:val="346"/>
          <w:tblHeader/>
        </w:trPr>
        <w:tc>
          <w:tcPr>
            <w:tcW w:w="1800" w:type="dxa"/>
          </w:tcPr>
          <w:p w14:paraId="0E51F217" w14:textId="77777777" w:rsidR="00DA702B" w:rsidRPr="00DA702B" w:rsidRDefault="00DA702B" w:rsidP="00DA702B">
            <w:pPr>
              <w:rPr>
                <w:sz w:val="20"/>
                <w:szCs w:val="20"/>
              </w:rPr>
            </w:pPr>
          </w:p>
        </w:tc>
        <w:tc>
          <w:tcPr>
            <w:tcW w:w="1800" w:type="dxa"/>
          </w:tcPr>
          <w:p w14:paraId="78C1275B" w14:textId="77777777" w:rsidR="00DA702B" w:rsidRPr="00DA702B" w:rsidRDefault="00DA702B" w:rsidP="00DA702B">
            <w:pPr>
              <w:rPr>
                <w:sz w:val="20"/>
                <w:szCs w:val="20"/>
              </w:rPr>
            </w:pPr>
          </w:p>
        </w:tc>
        <w:tc>
          <w:tcPr>
            <w:tcW w:w="1800" w:type="dxa"/>
          </w:tcPr>
          <w:p w14:paraId="250FC772" w14:textId="77777777" w:rsidR="00DA702B" w:rsidRPr="00DA702B" w:rsidRDefault="00DA702B" w:rsidP="00DA702B">
            <w:pPr>
              <w:rPr>
                <w:sz w:val="20"/>
                <w:szCs w:val="20"/>
              </w:rPr>
            </w:pPr>
          </w:p>
        </w:tc>
        <w:tc>
          <w:tcPr>
            <w:tcW w:w="1800" w:type="dxa"/>
          </w:tcPr>
          <w:p w14:paraId="69631DC7" w14:textId="77777777" w:rsidR="00DA702B" w:rsidRPr="00DA702B" w:rsidRDefault="00DA702B" w:rsidP="00DA702B">
            <w:pPr>
              <w:rPr>
                <w:sz w:val="20"/>
                <w:szCs w:val="20"/>
              </w:rPr>
            </w:pPr>
          </w:p>
        </w:tc>
        <w:tc>
          <w:tcPr>
            <w:tcW w:w="1800" w:type="dxa"/>
          </w:tcPr>
          <w:p w14:paraId="1A7A526E" w14:textId="77777777" w:rsidR="00DA702B" w:rsidRPr="00DA702B" w:rsidRDefault="00DA702B" w:rsidP="00DA702B">
            <w:pPr>
              <w:rPr>
                <w:sz w:val="20"/>
                <w:szCs w:val="20"/>
              </w:rPr>
            </w:pPr>
          </w:p>
        </w:tc>
        <w:tc>
          <w:tcPr>
            <w:tcW w:w="1800" w:type="dxa"/>
          </w:tcPr>
          <w:p w14:paraId="61B91875" w14:textId="77777777" w:rsidR="00DA702B" w:rsidRPr="00DA702B" w:rsidRDefault="00DA702B" w:rsidP="00DA702B">
            <w:pPr>
              <w:rPr>
                <w:sz w:val="20"/>
                <w:szCs w:val="20"/>
              </w:rPr>
            </w:pPr>
          </w:p>
        </w:tc>
        <w:tc>
          <w:tcPr>
            <w:tcW w:w="1800" w:type="dxa"/>
          </w:tcPr>
          <w:p w14:paraId="14EC19D2" w14:textId="77777777" w:rsidR="00DA702B" w:rsidRPr="00DA702B" w:rsidRDefault="00DA702B" w:rsidP="00DA702B">
            <w:pPr>
              <w:rPr>
                <w:sz w:val="20"/>
                <w:szCs w:val="20"/>
              </w:rPr>
            </w:pPr>
          </w:p>
        </w:tc>
        <w:tc>
          <w:tcPr>
            <w:tcW w:w="1800" w:type="dxa"/>
          </w:tcPr>
          <w:p w14:paraId="40A7548C" w14:textId="77777777" w:rsidR="00DA702B" w:rsidRPr="00DA702B" w:rsidRDefault="00DA702B" w:rsidP="00DA702B">
            <w:pPr>
              <w:rPr>
                <w:sz w:val="20"/>
                <w:szCs w:val="20"/>
              </w:rPr>
            </w:pPr>
          </w:p>
        </w:tc>
      </w:tr>
      <w:tr w:rsidR="00DA702B" w:rsidRPr="00DA702B" w14:paraId="6A812DDE" w14:textId="77777777" w:rsidTr="00247007">
        <w:trPr>
          <w:cantSplit/>
          <w:trHeight w:val="346"/>
          <w:tblHeader/>
        </w:trPr>
        <w:tc>
          <w:tcPr>
            <w:tcW w:w="1800" w:type="dxa"/>
          </w:tcPr>
          <w:p w14:paraId="72D04DE6" w14:textId="77777777" w:rsidR="00DA702B" w:rsidRPr="00DA702B" w:rsidRDefault="00DA702B" w:rsidP="00DA702B">
            <w:pPr>
              <w:rPr>
                <w:sz w:val="20"/>
                <w:szCs w:val="20"/>
              </w:rPr>
            </w:pPr>
          </w:p>
        </w:tc>
        <w:tc>
          <w:tcPr>
            <w:tcW w:w="1800" w:type="dxa"/>
          </w:tcPr>
          <w:p w14:paraId="3C495509" w14:textId="77777777" w:rsidR="00DA702B" w:rsidRPr="00DA702B" w:rsidRDefault="00DA702B" w:rsidP="00DA702B">
            <w:pPr>
              <w:rPr>
                <w:sz w:val="20"/>
                <w:szCs w:val="20"/>
              </w:rPr>
            </w:pPr>
          </w:p>
        </w:tc>
        <w:tc>
          <w:tcPr>
            <w:tcW w:w="1800" w:type="dxa"/>
          </w:tcPr>
          <w:p w14:paraId="64500412" w14:textId="77777777" w:rsidR="00DA702B" w:rsidRPr="00DA702B" w:rsidRDefault="00DA702B" w:rsidP="00DA702B">
            <w:pPr>
              <w:rPr>
                <w:sz w:val="20"/>
                <w:szCs w:val="20"/>
              </w:rPr>
            </w:pPr>
          </w:p>
        </w:tc>
        <w:tc>
          <w:tcPr>
            <w:tcW w:w="1800" w:type="dxa"/>
          </w:tcPr>
          <w:p w14:paraId="6CB92384" w14:textId="77777777" w:rsidR="00DA702B" w:rsidRPr="00DA702B" w:rsidRDefault="00DA702B" w:rsidP="00DA702B">
            <w:pPr>
              <w:rPr>
                <w:sz w:val="20"/>
                <w:szCs w:val="20"/>
              </w:rPr>
            </w:pPr>
          </w:p>
        </w:tc>
        <w:tc>
          <w:tcPr>
            <w:tcW w:w="1800" w:type="dxa"/>
          </w:tcPr>
          <w:p w14:paraId="15947E42" w14:textId="77777777" w:rsidR="00DA702B" w:rsidRPr="00DA702B" w:rsidRDefault="00DA702B" w:rsidP="00DA702B">
            <w:pPr>
              <w:rPr>
                <w:sz w:val="20"/>
                <w:szCs w:val="20"/>
              </w:rPr>
            </w:pPr>
          </w:p>
        </w:tc>
        <w:tc>
          <w:tcPr>
            <w:tcW w:w="1800" w:type="dxa"/>
          </w:tcPr>
          <w:p w14:paraId="7CBC74D4" w14:textId="77777777" w:rsidR="00DA702B" w:rsidRPr="00DA702B" w:rsidRDefault="00DA702B" w:rsidP="00DA702B">
            <w:pPr>
              <w:rPr>
                <w:sz w:val="20"/>
                <w:szCs w:val="20"/>
              </w:rPr>
            </w:pPr>
          </w:p>
        </w:tc>
        <w:tc>
          <w:tcPr>
            <w:tcW w:w="1800" w:type="dxa"/>
          </w:tcPr>
          <w:p w14:paraId="64DAD476" w14:textId="77777777" w:rsidR="00DA702B" w:rsidRPr="00DA702B" w:rsidRDefault="00DA702B" w:rsidP="00DA702B">
            <w:pPr>
              <w:rPr>
                <w:sz w:val="20"/>
                <w:szCs w:val="20"/>
              </w:rPr>
            </w:pPr>
          </w:p>
        </w:tc>
        <w:tc>
          <w:tcPr>
            <w:tcW w:w="1800" w:type="dxa"/>
          </w:tcPr>
          <w:p w14:paraId="3A159EFD" w14:textId="77777777" w:rsidR="00DA702B" w:rsidRPr="00DA702B" w:rsidRDefault="00DA702B" w:rsidP="00DA702B">
            <w:pPr>
              <w:rPr>
                <w:sz w:val="20"/>
                <w:szCs w:val="20"/>
              </w:rPr>
            </w:pPr>
          </w:p>
        </w:tc>
      </w:tr>
      <w:tr w:rsidR="00DA702B" w:rsidRPr="00DA702B" w14:paraId="7EBF7CC5" w14:textId="77777777" w:rsidTr="00247007">
        <w:trPr>
          <w:cantSplit/>
          <w:trHeight w:val="346"/>
          <w:tblHeader/>
        </w:trPr>
        <w:tc>
          <w:tcPr>
            <w:tcW w:w="1800" w:type="dxa"/>
          </w:tcPr>
          <w:p w14:paraId="78C9954E" w14:textId="77777777" w:rsidR="00DA702B" w:rsidRPr="00DA702B" w:rsidRDefault="00DA702B" w:rsidP="00DA702B">
            <w:pPr>
              <w:rPr>
                <w:sz w:val="20"/>
                <w:szCs w:val="20"/>
              </w:rPr>
            </w:pPr>
          </w:p>
        </w:tc>
        <w:tc>
          <w:tcPr>
            <w:tcW w:w="1800" w:type="dxa"/>
          </w:tcPr>
          <w:p w14:paraId="6871D49C" w14:textId="77777777" w:rsidR="00DA702B" w:rsidRPr="00DA702B" w:rsidRDefault="00DA702B" w:rsidP="00DA702B">
            <w:pPr>
              <w:rPr>
                <w:sz w:val="20"/>
                <w:szCs w:val="20"/>
              </w:rPr>
            </w:pPr>
          </w:p>
        </w:tc>
        <w:tc>
          <w:tcPr>
            <w:tcW w:w="1800" w:type="dxa"/>
          </w:tcPr>
          <w:p w14:paraId="71F64780" w14:textId="77777777" w:rsidR="00DA702B" w:rsidRPr="00DA702B" w:rsidRDefault="00DA702B" w:rsidP="00DA702B">
            <w:pPr>
              <w:rPr>
                <w:sz w:val="20"/>
                <w:szCs w:val="20"/>
              </w:rPr>
            </w:pPr>
          </w:p>
        </w:tc>
        <w:tc>
          <w:tcPr>
            <w:tcW w:w="1800" w:type="dxa"/>
          </w:tcPr>
          <w:p w14:paraId="1021E9BF" w14:textId="77777777" w:rsidR="00DA702B" w:rsidRPr="00DA702B" w:rsidRDefault="00DA702B" w:rsidP="00DA702B">
            <w:pPr>
              <w:rPr>
                <w:sz w:val="20"/>
                <w:szCs w:val="20"/>
              </w:rPr>
            </w:pPr>
          </w:p>
        </w:tc>
        <w:tc>
          <w:tcPr>
            <w:tcW w:w="1800" w:type="dxa"/>
          </w:tcPr>
          <w:p w14:paraId="0010FBC3" w14:textId="77777777" w:rsidR="00DA702B" w:rsidRPr="00DA702B" w:rsidRDefault="00DA702B" w:rsidP="00DA702B">
            <w:pPr>
              <w:rPr>
                <w:sz w:val="20"/>
                <w:szCs w:val="20"/>
              </w:rPr>
            </w:pPr>
          </w:p>
        </w:tc>
        <w:tc>
          <w:tcPr>
            <w:tcW w:w="1800" w:type="dxa"/>
          </w:tcPr>
          <w:p w14:paraId="2697243C" w14:textId="77777777" w:rsidR="00DA702B" w:rsidRPr="00DA702B" w:rsidRDefault="00DA702B" w:rsidP="00DA702B">
            <w:pPr>
              <w:rPr>
                <w:sz w:val="20"/>
                <w:szCs w:val="20"/>
              </w:rPr>
            </w:pPr>
          </w:p>
        </w:tc>
        <w:tc>
          <w:tcPr>
            <w:tcW w:w="1800" w:type="dxa"/>
          </w:tcPr>
          <w:p w14:paraId="0F55D4B6" w14:textId="77777777" w:rsidR="00DA702B" w:rsidRPr="00DA702B" w:rsidRDefault="00DA702B" w:rsidP="00DA702B">
            <w:pPr>
              <w:rPr>
                <w:sz w:val="20"/>
                <w:szCs w:val="20"/>
              </w:rPr>
            </w:pPr>
          </w:p>
        </w:tc>
        <w:tc>
          <w:tcPr>
            <w:tcW w:w="1800" w:type="dxa"/>
          </w:tcPr>
          <w:p w14:paraId="6ACE1318" w14:textId="77777777" w:rsidR="00DA702B" w:rsidRPr="00DA702B" w:rsidRDefault="00DA702B" w:rsidP="00DA702B">
            <w:pPr>
              <w:rPr>
                <w:sz w:val="20"/>
                <w:szCs w:val="20"/>
              </w:rPr>
            </w:pPr>
          </w:p>
        </w:tc>
      </w:tr>
      <w:tr w:rsidR="00DA702B" w:rsidRPr="00DA702B" w14:paraId="4314F1AA" w14:textId="77777777" w:rsidTr="00247007">
        <w:trPr>
          <w:cantSplit/>
          <w:trHeight w:val="346"/>
          <w:tblHeader/>
        </w:trPr>
        <w:tc>
          <w:tcPr>
            <w:tcW w:w="1800" w:type="dxa"/>
          </w:tcPr>
          <w:p w14:paraId="132297EA" w14:textId="77777777" w:rsidR="00DA702B" w:rsidRPr="00DA702B" w:rsidRDefault="00DA702B" w:rsidP="00DA702B">
            <w:pPr>
              <w:rPr>
                <w:sz w:val="20"/>
                <w:szCs w:val="20"/>
              </w:rPr>
            </w:pPr>
          </w:p>
        </w:tc>
        <w:tc>
          <w:tcPr>
            <w:tcW w:w="1800" w:type="dxa"/>
          </w:tcPr>
          <w:p w14:paraId="312AB9B6" w14:textId="77777777" w:rsidR="00DA702B" w:rsidRPr="00DA702B" w:rsidRDefault="00DA702B" w:rsidP="00DA702B">
            <w:pPr>
              <w:rPr>
                <w:sz w:val="20"/>
                <w:szCs w:val="20"/>
              </w:rPr>
            </w:pPr>
          </w:p>
        </w:tc>
        <w:tc>
          <w:tcPr>
            <w:tcW w:w="1800" w:type="dxa"/>
          </w:tcPr>
          <w:p w14:paraId="4F233C74" w14:textId="77777777" w:rsidR="00DA702B" w:rsidRPr="00DA702B" w:rsidRDefault="00DA702B" w:rsidP="00DA702B">
            <w:pPr>
              <w:rPr>
                <w:sz w:val="20"/>
                <w:szCs w:val="20"/>
              </w:rPr>
            </w:pPr>
          </w:p>
        </w:tc>
        <w:tc>
          <w:tcPr>
            <w:tcW w:w="1800" w:type="dxa"/>
          </w:tcPr>
          <w:p w14:paraId="15D316F8" w14:textId="77777777" w:rsidR="00DA702B" w:rsidRPr="00DA702B" w:rsidRDefault="00DA702B" w:rsidP="00DA702B">
            <w:pPr>
              <w:rPr>
                <w:sz w:val="20"/>
                <w:szCs w:val="20"/>
              </w:rPr>
            </w:pPr>
          </w:p>
        </w:tc>
        <w:tc>
          <w:tcPr>
            <w:tcW w:w="1800" w:type="dxa"/>
          </w:tcPr>
          <w:p w14:paraId="5E24DFFD" w14:textId="77777777" w:rsidR="00DA702B" w:rsidRPr="00DA702B" w:rsidRDefault="00DA702B" w:rsidP="00DA702B">
            <w:pPr>
              <w:rPr>
                <w:sz w:val="20"/>
                <w:szCs w:val="20"/>
              </w:rPr>
            </w:pPr>
          </w:p>
        </w:tc>
        <w:tc>
          <w:tcPr>
            <w:tcW w:w="1800" w:type="dxa"/>
          </w:tcPr>
          <w:p w14:paraId="47B1DA15" w14:textId="77777777" w:rsidR="00DA702B" w:rsidRPr="00DA702B" w:rsidRDefault="00DA702B" w:rsidP="00DA702B">
            <w:pPr>
              <w:rPr>
                <w:sz w:val="20"/>
                <w:szCs w:val="20"/>
              </w:rPr>
            </w:pPr>
          </w:p>
        </w:tc>
        <w:tc>
          <w:tcPr>
            <w:tcW w:w="1800" w:type="dxa"/>
          </w:tcPr>
          <w:p w14:paraId="0D08240F" w14:textId="77777777" w:rsidR="00DA702B" w:rsidRPr="00DA702B" w:rsidRDefault="00DA702B" w:rsidP="00DA702B">
            <w:pPr>
              <w:rPr>
                <w:sz w:val="20"/>
                <w:szCs w:val="20"/>
              </w:rPr>
            </w:pPr>
          </w:p>
        </w:tc>
        <w:tc>
          <w:tcPr>
            <w:tcW w:w="1800" w:type="dxa"/>
          </w:tcPr>
          <w:p w14:paraId="0C5C116B" w14:textId="77777777" w:rsidR="00DA702B" w:rsidRPr="00DA702B" w:rsidRDefault="00DA702B" w:rsidP="00DA702B">
            <w:pPr>
              <w:rPr>
                <w:sz w:val="20"/>
                <w:szCs w:val="20"/>
              </w:rPr>
            </w:pPr>
          </w:p>
        </w:tc>
      </w:tr>
      <w:tr w:rsidR="00DA702B" w:rsidRPr="00DA702B" w14:paraId="40C1C5E7" w14:textId="77777777" w:rsidTr="00247007">
        <w:trPr>
          <w:cantSplit/>
          <w:trHeight w:val="346"/>
          <w:tblHeader/>
        </w:trPr>
        <w:tc>
          <w:tcPr>
            <w:tcW w:w="1800" w:type="dxa"/>
          </w:tcPr>
          <w:p w14:paraId="1587DEA7" w14:textId="77777777" w:rsidR="00DA702B" w:rsidRPr="00DA702B" w:rsidRDefault="00DA702B" w:rsidP="00DA702B">
            <w:pPr>
              <w:rPr>
                <w:sz w:val="20"/>
                <w:szCs w:val="20"/>
              </w:rPr>
            </w:pPr>
          </w:p>
        </w:tc>
        <w:tc>
          <w:tcPr>
            <w:tcW w:w="1800" w:type="dxa"/>
          </w:tcPr>
          <w:p w14:paraId="1875629E" w14:textId="77777777" w:rsidR="00DA702B" w:rsidRPr="00DA702B" w:rsidRDefault="00DA702B" w:rsidP="00DA702B">
            <w:pPr>
              <w:rPr>
                <w:sz w:val="20"/>
                <w:szCs w:val="20"/>
              </w:rPr>
            </w:pPr>
          </w:p>
        </w:tc>
        <w:tc>
          <w:tcPr>
            <w:tcW w:w="1800" w:type="dxa"/>
          </w:tcPr>
          <w:p w14:paraId="6A5518D8" w14:textId="77777777" w:rsidR="00DA702B" w:rsidRPr="00DA702B" w:rsidRDefault="00DA702B" w:rsidP="00DA702B">
            <w:pPr>
              <w:rPr>
                <w:sz w:val="20"/>
                <w:szCs w:val="20"/>
              </w:rPr>
            </w:pPr>
          </w:p>
        </w:tc>
        <w:tc>
          <w:tcPr>
            <w:tcW w:w="1800" w:type="dxa"/>
          </w:tcPr>
          <w:p w14:paraId="5DA70151" w14:textId="77777777" w:rsidR="00DA702B" w:rsidRPr="00DA702B" w:rsidRDefault="00DA702B" w:rsidP="00DA702B">
            <w:pPr>
              <w:rPr>
                <w:sz w:val="20"/>
                <w:szCs w:val="20"/>
              </w:rPr>
            </w:pPr>
          </w:p>
        </w:tc>
        <w:tc>
          <w:tcPr>
            <w:tcW w:w="1800" w:type="dxa"/>
          </w:tcPr>
          <w:p w14:paraId="6AEA5B03" w14:textId="77777777" w:rsidR="00DA702B" w:rsidRPr="00DA702B" w:rsidRDefault="00DA702B" w:rsidP="00DA702B">
            <w:pPr>
              <w:rPr>
                <w:sz w:val="20"/>
                <w:szCs w:val="20"/>
              </w:rPr>
            </w:pPr>
          </w:p>
        </w:tc>
        <w:tc>
          <w:tcPr>
            <w:tcW w:w="1800" w:type="dxa"/>
          </w:tcPr>
          <w:p w14:paraId="3BB27315" w14:textId="77777777" w:rsidR="00DA702B" w:rsidRPr="00DA702B" w:rsidRDefault="00DA702B" w:rsidP="00DA702B">
            <w:pPr>
              <w:rPr>
                <w:sz w:val="20"/>
                <w:szCs w:val="20"/>
              </w:rPr>
            </w:pPr>
          </w:p>
        </w:tc>
        <w:tc>
          <w:tcPr>
            <w:tcW w:w="1800" w:type="dxa"/>
          </w:tcPr>
          <w:p w14:paraId="47F5C32C" w14:textId="77777777" w:rsidR="00DA702B" w:rsidRPr="00DA702B" w:rsidRDefault="00DA702B" w:rsidP="00DA702B">
            <w:pPr>
              <w:rPr>
                <w:sz w:val="20"/>
                <w:szCs w:val="20"/>
              </w:rPr>
            </w:pPr>
          </w:p>
        </w:tc>
        <w:tc>
          <w:tcPr>
            <w:tcW w:w="1800" w:type="dxa"/>
          </w:tcPr>
          <w:p w14:paraId="3A4D40F5" w14:textId="77777777" w:rsidR="00DA702B" w:rsidRPr="00DA702B" w:rsidRDefault="00DA702B" w:rsidP="00DA702B">
            <w:pPr>
              <w:rPr>
                <w:sz w:val="20"/>
                <w:szCs w:val="20"/>
              </w:rPr>
            </w:pPr>
          </w:p>
        </w:tc>
      </w:tr>
      <w:tr w:rsidR="00DA702B" w:rsidRPr="00DA702B" w14:paraId="20AEF0BD" w14:textId="77777777" w:rsidTr="00247007">
        <w:trPr>
          <w:cantSplit/>
          <w:trHeight w:val="346"/>
          <w:tblHeader/>
        </w:trPr>
        <w:tc>
          <w:tcPr>
            <w:tcW w:w="1800" w:type="dxa"/>
          </w:tcPr>
          <w:p w14:paraId="64D21305" w14:textId="77777777" w:rsidR="00DA702B" w:rsidRPr="00DA702B" w:rsidRDefault="00DA702B" w:rsidP="00DA702B">
            <w:pPr>
              <w:rPr>
                <w:sz w:val="20"/>
                <w:szCs w:val="20"/>
              </w:rPr>
            </w:pPr>
          </w:p>
        </w:tc>
        <w:tc>
          <w:tcPr>
            <w:tcW w:w="1800" w:type="dxa"/>
          </w:tcPr>
          <w:p w14:paraId="6A309A6E" w14:textId="77777777" w:rsidR="00DA702B" w:rsidRPr="00DA702B" w:rsidRDefault="00DA702B" w:rsidP="00DA702B">
            <w:pPr>
              <w:rPr>
                <w:sz w:val="20"/>
                <w:szCs w:val="20"/>
              </w:rPr>
            </w:pPr>
          </w:p>
        </w:tc>
        <w:tc>
          <w:tcPr>
            <w:tcW w:w="1800" w:type="dxa"/>
          </w:tcPr>
          <w:p w14:paraId="65A15237" w14:textId="77777777" w:rsidR="00DA702B" w:rsidRPr="00DA702B" w:rsidRDefault="00DA702B" w:rsidP="00DA702B">
            <w:pPr>
              <w:rPr>
                <w:sz w:val="20"/>
                <w:szCs w:val="20"/>
              </w:rPr>
            </w:pPr>
          </w:p>
        </w:tc>
        <w:tc>
          <w:tcPr>
            <w:tcW w:w="1800" w:type="dxa"/>
          </w:tcPr>
          <w:p w14:paraId="78DBE32A" w14:textId="77777777" w:rsidR="00DA702B" w:rsidRPr="00DA702B" w:rsidRDefault="00DA702B" w:rsidP="00DA702B">
            <w:pPr>
              <w:rPr>
                <w:sz w:val="20"/>
                <w:szCs w:val="20"/>
              </w:rPr>
            </w:pPr>
          </w:p>
        </w:tc>
        <w:tc>
          <w:tcPr>
            <w:tcW w:w="1800" w:type="dxa"/>
          </w:tcPr>
          <w:p w14:paraId="26A6C4A3" w14:textId="77777777" w:rsidR="00DA702B" w:rsidRPr="00DA702B" w:rsidRDefault="00DA702B" w:rsidP="00DA702B">
            <w:pPr>
              <w:rPr>
                <w:sz w:val="20"/>
                <w:szCs w:val="20"/>
              </w:rPr>
            </w:pPr>
          </w:p>
        </w:tc>
        <w:tc>
          <w:tcPr>
            <w:tcW w:w="1800" w:type="dxa"/>
          </w:tcPr>
          <w:p w14:paraId="66D256C9" w14:textId="77777777" w:rsidR="00DA702B" w:rsidRPr="00DA702B" w:rsidRDefault="00DA702B" w:rsidP="00DA702B">
            <w:pPr>
              <w:rPr>
                <w:sz w:val="20"/>
                <w:szCs w:val="20"/>
              </w:rPr>
            </w:pPr>
          </w:p>
        </w:tc>
        <w:tc>
          <w:tcPr>
            <w:tcW w:w="1800" w:type="dxa"/>
          </w:tcPr>
          <w:p w14:paraId="2E58585A" w14:textId="77777777" w:rsidR="00DA702B" w:rsidRPr="00DA702B" w:rsidRDefault="00DA702B" w:rsidP="00DA702B">
            <w:pPr>
              <w:rPr>
                <w:sz w:val="20"/>
                <w:szCs w:val="20"/>
              </w:rPr>
            </w:pPr>
          </w:p>
        </w:tc>
        <w:tc>
          <w:tcPr>
            <w:tcW w:w="1800" w:type="dxa"/>
          </w:tcPr>
          <w:p w14:paraId="0E424DCA" w14:textId="77777777" w:rsidR="00DA702B" w:rsidRPr="00DA702B" w:rsidRDefault="00DA702B" w:rsidP="00DA702B">
            <w:pPr>
              <w:rPr>
                <w:sz w:val="20"/>
                <w:szCs w:val="20"/>
              </w:rPr>
            </w:pPr>
          </w:p>
        </w:tc>
      </w:tr>
      <w:tr w:rsidR="00DA702B" w:rsidRPr="00DA702B" w14:paraId="5B8E3F12" w14:textId="77777777" w:rsidTr="00247007">
        <w:trPr>
          <w:cantSplit/>
          <w:trHeight w:val="346"/>
          <w:tblHeader/>
        </w:trPr>
        <w:tc>
          <w:tcPr>
            <w:tcW w:w="1800" w:type="dxa"/>
          </w:tcPr>
          <w:p w14:paraId="72563888" w14:textId="77777777" w:rsidR="00DA702B" w:rsidRPr="00DA702B" w:rsidRDefault="00DA702B" w:rsidP="00DA702B">
            <w:pPr>
              <w:rPr>
                <w:sz w:val="20"/>
                <w:szCs w:val="20"/>
              </w:rPr>
            </w:pPr>
          </w:p>
        </w:tc>
        <w:tc>
          <w:tcPr>
            <w:tcW w:w="1800" w:type="dxa"/>
          </w:tcPr>
          <w:p w14:paraId="70C3AA3F" w14:textId="77777777" w:rsidR="00DA702B" w:rsidRPr="00DA702B" w:rsidRDefault="00DA702B" w:rsidP="00DA702B">
            <w:pPr>
              <w:rPr>
                <w:sz w:val="20"/>
                <w:szCs w:val="20"/>
              </w:rPr>
            </w:pPr>
          </w:p>
        </w:tc>
        <w:tc>
          <w:tcPr>
            <w:tcW w:w="1800" w:type="dxa"/>
          </w:tcPr>
          <w:p w14:paraId="1D672202" w14:textId="77777777" w:rsidR="00DA702B" w:rsidRPr="00DA702B" w:rsidRDefault="00DA702B" w:rsidP="00DA702B">
            <w:pPr>
              <w:rPr>
                <w:sz w:val="20"/>
                <w:szCs w:val="20"/>
              </w:rPr>
            </w:pPr>
          </w:p>
        </w:tc>
        <w:tc>
          <w:tcPr>
            <w:tcW w:w="1800" w:type="dxa"/>
          </w:tcPr>
          <w:p w14:paraId="18906897" w14:textId="77777777" w:rsidR="00DA702B" w:rsidRPr="00DA702B" w:rsidRDefault="00DA702B" w:rsidP="00DA702B">
            <w:pPr>
              <w:rPr>
                <w:sz w:val="20"/>
                <w:szCs w:val="20"/>
              </w:rPr>
            </w:pPr>
          </w:p>
        </w:tc>
        <w:tc>
          <w:tcPr>
            <w:tcW w:w="1800" w:type="dxa"/>
          </w:tcPr>
          <w:p w14:paraId="770935BB" w14:textId="77777777" w:rsidR="00DA702B" w:rsidRPr="00DA702B" w:rsidRDefault="00DA702B" w:rsidP="00DA702B">
            <w:pPr>
              <w:rPr>
                <w:sz w:val="20"/>
                <w:szCs w:val="20"/>
              </w:rPr>
            </w:pPr>
          </w:p>
        </w:tc>
        <w:tc>
          <w:tcPr>
            <w:tcW w:w="1800" w:type="dxa"/>
          </w:tcPr>
          <w:p w14:paraId="375F2EB6" w14:textId="77777777" w:rsidR="00DA702B" w:rsidRPr="00DA702B" w:rsidRDefault="00DA702B" w:rsidP="00DA702B">
            <w:pPr>
              <w:rPr>
                <w:sz w:val="20"/>
                <w:szCs w:val="20"/>
              </w:rPr>
            </w:pPr>
          </w:p>
        </w:tc>
        <w:tc>
          <w:tcPr>
            <w:tcW w:w="1800" w:type="dxa"/>
          </w:tcPr>
          <w:p w14:paraId="598FC59F" w14:textId="77777777" w:rsidR="00DA702B" w:rsidRPr="00DA702B" w:rsidRDefault="00DA702B" w:rsidP="00DA702B">
            <w:pPr>
              <w:rPr>
                <w:sz w:val="20"/>
                <w:szCs w:val="20"/>
              </w:rPr>
            </w:pPr>
          </w:p>
        </w:tc>
        <w:tc>
          <w:tcPr>
            <w:tcW w:w="1800" w:type="dxa"/>
          </w:tcPr>
          <w:p w14:paraId="7B9D45DE" w14:textId="77777777" w:rsidR="00DA702B" w:rsidRPr="00DA702B" w:rsidRDefault="00DA702B" w:rsidP="00DA702B">
            <w:pPr>
              <w:rPr>
                <w:sz w:val="20"/>
                <w:szCs w:val="20"/>
              </w:rPr>
            </w:pPr>
          </w:p>
        </w:tc>
      </w:tr>
    </w:tbl>
    <w:p w14:paraId="11137D6E" w14:textId="2C32A702" w:rsidR="00FE4542" w:rsidRDefault="00FE4542" w:rsidP="00FE4542">
      <w:pPr>
        <w:contextualSpacing/>
        <w:outlineLvl w:val="0"/>
        <w:rPr>
          <w:b/>
        </w:rPr>
      </w:pPr>
      <w:r>
        <w:rPr>
          <w:b/>
        </w:rPr>
        <w:br w:type="page"/>
      </w:r>
    </w:p>
    <w:p w14:paraId="46E90747" w14:textId="6BCA7EA4" w:rsidR="00F57A8F" w:rsidRPr="00F57A8F" w:rsidRDefault="00F57A8F" w:rsidP="00FE4542">
      <w:pPr>
        <w:widowControl w:val="0"/>
        <w:jc w:val="center"/>
        <w:rPr>
          <w:b/>
        </w:rPr>
      </w:pPr>
      <w:r w:rsidRPr="00F57A8F">
        <w:rPr>
          <w:b/>
        </w:rPr>
        <w:lastRenderedPageBreak/>
        <w:t>Boiler/Steam Generator/Steam Generating Unit Attributes</w:t>
      </w:r>
    </w:p>
    <w:p w14:paraId="74C8FC44" w14:textId="77777777" w:rsidR="00F57A8F" w:rsidRPr="00F57A8F" w:rsidRDefault="00F57A8F" w:rsidP="00FE4542">
      <w:pPr>
        <w:widowControl w:val="0"/>
        <w:jc w:val="center"/>
        <w:rPr>
          <w:b/>
        </w:rPr>
      </w:pPr>
      <w:r w:rsidRPr="00F57A8F">
        <w:rPr>
          <w:b/>
        </w:rPr>
        <w:t>Form OP-UA6 (Page 31)</w:t>
      </w:r>
    </w:p>
    <w:p w14:paraId="5D82B5DC" w14:textId="77777777" w:rsidR="00F57A8F" w:rsidRPr="00F57A8F" w:rsidRDefault="00F57A8F" w:rsidP="00FE4542">
      <w:pPr>
        <w:widowControl w:val="0"/>
        <w:jc w:val="center"/>
        <w:rPr>
          <w:b/>
        </w:rPr>
      </w:pPr>
      <w:r w:rsidRPr="00F57A8F">
        <w:rPr>
          <w:b/>
        </w:rPr>
        <w:t>Federal Operating Permit Program</w:t>
      </w:r>
    </w:p>
    <w:p w14:paraId="7A87AE2E" w14:textId="77777777" w:rsidR="00F57A8F" w:rsidRPr="00F57A8F" w:rsidRDefault="00F57A8F" w:rsidP="00FE4542">
      <w:pPr>
        <w:widowControl w:val="0"/>
        <w:jc w:val="center"/>
        <w:rPr>
          <w:b/>
        </w:rPr>
      </w:pPr>
      <w:bookmarkStart w:id="193" w:name="TBL_13d"/>
      <w:r w:rsidRPr="00F57A8F">
        <w:rPr>
          <w:b/>
        </w:rPr>
        <w:t>Table 13d</w:t>
      </w:r>
      <w:bookmarkEnd w:id="193"/>
      <w:r w:rsidRPr="00F57A8F">
        <w:rPr>
          <w:b/>
        </w:rPr>
        <w:t>:  Title 40 Code of Federal Regulations Part 63 (40 CFR Part 63)</w:t>
      </w:r>
    </w:p>
    <w:p w14:paraId="4232252E" w14:textId="77777777" w:rsidR="00F57A8F" w:rsidRPr="00F57A8F" w:rsidRDefault="00F57A8F" w:rsidP="00FE4542">
      <w:pPr>
        <w:widowControl w:val="0"/>
        <w:jc w:val="center"/>
        <w:rPr>
          <w:b/>
        </w:rPr>
      </w:pPr>
      <w:r w:rsidRPr="00F57A8F">
        <w:rPr>
          <w:b/>
        </w:rPr>
        <w:t>Subpart UUUUU:  Coal- and Oil-Fired Electric Utility Steam Generating Units</w:t>
      </w:r>
    </w:p>
    <w:p w14:paraId="18C922F7" w14:textId="77777777" w:rsidR="00F57A8F" w:rsidRPr="00F57A8F" w:rsidRDefault="00F57A8F" w:rsidP="00FE4542">
      <w:pPr>
        <w:widowControl w:val="0"/>
        <w:spacing w:after="360"/>
        <w:jc w:val="center"/>
        <w:rPr>
          <w:b/>
          <w:bCs/>
        </w:rPr>
      </w:pPr>
      <w:r w:rsidRPr="00F57A8F">
        <w:rPr>
          <w:b/>
          <w:bCs/>
        </w:rPr>
        <w:t>Texas Commission on Environmental Quality</w:t>
      </w:r>
    </w:p>
    <w:p w14:paraId="01F3E3B6"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d:  Title 40 Code of Federal Regulations Part 63 (40 CFR Part 63)&#10;Subpart UUUUU:  Coal- and Oil-Fired Electric Utility Steam Generating Units&#10;"/>
      </w:tblPr>
      <w:tblGrid>
        <w:gridCol w:w="4800"/>
        <w:gridCol w:w="4800"/>
        <w:gridCol w:w="4800"/>
      </w:tblGrid>
      <w:tr w:rsidR="00DA702B" w:rsidRPr="00DA702B" w14:paraId="5B319891" w14:textId="77777777" w:rsidTr="00247007">
        <w:trPr>
          <w:cantSplit/>
          <w:tblHeader/>
        </w:trPr>
        <w:tc>
          <w:tcPr>
            <w:tcW w:w="4800" w:type="dxa"/>
            <w:shd w:val="clear" w:color="auto" w:fill="D9D9D9" w:themeFill="background1" w:themeFillShade="D9"/>
          </w:tcPr>
          <w:p w14:paraId="04735E04"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8EA68F7"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33C9AE54"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4B10F018" w14:textId="77777777" w:rsidTr="00247007">
        <w:trPr>
          <w:cantSplit/>
          <w:tblHeader/>
        </w:trPr>
        <w:tc>
          <w:tcPr>
            <w:tcW w:w="4800" w:type="dxa"/>
          </w:tcPr>
          <w:p w14:paraId="18B6DA87" w14:textId="77777777" w:rsidR="00DA702B" w:rsidRPr="00DA702B" w:rsidRDefault="00DA702B" w:rsidP="00DA702B">
            <w:pPr>
              <w:rPr>
                <w:rFonts w:asciiTheme="majorHAnsi" w:hAnsiTheme="majorHAnsi" w:cstheme="majorHAnsi"/>
              </w:rPr>
            </w:pPr>
          </w:p>
        </w:tc>
        <w:tc>
          <w:tcPr>
            <w:tcW w:w="4800" w:type="dxa"/>
          </w:tcPr>
          <w:p w14:paraId="39EA3D71" w14:textId="77777777" w:rsidR="00DA702B" w:rsidRPr="00DA702B" w:rsidRDefault="00DA702B" w:rsidP="00DA702B">
            <w:pPr>
              <w:rPr>
                <w:rFonts w:asciiTheme="majorHAnsi" w:hAnsiTheme="majorHAnsi" w:cstheme="majorHAnsi"/>
              </w:rPr>
            </w:pPr>
          </w:p>
        </w:tc>
        <w:tc>
          <w:tcPr>
            <w:tcW w:w="4800" w:type="dxa"/>
          </w:tcPr>
          <w:p w14:paraId="6A43EE11" w14:textId="77777777" w:rsidR="00DA702B" w:rsidRPr="00DA702B" w:rsidRDefault="00DA702B" w:rsidP="00DA702B">
            <w:pPr>
              <w:rPr>
                <w:rFonts w:asciiTheme="majorHAnsi" w:hAnsiTheme="majorHAnsi" w:cstheme="majorHAnsi"/>
              </w:rPr>
            </w:pPr>
          </w:p>
        </w:tc>
      </w:tr>
    </w:tbl>
    <w:p w14:paraId="63D7B477"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d:  Title 40 Code of Federal Regulations Part 63 (40 CFR Part 63)&#10;Subpart UUUUU:  Coal- and Oil-Fired Electric Utility Steam Generating Units&#10;"/>
      </w:tblPr>
      <w:tblGrid>
        <w:gridCol w:w="1800"/>
        <w:gridCol w:w="1800"/>
        <w:gridCol w:w="1800"/>
        <w:gridCol w:w="1800"/>
        <w:gridCol w:w="1800"/>
        <w:gridCol w:w="1800"/>
        <w:gridCol w:w="1800"/>
        <w:gridCol w:w="1800"/>
      </w:tblGrid>
      <w:tr w:rsidR="00DA702B" w:rsidRPr="00DA702B" w14:paraId="77ECC507" w14:textId="77777777" w:rsidTr="00247007">
        <w:trPr>
          <w:cantSplit/>
          <w:trHeight w:val="346"/>
          <w:tblHeader/>
        </w:trPr>
        <w:tc>
          <w:tcPr>
            <w:tcW w:w="1800" w:type="dxa"/>
            <w:shd w:val="clear" w:color="auto" w:fill="D9D9D9" w:themeFill="background1" w:themeFillShade="D9"/>
            <w:vAlign w:val="center"/>
          </w:tcPr>
          <w:p w14:paraId="65331AB6" w14:textId="77777777" w:rsidR="00DA702B" w:rsidRPr="00DA702B" w:rsidRDefault="00DA702B" w:rsidP="00DA702B">
            <w:pPr>
              <w:jc w:val="center"/>
              <w:rPr>
                <w:sz w:val="20"/>
                <w:szCs w:val="20"/>
              </w:rPr>
            </w:pPr>
            <w:r w:rsidRPr="00DA702B">
              <w:rPr>
                <w:b/>
                <w:sz w:val="20"/>
                <w:szCs w:val="20"/>
              </w:rPr>
              <w:t>Unit ID No.</w:t>
            </w:r>
          </w:p>
        </w:tc>
        <w:tc>
          <w:tcPr>
            <w:tcW w:w="1800" w:type="dxa"/>
            <w:shd w:val="clear" w:color="auto" w:fill="D9D9D9" w:themeFill="background1" w:themeFillShade="D9"/>
            <w:vAlign w:val="center"/>
          </w:tcPr>
          <w:p w14:paraId="74949E04" w14:textId="77777777" w:rsidR="00DA702B" w:rsidRPr="00DA702B" w:rsidRDefault="00DA702B" w:rsidP="00DA702B">
            <w:pPr>
              <w:jc w:val="center"/>
              <w:rPr>
                <w:sz w:val="20"/>
                <w:szCs w:val="20"/>
              </w:rPr>
            </w:pPr>
            <w:r w:rsidRPr="00DA702B">
              <w:rPr>
                <w:b/>
                <w:sz w:val="20"/>
                <w:szCs w:val="20"/>
              </w:rPr>
              <w:t>SOP Index No.</w:t>
            </w:r>
          </w:p>
        </w:tc>
        <w:tc>
          <w:tcPr>
            <w:tcW w:w="1800" w:type="dxa"/>
            <w:shd w:val="clear" w:color="auto" w:fill="D9D9D9" w:themeFill="background1" w:themeFillShade="D9"/>
            <w:vAlign w:val="center"/>
          </w:tcPr>
          <w:p w14:paraId="047F00DC" w14:textId="77777777" w:rsidR="00DA702B" w:rsidRPr="00DA702B" w:rsidRDefault="00DA702B" w:rsidP="00DA702B">
            <w:pPr>
              <w:jc w:val="center"/>
              <w:rPr>
                <w:sz w:val="20"/>
                <w:szCs w:val="20"/>
              </w:rPr>
            </w:pPr>
            <w:r w:rsidRPr="00DA702B">
              <w:rPr>
                <w:b/>
                <w:sz w:val="20"/>
                <w:szCs w:val="20"/>
              </w:rPr>
              <w:t>Pb-Input</w:t>
            </w:r>
          </w:p>
        </w:tc>
        <w:tc>
          <w:tcPr>
            <w:tcW w:w="1800" w:type="dxa"/>
            <w:shd w:val="clear" w:color="auto" w:fill="D9D9D9" w:themeFill="background1" w:themeFillShade="D9"/>
            <w:vAlign w:val="center"/>
          </w:tcPr>
          <w:p w14:paraId="17509FB6" w14:textId="77777777" w:rsidR="00DA702B" w:rsidRPr="00DA702B" w:rsidRDefault="00DA702B" w:rsidP="00DA702B">
            <w:pPr>
              <w:jc w:val="center"/>
              <w:rPr>
                <w:sz w:val="20"/>
                <w:szCs w:val="20"/>
              </w:rPr>
            </w:pPr>
            <w:r w:rsidRPr="00DA702B">
              <w:rPr>
                <w:b/>
                <w:sz w:val="20"/>
                <w:szCs w:val="20"/>
              </w:rPr>
              <w:t>Mn-Input</w:t>
            </w:r>
          </w:p>
        </w:tc>
        <w:tc>
          <w:tcPr>
            <w:tcW w:w="1800" w:type="dxa"/>
            <w:shd w:val="clear" w:color="auto" w:fill="D9D9D9" w:themeFill="background1" w:themeFillShade="D9"/>
            <w:vAlign w:val="center"/>
          </w:tcPr>
          <w:p w14:paraId="0B0BCDE8" w14:textId="77777777" w:rsidR="00DA702B" w:rsidRPr="00DA702B" w:rsidRDefault="00DA702B" w:rsidP="00DA702B">
            <w:pPr>
              <w:jc w:val="center"/>
              <w:rPr>
                <w:sz w:val="20"/>
                <w:szCs w:val="20"/>
              </w:rPr>
            </w:pPr>
            <w:r w:rsidRPr="00DA702B">
              <w:rPr>
                <w:b/>
                <w:sz w:val="20"/>
                <w:szCs w:val="20"/>
              </w:rPr>
              <w:t>Ni-Input</w:t>
            </w:r>
          </w:p>
        </w:tc>
        <w:tc>
          <w:tcPr>
            <w:tcW w:w="1800" w:type="dxa"/>
            <w:shd w:val="clear" w:color="auto" w:fill="D9D9D9" w:themeFill="background1" w:themeFillShade="D9"/>
            <w:vAlign w:val="center"/>
          </w:tcPr>
          <w:p w14:paraId="5EE6E704" w14:textId="77777777" w:rsidR="00DA702B" w:rsidRPr="00DA702B" w:rsidRDefault="00DA702B" w:rsidP="00DA702B">
            <w:pPr>
              <w:jc w:val="center"/>
              <w:rPr>
                <w:sz w:val="20"/>
                <w:szCs w:val="20"/>
              </w:rPr>
            </w:pPr>
            <w:r w:rsidRPr="00DA702B">
              <w:rPr>
                <w:b/>
                <w:sz w:val="20"/>
                <w:szCs w:val="20"/>
              </w:rPr>
              <w:t>Se-Input</w:t>
            </w:r>
          </w:p>
        </w:tc>
        <w:tc>
          <w:tcPr>
            <w:tcW w:w="1800" w:type="dxa"/>
            <w:shd w:val="clear" w:color="auto" w:fill="D9D9D9" w:themeFill="background1" w:themeFillShade="D9"/>
            <w:vAlign w:val="center"/>
          </w:tcPr>
          <w:p w14:paraId="5B3964F6" w14:textId="77777777" w:rsidR="00DA702B" w:rsidRPr="00DA702B" w:rsidRDefault="00DA702B" w:rsidP="00DA702B">
            <w:pPr>
              <w:jc w:val="center"/>
              <w:rPr>
                <w:sz w:val="20"/>
                <w:szCs w:val="20"/>
              </w:rPr>
            </w:pPr>
            <w:r w:rsidRPr="00DA702B">
              <w:rPr>
                <w:b/>
                <w:sz w:val="20"/>
                <w:szCs w:val="20"/>
              </w:rPr>
              <w:t>Hg-Input-a</w:t>
            </w:r>
          </w:p>
        </w:tc>
        <w:tc>
          <w:tcPr>
            <w:tcW w:w="1800" w:type="dxa"/>
            <w:shd w:val="clear" w:color="auto" w:fill="D9D9D9" w:themeFill="background1" w:themeFillShade="D9"/>
            <w:vAlign w:val="center"/>
          </w:tcPr>
          <w:p w14:paraId="43E30968" w14:textId="77777777" w:rsidR="00DA702B" w:rsidRPr="00DA702B" w:rsidRDefault="00DA702B" w:rsidP="00DA702B">
            <w:pPr>
              <w:jc w:val="center"/>
              <w:rPr>
                <w:sz w:val="20"/>
                <w:szCs w:val="20"/>
              </w:rPr>
            </w:pPr>
            <w:r w:rsidRPr="00DA702B">
              <w:rPr>
                <w:b/>
                <w:sz w:val="20"/>
                <w:szCs w:val="20"/>
              </w:rPr>
              <w:t>Pollutant-b</w:t>
            </w:r>
          </w:p>
        </w:tc>
      </w:tr>
      <w:tr w:rsidR="00DA702B" w:rsidRPr="00DA702B" w14:paraId="611D875A" w14:textId="77777777" w:rsidTr="00247007">
        <w:trPr>
          <w:cantSplit/>
          <w:trHeight w:val="346"/>
          <w:tblHeader/>
        </w:trPr>
        <w:tc>
          <w:tcPr>
            <w:tcW w:w="1800" w:type="dxa"/>
          </w:tcPr>
          <w:p w14:paraId="514F8D1C" w14:textId="77777777" w:rsidR="00DA702B" w:rsidRPr="00DA702B" w:rsidRDefault="00DA702B" w:rsidP="00DA702B">
            <w:pPr>
              <w:rPr>
                <w:sz w:val="20"/>
                <w:szCs w:val="20"/>
              </w:rPr>
            </w:pPr>
          </w:p>
        </w:tc>
        <w:tc>
          <w:tcPr>
            <w:tcW w:w="1800" w:type="dxa"/>
          </w:tcPr>
          <w:p w14:paraId="73E556D7" w14:textId="77777777" w:rsidR="00DA702B" w:rsidRPr="00DA702B" w:rsidRDefault="00DA702B" w:rsidP="00DA702B">
            <w:pPr>
              <w:rPr>
                <w:sz w:val="20"/>
                <w:szCs w:val="20"/>
              </w:rPr>
            </w:pPr>
          </w:p>
        </w:tc>
        <w:tc>
          <w:tcPr>
            <w:tcW w:w="1800" w:type="dxa"/>
          </w:tcPr>
          <w:p w14:paraId="404176FC" w14:textId="77777777" w:rsidR="00DA702B" w:rsidRPr="00DA702B" w:rsidRDefault="00DA702B" w:rsidP="00DA702B">
            <w:pPr>
              <w:rPr>
                <w:sz w:val="20"/>
                <w:szCs w:val="20"/>
              </w:rPr>
            </w:pPr>
          </w:p>
        </w:tc>
        <w:tc>
          <w:tcPr>
            <w:tcW w:w="1800" w:type="dxa"/>
          </w:tcPr>
          <w:p w14:paraId="2A7E6535" w14:textId="77777777" w:rsidR="00DA702B" w:rsidRPr="00DA702B" w:rsidRDefault="00DA702B" w:rsidP="00DA702B">
            <w:pPr>
              <w:rPr>
                <w:sz w:val="20"/>
                <w:szCs w:val="20"/>
              </w:rPr>
            </w:pPr>
          </w:p>
        </w:tc>
        <w:tc>
          <w:tcPr>
            <w:tcW w:w="1800" w:type="dxa"/>
          </w:tcPr>
          <w:p w14:paraId="4DFD7CEB" w14:textId="77777777" w:rsidR="00DA702B" w:rsidRPr="00DA702B" w:rsidRDefault="00DA702B" w:rsidP="00DA702B">
            <w:pPr>
              <w:rPr>
                <w:sz w:val="20"/>
                <w:szCs w:val="20"/>
              </w:rPr>
            </w:pPr>
          </w:p>
        </w:tc>
        <w:tc>
          <w:tcPr>
            <w:tcW w:w="1800" w:type="dxa"/>
          </w:tcPr>
          <w:p w14:paraId="10AE14F9" w14:textId="77777777" w:rsidR="00DA702B" w:rsidRPr="00DA702B" w:rsidRDefault="00DA702B" w:rsidP="00DA702B">
            <w:pPr>
              <w:rPr>
                <w:sz w:val="20"/>
                <w:szCs w:val="20"/>
              </w:rPr>
            </w:pPr>
          </w:p>
        </w:tc>
        <w:tc>
          <w:tcPr>
            <w:tcW w:w="1800" w:type="dxa"/>
          </w:tcPr>
          <w:p w14:paraId="01674085" w14:textId="77777777" w:rsidR="00DA702B" w:rsidRPr="00DA702B" w:rsidRDefault="00DA702B" w:rsidP="00DA702B">
            <w:pPr>
              <w:rPr>
                <w:sz w:val="20"/>
                <w:szCs w:val="20"/>
              </w:rPr>
            </w:pPr>
          </w:p>
        </w:tc>
        <w:tc>
          <w:tcPr>
            <w:tcW w:w="1800" w:type="dxa"/>
          </w:tcPr>
          <w:p w14:paraId="7122DA4C" w14:textId="77777777" w:rsidR="00DA702B" w:rsidRPr="00DA702B" w:rsidRDefault="00DA702B" w:rsidP="00DA702B">
            <w:pPr>
              <w:rPr>
                <w:sz w:val="20"/>
                <w:szCs w:val="20"/>
              </w:rPr>
            </w:pPr>
          </w:p>
        </w:tc>
      </w:tr>
      <w:tr w:rsidR="00DA702B" w:rsidRPr="00DA702B" w14:paraId="68ED608D" w14:textId="77777777" w:rsidTr="00247007">
        <w:trPr>
          <w:cantSplit/>
          <w:trHeight w:val="346"/>
          <w:tblHeader/>
        </w:trPr>
        <w:tc>
          <w:tcPr>
            <w:tcW w:w="1800" w:type="dxa"/>
          </w:tcPr>
          <w:p w14:paraId="44DE62BC" w14:textId="77777777" w:rsidR="00DA702B" w:rsidRPr="00DA702B" w:rsidRDefault="00DA702B" w:rsidP="00DA702B">
            <w:pPr>
              <w:rPr>
                <w:sz w:val="20"/>
                <w:szCs w:val="20"/>
              </w:rPr>
            </w:pPr>
          </w:p>
        </w:tc>
        <w:tc>
          <w:tcPr>
            <w:tcW w:w="1800" w:type="dxa"/>
          </w:tcPr>
          <w:p w14:paraId="227E9460" w14:textId="77777777" w:rsidR="00DA702B" w:rsidRPr="00DA702B" w:rsidRDefault="00DA702B" w:rsidP="00DA702B">
            <w:pPr>
              <w:rPr>
                <w:sz w:val="20"/>
                <w:szCs w:val="20"/>
              </w:rPr>
            </w:pPr>
          </w:p>
        </w:tc>
        <w:tc>
          <w:tcPr>
            <w:tcW w:w="1800" w:type="dxa"/>
          </w:tcPr>
          <w:p w14:paraId="6D0EE4B0" w14:textId="77777777" w:rsidR="00DA702B" w:rsidRPr="00DA702B" w:rsidRDefault="00DA702B" w:rsidP="00DA702B">
            <w:pPr>
              <w:rPr>
                <w:sz w:val="20"/>
                <w:szCs w:val="20"/>
              </w:rPr>
            </w:pPr>
          </w:p>
        </w:tc>
        <w:tc>
          <w:tcPr>
            <w:tcW w:w="1800" w:type="dxa"/>
          </w:tcPr>
          <w:p w14:paraId="6F682E85" w14:textId="77777777" w:rsidR="00DA702B" w:rsidRPr="00DA702B" w:rsidRDefault="00DA702B" w:rsidP="00DA702B">
            <w:pPr>
              <w:rPr>
                <w:sz w:val="20"/>
                <w:szCs w:val="20"/>
              </w:rPr>
            </w:pPr>
          </w:p>
        </w:tc>
        <w:tc>
          <w:tcPr>
            <w:tcW w:w="1800" w:type="dxa"/>
          </w:tcPr>
          <w:p w14:paraId="0ACD8474" w14:textId="77777777" w:rsidR="00DA702B" w:rsidRPr="00DA702B" w:rsidRDefault="00DA702B" w:rsidP="00DA702B">
            <w:pPr>
              <w:rPr>
                <w:sz w:val="20"/>
                <w:szCs w:val="20"/>
              </w:rPr>
            </w:pPr>
          </w:p>
        </w:tc>
        <w:tc>
          <w:tcPr>
            <w:tcW w:w="1800" w:type="dxa"/>
          </w:tcPr>
          <w:p w14:paraId="095F0B6B" w14:textId="77777777" w:rsidR="00DA702B" w:rsidRPr="00DA702B" w:rsidRDefault="00DA702B" w:rsidP="00DA702B">
            <w:pPr>
              <w:rPr>
                <w:sz w:val="20"/>
                <w:szCs w:val="20"/>
              </w:rPr>
            </w:pPr>
          </w:p>
        </w:tc>
        <w:tc>
          <w:tcPr>
            <w:tcW w:w="1800" w:type="dxa"/>
          </w:tcPr>
          <w:p w14:paraId="1E45C0F8" w14:textId="77777777" w:rsidR="00DA702B" w:rsidRPr="00DA702B" w:rsidRDefault="00DA702B" w:rsidP="00DA702B">
            <w:pPr>
              <w:rPr>
                <w:sz w:val="20"/>
                <w:szCs w:val="20"/>
              </w:rPr>
            </w:pPr>
          </w:p>
        </w:tc>
        <w:tc>
          <w:tcPr>
            <w:tcW w:w="1800" w:type="dxa"/>
          </w:tcPr>
          <w:p w14:paraId="7508AD4D" w14:textId="77777777" w:rsidR="00DA702B" w:rsidRPr="00DA702B" w:rsidRDefault="00DA702B" w:rsidP="00DA702B">
            <w:pPr>
              <w:rPr>
                <w:sz w:val="20"/>
                <w:szCs w:val="20"/>
              </w:rPr>
            </w:pPr>
          </w:p>
        </w:tc>
      </w:tr>
      <w:tr w:rsidR="00DA702B" w:rsidRPr="00DA702B" w14:paraId="15B60552" w14:textId="77777777" w:rsidTr="00247007">
        <w:trPr>
          <w:cantSplit/>
          <w:trHeight w:val="346"/>
          <w:tblHeader/>
        </w:trPr>
        <w:tc>
          <w:tcPr>
            <w:tcW w:w="1800" w:type="dxa"/>
          </w:tcPr>
          <w:p w14:paraId="759DEB8B" w14:textId="77777777" w:rsidR="00DA702B" w:rsidRPr="00DA702B" w:rsidRDefault="00DA702B" w:rsidP="00DA702B">
            <w:pPr>
              <w:rPr>
                <w:sz w:val="20"/>
                <w:szCs w:val="20"/>
              </w:rPr>
            </w:pPr>
          </w:p>
        </w:tc>
        <w:tc>
          <w:tcPr>
            <w:tcW w:w="1800" w:type="dxa"/>
          </w:tcPr>
          <w:p w14:paraId="46622A08" w14:textId="77777777" w:rsidR="00DA702B" w:rsidRPr="00DA702B" w:rsidRDefault="00DA702B" w:rsidP="00DA702B">
            <w:pPr>
              <w:rPr>
                <w:sz w:val="20"/>
                <w:szCs w:val="20"/>
              </w:rPr>
            </w:pPr>
          </w:p>
        </w:tc>
        <w:tc>
          <w:tcPr>
            <w:tcW w:w="1800" w:type="dxa"/>
          </w:tcPr>
          <w:p w14:paraId="3EF35C88" w14:textId="77777777" w:rsidR="00DA702B" w:rsidRPr="00DA702B" w:rsidRDefault="00DA702B" w:rsidP="00DA702B">
            <w:pPr>
              <w:rPr>
                <w:sz w:val="20"/>
                <w:szCs w:val="20"/>
              </w:rPr>
            </w:pPr>
          </w:p>
        </w:tc>
        <w:tc>
          <w:tcPr>
            <w:tcW w:w="1800" w:type="dxa"/>
          </w:tcPr>
          <w:p w14:paraId="1931AF44" w14:textId="77777777" w:rsidR="00DA702B" w:rsidRPr="00DA702B" w:rsidRDefault="00DA702B" w:rsidP="00DA702B">
            <w:pPr>
              <w:rPr>
                <w:sz w:val="20"/>
                <w:szCs w:val="20"/>
              </w:rPr>
            </w:pPr>
          </w:p>
        </w:tc>
        <w:tc>
          <w:tcPr>
            <w:tcW w:w="1800" w:type="dxa"/>
          </w:tcPr>
          <w:p w14:paraId="221D7FB9" w14:textId="77777777" w:rsidR="00DA702B" w:rsidRPr="00DA702B" w:rsidRDefault="00DA702B" w:rsidP="00DA702B">
            <w:pPr>
              <w:rPr>
                <w:sz w:val="20"/>
                <w:szCs w:val="20"/>
              </w:rPr>
            </w:pPr>
          </w:p>
        </w:tc>
        <w:tc>
          <w:tcPr>
            <w:tcW w:w="1800" w:type="dxa"/>
          </w:tcPr>
          <w:p w14:paraId="60B9A2A3" w14:textId="77777777" w:rsidR="00DA702B" w:rsidRPr="00DA702B" w:rsidRDefault="00DA702B" w:rsidP="00DA702B">
            <w:pPr>
              <w:rPr>
                <w:sz w:val="20"/>
                <w:szCs w:val="20"/>
              </w:rPr>
            </w:pPr>
          </w:p>
        </w:tc>
        <w:tc>
          <w:tcPr>
            <w:tcW w:w="1800" w:type="dxa"/>
          </w:tcPr>
          <w:p w14:paraId="4CA13D87" w14:textId="77777777" w:rsidR="00DA702B" w:rsidRPr="00DA702B" w:rsidRDefault="00DA702B" w:rsidP="00DA702B">
            <w:pPr>
              <w:rPr>
                <w:sz w:val="20"/>
                <w:szCs w:val="20"/>
              </w:rPr>
            </w:pPr>
          </w:p>
        </w:tc>
        <w:tc>
          <w:tcPr>
            <w:tcW w:w="1800" w:type="dxa"/>
          </w:tcPr>
          <w:p w14:paraId="60C2369D" w14:textId="77777777" w:rsidR="00DA702B" w:rsidRPr="00DA702B" w:rsidRDefault="00DA702B" w:rsidP="00DA702B">
            <w:pPr>
              <w:rPr>
                <w:sz w:val="20"/>
                <w:szCs w:val="20"/>
              </w:rPr>
            </w:pPr>
          </w:p>
        </w:tc>
      </w:tr>
      <w:tr w:rsidR="00DA702B" w:rsidRPr="00DA702B" w14:paraId="3169B537" w14:textId="77777777" w:rsidTr="00247007">
        <w:trPr>
          <w:cantSplit/>
          <w:trHeight w:val="346"/>
          <w:tblHeader/>
        </w:trPr>
        <w:tc>
          <w:tcPr>
            <w:tcW w:w="1800" w:type="dxa"/>
          </w:tcPr>
          <w:p w14:paraId="02F6DDEE" w14:textId="77777777" w:rsidR="00DA702B" w:rsidRPr="00DA702B" w:rsidRDefault="00DA702B" w:rsidP="00DA702B">
            <w:pPr>
              <w:rPr>
                <w:sz w:val="20"/>
                <w:szCs w:val="20"/>
              </w:rPr>
            </w:pPr>
          </w:p>
        </w:tc>
        <w:tc>
          <w:tcPr>
            <w:tcW w:w="1800" w:type="dxa"/>
          </w:tcPr>
          <w:p w14:paraId="53AC9D58" w14:textId="77777777" w:rsidR="00DA702B" w:rsidRPr="00DA702B" w:rsidRDefault="00DA702B" w:rsidP="00DA702B">
            <w:pPr>
              <w:rPr>
                <w:sz w:val="20"/>
                <w:szCs w:val="20"/>
              </w:rPr>
            </w:pPr>
          </w:p>
        </w:tc>
        <w:tc>
          <w:tcPr>
            <w:tcW w:w="1800" w:type="dxa"/>
          </w:tcPr>
          <w:p w14:paraId="201D276B" w14:textId="77777777" w:rsidR="00DA702B" w:rsidRPr="00DA702B" w:rsidRDefault="00DA702B" w:rsidP="00DA702B">
            <w:pPr>
              <w:rPr>
                <w:sz w:val="20"/>
                <w:szCs w:val="20"/>
              </w:rPr>
            </w:pPr>
          </w:p>
        </w:tc>
        <w:tc>
          <w:tcPr>
            <w:tcW w:w="1800" w:type="dxa"/>
          </w:tcPr>
          <w:p w14:paraId="197DF450" w14:textId="77777777" w:rsidR="00DA702B" w:rsidRPr="00DA702B" w:rsidRDefault="00DA702B" w:rsidP="00DA702B">
            <w:pPr>
              <w:rPr>
                <w:sz w:val="20"/>
                <w:szCs w:val="20"/>
              </w:rPr>
            </w:pPr>
          </w:p>
        </w:tc>
        <w:tc>
          <w:tcPr>
            <w:tcW w:w="1800" w:type="dxa"/>
          </w:tcPr>
          <w:p w14:paraId="10125CA2" w14:textId="77777777" w:rsidR="00DA702B" w:rsidRPr="00DA702B" w:rsidRDefault="00DA702B" w:rsidP="00DA702B">
            <w:pPr>
              <w:rPr>
                <w:sz w:val="20"/>
                <w:szCs w:val="20"/>
              </w:rPr>
            </w:pPr>
          </w:p>
        </w:tc>
        <w:tc>
          <w:tcPr>
            <w:tcW w:w="1800" w:type="dxa"/>
          </w:tcPr>
          <w:p w14:paraId="2B7875D7" w14:textId="77777777" w:rsidR="00DA702B" w:rsidRPr="00DA702B" w:rsidRDefault="00DA702B" w:rsidP="00DA702B">
            <w:pPr>
              <w:rPr>
                <w:sz w:val="20"/>
                <w:szCs w:val="20"/>
              </w:rPr>
            </w:pPr>
          </w:p>
        </w:tc>
        <w:tc>
          <w:tcPr>
            <w:tcW w:w="1800" w:type="dxa"/>
          </w:tcPr>
          <w:p w14:paraId="474D7B6B" w14:textId="77777777" w:rsidR="00DA702B" w:rsidRPr="00DA702B" w:rsidRDefault="00DA702B" w:rsidP="00DA702B">
            <w:pPr>
              <w:rPr>
                <w:sz w:val="20"/>
                <w:szCs w:val="20"/>
              </w:rPr>
            </w:pPr>
          </w:p>
        </w:tc>
        <w:tc>
          <w:tcPr>
            <w:tcW w:w="1800" w:type="dxa"/>
          </w:tcPr>
          <w:p w14:paraId="02848833" w14:textId="77777777" w:rsidR="00DA702B" w:rsidRPr="00DA702B" w:rsidRDefault="00DA702B" w:rsidP="00DA702B">
            <w:pPr>
              <w:rPr>
                <w:sz w:val="20"/>
                <w:szCs w:val="20"/>
              </w:rPr>
            </w:pPr>
          </w:p>
        </w:tc>
      </w:tr>
      <w:tr w:rsidR="00DA702B" w:rsidRPr="00DA702B" w14:paraId="331C4B01" w14:textId="77777777" w:rsidTr="00247007">
        <w:trPr>
          <w:cantSplit/>
          <w:trHeight w:val="346"/>
          <w:tblHeader/>
        </w:trPr>
        <w:tc>
          <w:tcPr>
            <w:tcW w:w="1800" w:type="dxa"/>
          </w:tcPr>
          <w:p w14:paraId="3F59CAA9" w14:textId="77777777" w:rsidR="00DA702B" w:rsidRPr="00DA702B" w:rsidRDefault="00DA702B" w:rsidP="00DA702B">
            <w:pPr>
              <w:rPr>
                <w:sz w:val="20"/>
                <w:szCs w:val="20"/>
              </w:rPr>
            </w:pPr>
          </w:p>
        </w:tc>
        <w:tc>
          <w:tcPr>
            <w:tcW w:w="1800" w:type="dxa"/>
          </w:tcPr>
          <w:p w14:paraId="72C09167" w14:textId="77777777" w:rsidR="00DA702B" w:rsidRPr="00DA702B" w:rsidRDefault="00DA702B" w:rsidP="00DA702B">
            <w:pPr>
              <w:rPr>
                <w:sz w:val="20"/>
                <w:szCs w:val="20"/>
              </w:rPr>
            </w:pPr>
          </w:p>
        </w:tc>
        <w:tc>
          <w:tcPr>
            <w:tcW w:w="1800" w:type="dxa"/>
          </w:tcPr>
          <w:p w14:paraId="60971EB7" w14:textId="77777777" w:rsidR="00DA702B" w:rsidRPr="00DA702B" w:rsidRDefault="00DA702B" w:rsidP="00DA702B">
            <w:pPr>
              <w:rPr>
                <w:sz w:val="20"/>
                <w:szCs w:val="20"/>
              </w:rPr>
            </w:pPr>
          </w:p>
        </w:tc>
        <w:tc>
          <w:tcPr>
            <w:tcW w:w="1800" w:type="dxa"/>
          </w:tcPr>
          <w:p w14:paraId="20824DE4" w14:textId="77777777" w:rsidR="00DA702B" w:rsidRPr="00DA702B" w:rsidRDefault="00DA702B" w:rsidP="00DA702B">
            <w:pPr>
              <w:rPr>
                <w:sz w:val="20"/>
                <w:szCs w:val="20"/>
              </w:rPr>
            </w:pPr>
          </w:p>
        </w:tc>
        <w:tc>
          <w:tcPr>
            <w:tcW w:w="1800" w:type="dxa"/>
          </w:tcPr>
          <w:p w14:paraId="41F2DD86" w14:textId="77777777" w:rsidR="00DA702B" w:rsidRPr="00DA702B" w:rsidRDefault="00DA702B" w:rsidP="00DA702B">
            <w:pPr>
              <w:rPr>
                <w:sz w:val="20"/>
                <w:szCs w:val="20"/>
              </w:rPr>
            </w:pPr>
          </w:p>
        </w:tc>
        <w:tc>
          <w:tcPr>
            <w:tcW w:w="1800" w:type="dxa"/>
          </w:tcPr>
          <w:p w14:paraId="1D293247" w14:textId="77777777" w:rsidR="00DA702B" w:rsidRPr="00DA702B" w:rsidRDefault="00DA702B" w:rsidP="00DA702B">
            <w:pPr>
              <w:rPr>
                <w:sz w:val="20"/>
                <w:szCs w:val="20"/>
              </w:rPr>
            </w:pPr>
          </w:p>
        </w:tc>
        <w:tc>
          <w:tcPr>
            <w:tcW w:w="1800" w:type="dxa"/>
          </w:tcPr>
          <w:p w14:paraId="507A840A" w14:textId="77777777" w:rsidR="00DA702B" w:rsidRPr="00DA702B" w:rsidRDefault="00DA702B" w:rsidP="00DA702B">
            <w:pPr>
              <w:rPr>
                <w:sz w:val="20"/>
                <w:szCs w:val="20"/>
              </w:rPr>
            </w:pPr>
          </w:p>
        </w:tc>
        <w:tc>
          <w:tcPr>
            <w:tcW w:w="1800" w:type="dxa"/>
          </w:tcPr>
          <w:p w14:paraId="072860F5" w14:textId="77777777" w:rsidR="00DA702B" w:rsidRPr="00DA702B" w:rsidRDefault="00DA702B" w:rsidP="00DA702B">
            <w:pPr>
              <w:rPr>
                <w:sz w:val="20"/>
                <w:szCs w:val="20"/>
              </w:rPr>
            </w:pPr>
          </w:p>
        </w:tc>
      </w:tr>
      <w:tr w:rsidR="00DA702B" w:rsidRPr="00DA702B" w14:paraId="5FFFA243" w14:textId="77777777" w:rsidTr="00247007">
        <w:trPr>
          <w:cantSplit/>
          <w:trHeight w:val="346"/>
          <w:tblHeader/>
        </w:trPr>
        <w:tc>
          <w:tcPr>
            <w:tcW w:w="1800" w:type="dxa"/>
          </w:tcPr>
          <w:p w14:paraId="5F764173" w14:textId="77777777" w:rsidR="00DA702B" w:rsidRPr="00DA702B" w:rsidRDefault="00DA702B" w:rsidP="00DA702B">
            <w:pPr>
              <w:rPr>
                <w:sz w:val="20"/>
                <w:szCs w:val="20"/>
              </w:rPr>
            </w:pPr>
          </w:p>
        </w:tc>
        <w:tc>
          <w:tcPr>
            <w:tcW w:w="1800" w:type="dxa"/>
          </w:tcPr>
          <w:p w14:paraId="56B9BBAE" w14:textId="77777777" w:rsidR="00DA702B" w:rsidRPr="00DA702B" w:rsidRDefault="00DA702B" w:rsidP="00DA702B">
            <w:pPr>
              <w:rPr>
                <w:sz w:val="20"/>
                <w:szCs w:val="20"/>
              </w:rPr>
            </w:pPr>
          </w:p>
        </w:tc>
        <w:tc>
          <w:tcPr>
            <w:tcW w:w="1800" w:type="dxa"/>
          </w:tcPr>
          <w:p w14:paraId="2E61F96C" w14:textId="77777777" w:rsidR="00DA702B" w:rsidRPr="00DA702B" w:rsidRDefault="00DA702B" w:rsidP="00DA702B">
            <w:pPr>
              <w:rPr>
                <w:sz w:val="20"/>
                <w:szCs w:val="20"/>
              </w:rPr>
            </w:pPr>
          </w:p>
        </w:tc>
        <w:tc>
          <w:tcPr>
            <w:tcW w:w="1800" w:type="dxa"/>
          </w:tcPr>
          <w:p w14:paraId="7FAA7DB2" w14:textId="77777777" w:rsidR="00DA702B" w:rsidRPr="00DA702B" w:rsidRDefault="00DA702B" w:rsidP="00DA702B">
            <w:pPr>
              <w:rPr>
                <w:sz w:val="20"/>
                <w:szCs w:val="20"/>
              </w:rPr>
            </w:pPr>
          </w:p>
        </w:tc>
        <w:tc>
          <w:tcPr>
            <w:tcW w:w="1800" w:type="dxa"/>
          </w:tcPr>
          <w:p w14:paraId="4AA51138" w14:textId="77777777" w:rsidR="00DA702B" w:rsidRPr="00DA702B" w:rsidRDefault="00DA702B" w:rsidP="00DA702B">
            <w:pPr>
              <w:rPr>
                <w:sz w:val="20"/>
                <w:szCs w:val="20"/>
              </w:rPr>
            </w:pPr>
          </w:p>
        </w:tc>
        <w:tc>
          <w:tcPr>
            <w:tcW w:w="1800" w:type="dxa"/>
          </w:tcPr>
          <w:p w14:paraId="39927F6A" w14:textId="77777777" w:rsidR="00DA702B" w:rsidRPr="00DA702B" w:rsidRDefault="00DA702B" w:rsidP="00DA702B">
            <w:pPr>
              <w:rPr>
                <w:sz w:val="20"/>
                <w:szCs w:val="20"/>
              </w:rPr>
            </w:pPr>
          </w:p>
        </w:tc>
        <w:tc>
          <w:tcPr>
            <w:tcW w:w="1800" w:type="dxa"/>
          </w:tcPr>
          <w:p w14:paraId="442ED8D4" w14:textId="77777777" w:rsidR="00DA702B" w:rsidRPr="00DA702B" w:rsidRDefault="00DA702B" w:rsidP="00DA702B">
            <w:pPr>
              <w:rPr>
                <w:sz w:val="20"/>
                <w:szCs w:val="20"/>
              </w:rPr>
            </w:pPr>
          </w:p>
        </w:tc>
        <w:tc>
          <w:tcPr>
            <w:tcW w:w="1800" w:type="dxa"/>
          </w:tcPr>
          <w:p w14:paraId="54411641" w14:textId="77777777" w:rsidR="00DA702B" w:rsidRPr="00DA702B" w:rsidRDefault="00DA702B" w:rsidP="00DA702B">
            <w:pPr>
              <w:rPr>
                <w:sz w:val="20"/>
                <w:szCs w:val="20"/>
              </w:rPr>
            </w:pPr>
          </w:p>
        </w:tc>
      </w:tr>
      <w:tr w:rsidR="00DA702B" w:rsidRPr="00DA702B" w14:paraId="1974CF1E" w14:textId="77777777" w:rsidTr="00247007">
        <w:trPr>
          <w:cantSplit/>
          <w:trHeight w:val="346"/>
          <w:tblHeader/>
        </w:trPr>
        <w:tc>
          <w:tcPr>
            <w:tcW w:w="1800" w:type="dxa"/>
          </w:tcPr>
          <w:p w14:paraId="6D00DEB2" w14:textId="77777777" w:rsidR="00DA702B" w:rsidRPr="00DA702B" w:rsidRDefault="00DA702B" w:rsidP="00DA702B">
            <w:pPr>
              <w:rPr>
                <w:sz w:val="20"/>
                <w:szCs w:val="20"/>
              </w:rPr>
            </w:pPr>
          </w:p>
        </w:tc>
        <w:tc>
          <w:tcPr>
            <w:tcW w:w="1800" w:type="dxa"/>
          </w:tcPr>
          <w:p w14:paraId="556C4441" w14:textId="77777777" w:rsidR="00DA702B" w:rsidRPr="00DA702B" w:rsidRDefault="00DA702B" w:rsidP="00DA702B">
            <w:pPr>
              <w:rPr>
                <w:sz w:val="20"/>
                <w:szCs w:val="20"/>
              </w:rPr>
            </w:pPr>
          </w:p>
        </w:tc>
        <w:tc>
          <w:tcPr>
            <w:tcW w:w="1800" w:type="dxa"/>
          </w:tcPr>
          <w:p w14:paraId="3583598A" w14:textId="77777777" w:rsidR="00DA702B" w:rsidRPr="00DA702B" w:rsidRDefault="00DA702B" w:rsidP="00DA702B">
            <w:pPr>
              <w:rPr>
                <w:sz w:val="20"/>
                <w:szCs w:val="20"/>
              </w:rPr>
            </w:pPr>
          </w:p>
        </w:tc>
        <w:tc>
          <w:tcPr>
            <w:tcW w:w="1800" w:type="dxa"/>
          </w:tcPr>
          <w:p w14:paraId="0B0EDA81" w14:textId="77777777" w:rsidR="00DA702B" w:rsidRPr="00DA702B" w:rsidRDefault="00DA702B" w:rsidP="00DA702B">
            <w:pPr>
              <w:rPr>
                <w:sz w:val="20"/>
                <w:szCs w:val="20"/>
              </w:rPr>
            </w:pPr>
          </w:p>
        </w:tc>
        <w:tc>
          <w:tcPr>
            <w:tcW w:w="1800" w:type="dxa"/>
          </w:tcPr>
          <w:p w14:paraId="53E13265" w14:textId="77777777" w:rsidR="00DA702B" w:rsidRPr="00DA702B" w:rsidRDefault="00DA702B" w:rsidP="00DA702B">
            <w:pPr>
              <w:rPr>
                <w:sz w:val="20"/>
                <w:szCs w:val="20"/>
              </w:rPr>
            </w:pPr>
          </w:p>
        </w:tc>
        <w:tc>
          <w:tcPr>
            <w:tcW w:w="1800" w:type="dxa"/>
          </w:tcPr>
          <w:p w14:paraId="01573AFD" w14:textId="77777777" w:rsidR="00DA702B" w:rsidRPr="00DA702B" w:rsidRDefault="00DA702B" w:rsidP="00DA702B">
            <w:pPr>
              <w:rPr>
                <w:sz w:val="20"/>
                <w:szCs w:val="20"/>
              </w:rPr>
            </w:pPr>
          </w:p>
        </w:tc>
        <w:tc>
          <w:tcPr>
            <w:tcW w:w="1800" w:type="dxa"/>
          </w:tcPr>
          <w:p w14:paraId="0A7EBDC7" w14:textId="77777777" w:rsidR="00DA702B" w:rsidRPr="00DA702B" w:rsidRDefault="00DA702B" w:rsidP="00DA702B">
            <w:pPr>
              <w:rPr>
                <w:sz w:val="20"/>
                <w:szCs w:val="20"/>
              </w:rPr>
            </w:pPr>
          </w:p>
        </w:tc>
        <w:tc>
          <w:tcPr>
            <w:tcW w:w="1800" w:type="dxa"/>
          </w:tcPr>
          <w:p w14:paraId="3B4321CF" w14:textId="77777777" w:rsidR="00DA702B" w:rsidRPr="00DA702B" w:rsidRDefault="00DA702B" w:rsidP="00DA702B">
            <w:pPr>
              <w:rPr>
                <w:sz w:val="20"/>
                <w:szCs w:val="20"/>
              </w:rPr>
            </w:pPr>
          </w:p>
        </w:tc>
      </w:tr>
      <w:tr w:rsidR="00DA702B" w:rsidRPr="00DA702B" w14:paraId="5754E073" w14:textId="77777777" w:rsidTr="00247007">
        <w:trPr>
          <w:cantSplit/>
          <w:trHeight w:val="346"/>
          <w:tblHeader/>
        </w:trPr>
        <w:tc>
          <w:tcPr>
            <w:tcW w:w="1800" w:type="dxa"/>
          </w:tcPr>
          <w:p w14:paraId="313A63A7" w14:textId="77777777" w:rsidR="00DA702B" w:rsidRPr="00DA702B" w:rsidRDefault="00DA702B" w:rsidP="00DA702B">
            <w:pPr>
              <w:rPr>
                <w:sz w:val="20"/>
                <w:szCs w:val="20"/>
              </w:rPr>
            </w:pPr>
          </w:p>
        </w:tc>
        <w:tc>
          <w:tcPr>
            <w:tcW w:w="1800" w:type="dxa"/>
          </w:tcPr>
          <w:p w14:paraId="280DC886" w14:textId="77777777" w:rsidR="00DA702B" w:rsidRPr="00DA702B" w:rsidRDefault="00DA702B" w:rsidP="00DA702B">
            <w:pPr>
              <w:rPr>
                <w:sz w:val="20"/>
                <w:szCs w:val="20"/>
              </w:rPr>
            </w:pPr>
          </w:p>
        </w:tc>
        <w:tc>
          <w:tcPr>
            <w:tcW w:w="1800" w:type="dxa"/>
          </w:tcPr>
          <w:p w14:paraId="33D281C4" w14:textId="77777777" w:rsidR="00DA702B" w:rsidRPr="00DA702B" w:rsidRDefault="00DA702B" w:rsidP="00DA702B">
            <w:pPr>
              <w:rPr>
                <w:sz w:val="20"/>
                <w:szCs w:val="20"/>
              </w:rPr>
            </w:pPr>
          </w:p>
        </w:tc>
        <w:tc>
          <w:tcPr>
            <w:tcW w:w="1800" w:type="dxa"/>
          </w:tcPr>
          <w:p w14:paraId="2DC901D0" w14:textId="77777777" w:rsidR="00DA702B" w:rsidRPr="00DA702B" w:rsidRDefault="00DA702B" w:rsidP="00DA702B">
            <w:pPr>
              <w:rPr>
                <w:sz w:val="20"/>
                <w:szCs w:val="20"/>
              </w:rPr>
            </w:pPr>
          </w:p>
        </w:tc>
        <w:tc>
          <w:tcPr>
            <w:tcW w:w="1800" w:type="dxa"/>
          </w:tcPr>
          <w:p w14:paraId="13575897" w14:textId="77777777" w:rsidR="00DA702B" w:rsidRPr="00DA702B" w:rsidRDefault="00DA702B" w:rsidP="00DA702B">
            <w:pPr>
              <w:rPr>
                <w:sz w:val="20"/>
                <w:szCs w:val="20"/>
              </w:rPr>
            </w:pPr>
          </w:p>
        </w:tc>
        <w:tc>
          <w:tcPr>
            <w:tcW w:w="1800" w:type="dxa"/>
          </w:tcPr>
          <w:p w14:paraId="18EE4C09" w14:textId="77777777" w:rsidR="00DA702B" w:rsidRPr="00DA702B" w:rsidRDefault="00DA702B" w:rsidP="00DA702B">
            <w:pPr>
              <w:rPr>
                <w:sz w:val="20"/>
                <w:szCs w:val="20"/>
              </w:rPr>
            </w:pPr>
          </w:p>
        </w:tc>
        <w:tc>
          <w:tcPr>
            <w:tcW w:w="1800" w:type="dxa"/>
          </w:tcPr>
          <w:p w14:paraId="08E7AB12" w14:textId="77777777" w:rsidR="00DA702B" w:rsidRPr="00DA702B" w:rsidRDefault="00DA702B" w:rsidP="00DA702B">
            <w:pPr>
              <w:rPr>
                <w:sz w:val="20"/>
                <w:szCs w:val="20"/>
              </w:rPr>
            </w:pPr>
          </w:p>
        </w:tc>
        <w:tc>
          <w:tcPr>
            <w:tcW w:w="1800" w:type="dxa"/>
          </w:tcPr>
          <w:p w14:paraId="3A9A950D" w14:textId="77777777" w:rsidR="00DA702B" w:rsidRPr="00DA702B" w:rsidRDefault="00DA702B" w:rsidP="00DA702B">
            <w:pPr>
              <w:rPr>
                <w:sz w:val="20"/>
                <w:szCs w:val="20"/>
              </w:rPr>
            </w:pPr>
          </w:p>
        </w:tc>
      </w:tr>
      <w:tr w:rsidR="00DA702B" w:rsidRPr="00DA702B" w14:paraId="23BC8D1A" w14:textId="77777777" w:rsidTr="00247007">
        <w:trPr>
          <w:cantSplit/>
          <w:trHeight w:val="346"/>
          <w:tblHeader/>
        </w:trPr>
        <w:tc>
          <w:tcPr>
            <w:tcW w:w="1800" w:type="dxa"/>
          </w:tcPr>
          <w:p w14:paraId="6E33759D" w14:textId="77777777" w:rsidR="00DA702B" w:rsidRPr="00DA702B" w:rsidRDefault="00DA702B" w:rsidP="00DA702B">
            <w:pPr>
              <w:rPr>
                <w:sz w:val="20"/>
                <w:szCs w:val="20"/>
              </w:rPr>
            </w:pPr>
          </w:p>
        </w:tc>
        <w:tc>
          <w:tcPr>
            <w:tcW w:w="1800" w:type="dxa"/>
          </w:tcPr>
          <w:p w14:paraId="47340012" w14:textId="77777777" w:rsidR="00DA702B" w:rsidRPr="00DA702B" w:rsidRDefault="00DA702B" w:rsidP="00DA702B">
            <w:pPr>
              <w:rPr>
                <w:sz w:val="20"/>
                <w:szCs w:val="20"/>
              </w:rPr>
            </w:pPr>
          </w:p>
        </w:tc>
        <w:tc>
          <w:tcPr>
            <w:tcW w:w="1800" w:type="dxa"/>
          </w:tcPr>
          <w:p w14:paraId="30F38C14" w14:textId="77777777" w:rsidR="00DA702B" w:rsidRPr="00DA702B" w:rsidRDefault="00DA702B" w:rsidP="00DA702B">
            <w:pPr>
              <w:rPr>
                <w:sz w:val="20"/>
                <w:szCs w:val="20"/>
              </w:rPr>
            </w:pPr>
          </w:p>
        </w:tc>
        <w:tc>
          <w:tcPr>
            <w:tcW w:w="1800" w:type="dxa"/>
          </w:tcPr>
          <w:p w14:paraId="0A51B76E" w14:textId="77777777" w:rsidR="00DA702B" w:rsidRPr="00DA702B" w:rsidRDefault="00DA702B" w:rsidP="00DA702B">
            <w:pPr>
              <w:rPr>
                <w:sz w:val="20"/>
                <w:szCs w:val="20"/>
              </w:rPr>
            </w:pPr>
          </w:p>
        </w:tc>
        <w:tc>
          <w:tcPr>
            <w:tcW w:w="1800" w:type="dxa"/>
          </w:tcPr>
          <w:p w14:paraId="7BF6BA78" w14:textId="77777777" w:rsidR="00DA702B" w:rsidRPr="00DA702B" w:rsidRDefault="00DA702B" w:rsidP="00DA702B">
            <w:pPr>
              <w:rPr>
                <w:sz w:val="20"/>
                <w:szCs w:val="20"/>
              </w:rPr>
            </w:pPr>
          </w:p>
        </w:tc>
        <w:tc>
          <w:tcPr>
            <w:tcW w:w="1800" w:type="dxa"/>
          </w:tcPr>
          <w:p w14:paraId="435C80AF" w14:textId="77777777" w:rsidR="00DA702B" w:rsidRPr="00DA702B" w:rsidRDefault="00DA702B" w:rsidP="00DA702B">
            <w:pPr>
              <w:rPr>
                <w:sz w:val="20"/>
                <w:szCs w:val="20"/>
              </w:rPr>
            </w:pPr>
          </w:p>
        </w:tc>
        <w:tc>
          <w:tcPr>
            <w:tcW w:w="1800" w:type="dxa"/>
          </w:tcPr>
          <w:p w14:paraId="4EC1936A" w14:textId="77777777" w:rsidR="00DA702B" w:rsidRPr="00DA702B" w:rsidRDefault="00DA702B" w:rsidP="00DA702B">
            <w:pPr>
              <w:rPr>
                <w:sz w:val="20"/>
                <w:szCs w:val="20"/>
              </w:rPr>
            </w:pPr>
          </w:p>
        </w:tc>
        <w:tc>
          <w:tcPr>
            <w:tcW w:w="1800" w:type="dxa"/>
          </w:tcPr>
          <w:p w14:paraId="73411B2D" w14:textId="77777777" w:rsidR="00DA702B" w:rsidRPr="00DA702B" w:rsidRDefault="00DA702B" w:rsidP="00DA702B">
            <w:pPr>
              <w:rPr>
                <w:sz w:val="20"/>
                <w:szCs w:val="20"/>
              </w:rPr>
            </w:pPr>
          </w:p>
        </w:tc>
      </w:tr>
      <w:tr w:rsidR="00DA702B" w:rsidRPr="00DA702B" w14:paraId="0781F436" w14:textId="77777777" w:rsidTr="00247007">
        <w:trPr>
          <w:cantSplit/>
          <w:trHeight w:val="346"/>
          <w:tblHeader/>
        </w:trPr>
        <w:tc>
          <w:tcPr>
            <w:tcW w:w="1800" w:type="dxa"/>
          </w:tcPr>
          <w:p w14:paraId="137DECC0" w14:textId="77777777" w:rsidR="00DA702B" w:rsidRPr="00DA702B" w:rsidRDefault="00DA702B" w:rsidP="00DA702B">
            <w:pPr>
              <w:rPr>
                <w:sz w:val="20"/>
                <w:szCs w:val="20"/>
              </w:rPr>
            </w:pPr>
          </w:p>
        </w:tc>
        <w:tc>
          <w:tcPr>
            <w:tcW w:w="1800" w:type="dxa"/>
          </w:tcPr>
          <w:p w14:paraId="60F02E1B" w14:textId="77777777" w:rsidR="00DA702B" w:rsidRPr="00DA702B" w:rsidRDefault="00DA702B" w:rsidP="00DA702B">
            <w:pPr>
              <w:rPr>
                <w:sz w:val="20"/>
                <w:szCs w:val="20"/>
              </w:rPr>
            </w:pPr>
          </w:p>
        </w:tc>
        <w:tc>
          <w:tcPr>
            <w:tcW w:w="1800" w:type="dxa"/>
          </w:tcPr>
          <w:p w14:paraId="7925B006" w14:textId="77777777" w:rsidR="00DA702B" w:rsidRPr="00DA702B" w:rsidRDefault="00DA702B" w:rsidP="00DA702B">
            <w:pPr>
              <w:rPr>
                <w:sz w:val="20"/>
                <w:szCs w:val="20"/>
              </w:rPr>
            </w:pPr>
          </w:p>
        </w:tc>
        <w:tc>
          <w:tcPr>
            <w:tcW w:w="1800" w:type="dxa"/>
          </w:tcPr>
          <w:p w14:paraId="35DEDDCD" w14:textId="77777777" w:rsidR="00DA702B" w:rsidRPr="00DA702B" w:rsidRDefault="00DA702B" w:rsidP="00DA702B">
            <w:pPr>
              <w:rPr>
                <w:sz w:val="20"/>
                <w:szCs w:val="20"/>
              </w:rPr>
            </w:pPr>
          </w:p>
        </w:tc>
        <w:tc>
          <w:tcPr>
            <w:tcW w:w="1800" w:type="dxa"/>
          </w:tcPr>
          <w:p w14:paraId="41EFD29F" w14:textId="77777777" w:rsidR="00DA702B" w:rsidRPr="00DA702B" w:rsidRDefault="00DA702B" w:rsidP="00DA702B">
            <w:pPr>
              <w:rPr>
                <w:sz w:val="20"/>
                <w:szCs w:val="20"/>
              </w:rPr>
            </w:pPr>
          </w:p>
        </w:tc>
        <w:tc>
          <w:tcPr>
            <w:tcW w:w="1800" w:type="dxa"/>
          </w:tcPr>
          <w:p w14:paraId="286FECBD" w14:textId="77777777" w:rsidR="00DA702B" w:rsidRPr="00DA702B" w:rsidRDefault="00DA702B" w:rsidP="00DA702B">
            <w:pPr>
              <w:rPr>
                <w:sz w:val="20"/>
                <w:szCs w:val="20"/>
              </w:rPr>
            </w:pPr>
          </w:p>
        </w:tc>
        <w:tc>
          <w:tcPr>
            <w:tcW w:w="1800" w:type="dxa"/>
          </w:tcPr>
          <w:p w14:paraId="68D9D35E" w14:textId="77777777" w:rsidR="00DA702B" w:rsidRPr="00DA702B" w:rsidRDefault="00DA702B" w:rsidP="00DA702B">
            <w:pPr>
              <w:rPr>
                <w:sz w:val="20"/>
                <w:szCs w:val="20"/>
              </w:rPr>
            </w:pPr>
          </w:p>
        </w:tc>
        <w:tc>
          <w:tcPr>
            <w:tcW w:w="1800" w:type="dxa"/>
          </w:tcPr>
          <w:p w14:paraId="078EACA5" w14:textId="77777777" w:rsidR="00DA702B" w:rsidRPr="00DA702B" w:rsidRDefault="00DA702B" w:rsidP="00DA702B">
            <w:pPr>
              <w:rPr>
                <w:sz w:val="20"/>
                <w:szCs w:val="20"/>
              </w:rPr>
            </w:pPr>
          </w:p>
        </w:tc>
      </w:tr>
    </w:tbl>
    <w:p w14:paraId="1F826CEC" w14:textId="1C10A63D" w:rsidR="007F451F" w:rsidRDefault="007F451F" w:rsidP="00DA702B">
      <w:pPr>
        <w:rPr>
          <w:sz w:val="20"/>
          <w:szCs w:val="20"/>
        </w:rPr>
      </w:pPr>
      <w:r>
        <w:rPr>
          <w:sz w:val="20"/>
          <w:szCs w:val="20"/>
        </w:rPr>
        <w:br w:type="page"/>
      </w:r>
    </w:p>
    <w:p w14:paraId="2BA71131" w14:textId="77777777" w:rsidR="00DA702B" w:rsidRPr="00DA702B" w:rsidRDefault="00DA702B" w:rsidP="007F451F">
      <w:pPr>
        <w:widowControl w:val="0"/>
        <w:jc w:val="center"/>
        <w:rPr>
          <w:rFonts w:eastAsiaTheme="majorEastAsia"/>
          <w:b/>
          <w:bCs/>
        </w:rPr>
      </w:pPr>
      <w:r w:rsidRPr="00DA702B">
        <w:rPr>
          <w:rFonts w:eastAsiaTheme="majorEastAsia"/>
          <w:b/>
          <w:bCs/>
        </w:rPr>
        <w:lastRenderedPageBreak/>
        <w:t>Boiler/Steam Generator/Steam Generating Unit Attributes</w:t>
      </w:r>
    </w:p>
    <w:p w14:paraId="434B4397" w14:textId="77777777" w:rsidR="00DA702B" w:rsidRPr="00DA702B" w:rsidRDefault="00DA702B" w:rsidP="007F451F">
      <w:pPr>
        <w:widowControl w:val="0"/>
        <w:jc w:val="center"/>
        <w:rPr>
          <w:rFonts w:eastAsiaTheme="majorEastAsia"/>
          <w:b/>
          <w:bCs/>
        </w:rPr>
      </w:pPr>
      <w:r w:rsidRPr="00DA702B">
        <w:rPr>
          <w:rFonts w:eastAsiaTheme="majorEastAsia"/>
          <w:b/>
          <w:bCs/>
        </w:rPr>
        <w:t>Form OP-UA6 (Page 32)</w:t>
      </w:r>
    </w:p>
    <w:p w14:paraId="396CD9F0" w14:textId="77777777" w:rsidR="00DA702B" w:rsidRPr="00DA702B" w:rsidRDefault="00DA702B" w:rsidP="007F451F">
      <w:pPr>
        <w:widowControl w:val="0"/>
        <w:jc w:val="center"/>
        <w:rPr>
          <w:rFonts w:eastAsiaTheme="majorEastAsia"/>
          <w:b/>
          <w:bCs/>
        </w:rPr>
      </w:pPr>
      <w:r w:rsidRPr="00DA702B">
        <w:rPr>
          <w:rFonts w:eastAsiaTheme="majorEastAsia"/>
          <w:b/>
          <w:bCs/>
        </w:rPr>
        <w:t>Federal Operating Permit Program</w:t>
      </w:r>
    </w:p>
    <w:p w14:paraId="1FF19D1D" w14:textId="77777777" w:rsidR="00DA702B" w:rsidRPr="00DA702B" w:rsidRDefault="00DA702B" w:rsidP="007F451F">
      <w:pPr>
        <w:widowControl w:val="0"/>
        <w:jc w:val="center"/>
        <w:rPr>
          <w:rFonts w:eastAsiaTheme="majorEastAsia"/>
          <w:b/>
          <w:bCs/>
        </w:rPr>
      </w:pPr>
      <w:bookmarkStart w:id="194" w:name="TBL_13e"/>
      <w:r w:rsidRPr="00DA702B">
        <w:rPr>
          <w:rFonts w:eastAsiaTheme="majorEastAsia"/>
          <w:b/>
          <w:bCs/>
        </w:rPr>
        <w:t>Table 13e</w:t>
      </w:r>
      <w:bookmarkEnd w:id="194"/>
      <w:r w:rsidRPr="00DA702B">
        <w:rPr>
          <w:rFonts w:eastAsiaTheme="majorEastAsia"/>
          <w:b/>
          <w:bCs/>
        </w:rPr>
        <w:t>:  Title 40 Code of Federal Regulations Part 63 (40 CFR Part 63)</w:t>
      </w:r>
    </w:p>
    <w:p w14:paraId="13251B9C" w14:textId="77777777" w:rsidR="00DA702B" w:rsidRPr="00DA702B" w:rsidRDefault="00DA702B" w:rsidP="007F451F">
      <w:pPr>
        <w:widowControl w:val="0"/>
        <w:jc w:val="center"/>
        <w:rPr>
          <w:rFonts w:eastAsiaTheme="majorEastAsia"/>
          <w:b/>
          <w:bCs/>
        </w:rPr>
      </w:pPr>
      <w:r w:rsidRPr="00DA702B">
        <w:rPr>
          <w:rFonts w:eastAsiaTheme="majorEastAsia"/>
          <w:b/>
          <w:bCs/>
        </w:rPr>
        <w:t>Subpart UUUUU:  Coal- and Oil-Fired Electric Utility Steam Generating Units</w:t>
      </w:r>
    </w:p>
    <w:p w14:paraId="11A0DA62" w14:textId="77777777" w:rsidR="00DA702B" w:rsidRPr="00DA702B" w:rsidRDefault="00DA702B" w:rsidP="007F451F">
      <w:pPr>
        <w:widowControl w:val="0"/>
        <w:jc w:val="center"/>
        <w:rPr>
          <w:b/>
          <w:bCs/>
        </w:rPr>
      </w:pPr>
      <w:r w:rsidRPr="00DA702B">
        <w:rPr>
          <w:b/>
          <w:bCs/>
        </w:rPr>
        <w:t>Texas Commission on Environmental Quality</w:t>
      </w:r>
    </w:p>
    <w:p w14:paraId="62E6A99B" w14:textId="77777777" w:rsidR="00DA702B" w:rsidRPr="00DA702B" w:rsidRDefault="00DA702B" w:rsidP="00DA702B">
      <w:pPr>
        <w:spacing w:before="24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e:  Title 40 Code of Federal Regulations Part 63 (40 CFR Part 63)&#10;Subpart UUUUU:  Coal- and Oil-Fired Electric Utility Steam Generating Units&#10;"/>
      </w:tblPr>
      <w:tblGrid>
        <w:gridCol w:w="4800"/>
        <w:gridCol w:w="4800"/>
        <w:gridCol w:w="4800"/>
      </w:tblGrid>
      <w:tr w:rsidR="00DA702B" w:rsidRPr="00DA702B" w14:paraId="49359321" w14:textId="77777777" w:rsidTr="00247007">
        <w:trPr>
          <w:cantSplit/>
          <w:tblHeader/>
        </w:trPr>
        <w:tc>
          <w:tcPr>
            <w:tcW w:w="4800" w:type="dxa"/>
            <w:shd w:val="clear" w:color="auto" w:fill="D9D9D9" w:themeFill="background1" w:themeFillShade="D9"/>
          </w:tcPr>
          <w:p w14:paraId="46058E81"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E38B39E"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404F9C8D"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02395A9D" w14:textId="77777777" w:rsidTr="00247007">
        <w:trPr>
          <w:cantSplit/>
          <w:tblHeader/>
        </w:trPr>
        <w:tc>
          <w:tcPr>
            <w:tcW w:w="4800" w:type="dxa"/>
          </w:tcPr>
          <w:p w14:paraId="275A44E3" w14:textId="77777777" w:rsidR="00DA702B" w:rsidRPr="00DA702B" w:rsidRDefault="00DA702B" w:rsidP="00DA702B">
            <w:pPr>
              <w:rPr>
                <w:rFonts w:asciiTheme="majorHAnsi" w:hAnsiTheme="majorHAnsi" w:cstheme="majorHAnsi"/>
              </w:rPr>
            </w:pPr>
          </w:p>
        </w:tc>
        <w:tc>
          <w:tcPr>
            <w:tcW w:w="4800" w:type="dxa"/>
          </w:tcPr>
          <w:p w14:paraId="4D118185" w14:textId="77777777" w:rsidR="00DA702B" w:rsidRPr="00DA702B" w:rsidRDefault="00DA702B" w:rsidP="00DA702B">
            <w:pPr>
              <w:rPr>
                <w:rFonts w:asciiTheme="majorHAnsi" w:hAnsiTheme="majorHAnsi" w:cstheme="majorHAnsi"/>
              </w:rPr>
            </w:pPr>
          </w:p>
        </w:tc>
        <w:tc>
          <w:tcPr>
            <w:tcW w:w="4800" w:type="dxa"/>
          </w:tcPr>
          <w:p w14:paraId="33A2A8FA" w14:textId="77777777" w:rsidR="00DA702B" w:rsidRPr="00DA702B" w:rsidRDefault="00DA702B" w:rsidP="00DA702B">
            <w:pPr>
              <w:rPr>
                <w:rFonts w:asciiTheme="majorHAnsi" w:hAnsiTheme="majorHAnsi" w:cstheme="majorHAnsi"/>
              </w:rPr>
            </w:pPr>
          </w:p>
        </w:tc>
      </w:tr>
    </w:tbl>
    <w:p w14:paraId="6D55D9B4"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e:  Title 40 Code of Federal Regulations Part 63 (40 CFR Part 63)&#10;Subpart UUUUU:  Coal- and Oil-Fired Electric Utility Steam Generating Units&#10;&#10;"/>
      </w:tblPr>
      <w:tblGrid>
        <w:gridCol w:w="1600"/>
        <w:gridCol w:w="1600"/>
        <w:gridCol w:w="1600"/>
        <w:gridCol w:w="1600"/>
        <w:gridCol w:w="1600"/>
        <w:gridCol w:w="1600"/>
        <w:gridCol w:w="1600"/>
        <w:gridCol w:w="1600"/>
        <w:gridCol w:w="1600"/>
      </w:tblGrid>
      <w:tr w:rsidR="00DA702B" w:rsidRPr="00DA702B" w14:paraId="679F37DD" w14:textId="77777777" w:rsidTr="00247007">
        <w:trPr>
          <w:cantSplit/>
          <w:trHeight w:val="346"/>
          <w:tblHeader/>
        </w:trPr>
        <w:tc>
          <w:tcPr>
            <w:tcW w:w="1600" w:type="dxa"/>
            <w:shd w:val="clear" w:color="auto" w:fill="D9D9D9" w:themeFill="background1" w:themeFillShade="D9"/>
            <w:vAlign w:val="center"/>
          </w:tcPr>
          <w:p w14:paraId="118DAFBA" w14:textId="77777777" w:rsidR="00DA702B" w:rsidRPr="00DA702B" w:rsidRDefault="00DA702B" w:rsidP="00DA702B">
            <w:pPr>
              <w:jc w:val="center"/>
              <w:rPr>
                <w:sz w:val="20"/>
                <w:szCs w:val="20"/>
              </w:rPr>
            </w:pPr>
            <w:r w:rsidRPr="00DA702B">
              <w:rPr>
                <w:b/>
                <w:sz w:val="20"/>
                <w:szCs w:val="20"/>
              </w:rPr>
              <w:t>Unit ID No.</w:t>
            </w:r>
          </w:p>
        </w:tc>
        <w:tc>
          <w:tcPr>
            <w:tcW w:w="1600" w:type="dxa"/>
            <w:shd w:val="clear" w:color="auto" w:fill="D9D9D9" w:themeFill="background1" w:themeFillShade="D9"/>
            <w:vAlign w:val="center"/>
          </w:tcPr>
          <w:p w14:paraId="039B3B2E" w14:textId="77777777" w:rsidR="00DA702B" w:rsidRPr="00DA702B" w:rsidRDefault="00DA702B" w:rsidP="00DA702B">
            <w:pPr>
              <w:jc w:val="center"/>
              <w:rPr>
                <w:sz w:val="20"/>
                <w:szCs w:val="20"/>
              </w:rPr>
            </w:pPr>
            <w:r w:rsidRPr="00DA702B">
              <w:rPr>
                <w:b/>
                <w:sz w:val="20"/>
                <w:szCs w:val="20"/>
              </w:rPr>
              <w:t>SOP Index No.</w:t>
            </w:r>
          </w:p>
        </w:tc>
        <w:tc>
          <w:tcPr>
            <w:tcW w:w="1600" w:type="dxa"/>
            <w:shd w:val="clear" w:color="auto" w:fill="D9D9D9" w:themeFill="background1" w:themeFillShade="D9"/>
            <w:vAlign w:val="center"/>
          </w:tcPr>
          <w:p w14:paraId="753A078F" w14:textId="77777777" w:rsidR="00DA702B" w:rsidRPr="00DA702B" w:rsidRDefault="00DA702B" w:rsidP="00DA702B">
            <w:pPr>
              <w:jc w:val="center"/>
              <w:rPr>
                <w:sz w:val="20"/>
                <w:szCs w:val="20"/>
              </w:rPr>
            </w:pPr>
            <w:r w:rsidRPr="00DA702B">
              <w:rPr>
                <w:b/>
                <w:sz w:val="20"/>
                <w:szCs w:val="20"/>
              </w:rPr>
              <w:t>HCl-Input</w:t>
            </w:r>
          </w:p>
        </w:tc>
        <w:tc>
          <w:tcPr>
            <w:tcW w:w="1600" w:type="dxa"/>
            <w:shd w:val="clear" w:color="auto" w:fill="D9D9D9" w:themeFill="background1" w:themeFillShade="D9"/>
            <w:vAlign w:val="center"/>
          </w:tcPr>
          <w:p w14:paraId="4E40ED76" w14:textId="77777777" w:rsidR="00DA702B" w:rsidRPr="00DA702B" w:rsidRDefault="00DA702B" w:rsidP="00DA702B">
            <w:pPr>
              <w:jc w:val="center"/>
              <w:rPr>
                <w:sz w:val="20"/>
                <w:szCs w:val="20"/>
              </w:rPr>
            </w:pPr>
            <w:r w:rsidRPr="00DA702B">
              <w:rPr>
                <w:b/>
                <w:sz w:val="20"/>
                <w:szCs w:val="20"/>
              </w:rPr>
              <w:t>SO</w:t>
            </w:r>
            <w:r w:rsidRPr="00DA702B">
              <w:rPr>
                <w:b/>
                <w:sz w:val="20"/>
                <w:szCs w:val="20"/>
                <w:vertAlign w:val="subscript"/>
              </w:rPr>
              <w:t>2</w:t>
            </w:r>
            <w:r w:rsidRPr="00DA702B">
              <w:rPr>
                <w:b/>
                <w:sz w:val="20"/>
                <w:szCs w:val="20"/>
              </w:rPr>
              <w:t>-Input</w:t>
            </w:r>
          </w:p>
        </w:tc>
        <w:tc>
          <w:tcPr>
            <w:tcW w:w="1600" w:type="dxa"/>
            <w:shd w:val="clear" w:color="auto" w:fill="D9D9D9" w:themeFill="background1" w:themeFillShade="D9"/>
            <w:vAlign w:val="center"/>
          </w:tcPr>
          <w:p w14:paraId="2BE2B317" w14:textId="77777777" w:rsidR="00DA702B" w:rsidRPr="00DA702B" w:rsidRDefault="00DA702B" w:rsidP="00DA702B">
            <w:pPr>
              <w:jc w:val="center"/>
              <w:rPr>
                <w:sz w:val="20"/>
                <w:szCs w:val="20"/>
              </w:rPr>
            </w:pPr>
            <w:r w:rsidRPr="00DA702B">
              <w:rPr>
                <w:b/>
                <w:sz w:val="20"/>
                <w:szCs w:val="20"/>
              </w:rPr>
              <w:t>Hg-Input-c</w:t>
            </w:r>
          </w:p>
        </w:tc>
        <w:tc>
          <w:tcPr>
            <w:tcW w:w="1600" w:type="dxa"/>
            <w:shd w:val="clear" w:color="auto" w:fill="D9D9D9" w:themeFill="background1" w:themeFillShade="D9"/>
            <w:vAlign w:val="center"/>
          </w:tcPr>
          <w:p w14:paraId="32FD506C" w14:textId="77777777" w:rsidR="00DA702B" w:rsidRPr="00DA702B" w:rsidRDefault="00DA702B" w:rsidP="00DA702B">
            <w:pPr>
              <w:jc w:val="center"/>
              <w:rPr>
                <w:sz w:val="20"/>
                <w:szCs w:val="20"/>
              </w:rPr>
            </w:pPr>
            <w:r w:rsidRPr="00DA702B">
              <w:rPr>
                <w:b/>
                <w:sz w:val="20"/>
                <w:szCs w:val="20"/>
              </w:rPr>
              <w:t>Hg-LEE Test</w:t>
            </w:r>
          </w:p>
        </w:tc>
        <w:tc>
          <w:tcPr>
            <w:tcW w:w="1600" w:type="dxa"/>
            <w:shd w:val="clear" w:color="auto" w:fill="D9D9D9" w:themeFill="background1" w:themeFillShade="D9"/>
            <w:vAlign w:val="center"/>
          </w:tcPr>
          <w:p w14:paraId="3B031B9F" w14:textId="77777777" w:rsidR="00DA702B" w:rsidRPr="00DA702B" w:rsidRDefault="00DA702B" w:rsidP="00DA702B">
            <w:pPr>
              <w:jc w:val="center"/>
              <w:rPr>
                <w:sz w:val="20"/>
                <w:szCs w:val="20"/>
              </w:rPr>
            </w:pPr>
            <w:r w:rsidRPr="00DA702B">
              <w:rPr>
                <w:b/>
                <w:sz w:val="20"/>
                <w:szCs w:val="20"/>
              </w:rPr>
              <w:t>HF-Input</w:t>
            </w:r>
          </w:p>
        </w:tc>
        <w:tc>
          <w:tcPr>
            <w:tcW w:w="1600" w:type="dxa"/>
            <w:shd w:val="clear" w:color="auto" w:fill="D9D9D9" w:themeFill="background1" w:themeFillShade="D9"/>
            <w:vAlign w:val="center"/>
          </w:tcPr>
          <w:p w14:paraId="01477B2E" w14:textId="77777777" w:rsidR="00DA702B" w:rsidRPr="00DA702B" w:rsidRDefault="00DA702B" w:rsidP="00DA702B">
            <w:pPr>
              <w:jc w:val="center"/>
              <w:rPr>
                <w:sz w:val="20"/>
                <w:szCs w:val="20"/>
              </w:rPr>
            </w:pPr>
            <w:r w:rsidRPr="00DA702B">
              <w:rPr>
                <w:b/>
                <w:sz w:val="20"/>
                <w:szCs w:val="20"/>
              </w:rPr>
              <w:t>Scrubber/Bypass</w:t>
            </w:r>
          </w:p>
        </w:tc>
        <w:tc>
          <w:tcPr>
            <w:tcW w:w="1600" w:type="dxa"/>
            <w:shd w:val="clear" w:color="auto" w:fill="D9D9D9" w:themeFill="background1" w:themeFillShade="D9"/>
            <w:vAlign w:val="center"/>
          </w:tcPr>
          <w:p w14:paraId="2E4D5413" w14:textId="77777777" w:rsidR="00DA702B" w:rsidRPr="00DA702B" w:rsidRDefault="00DA702B" w:rsidP="00DA702B">
            <w:pPr>
              <w:jc w:val="center"/>
              <w:rPr>
                <w:sz w:val="20"/>
                <w:szCs w:val="20"/>
              </w:rPr>
            </w:pPr>
            <w:r w:rsidRPr="00DA702B">
              <w:rPr>
                <w:b/>
                <w:sz w:val="20"/>
                <w:szCs w:val="20"/>
              </w:rPr>
              <w:t>PM-LEE</w:t>
            </w:r>
          </w:p>
        </w:tc>
      </w:tr>
      <w:tr w:rsidR="00DA702B" w:rsidRPr="00DA702B" w14:paraId="6932DDBB" w14:textId="77777777" w:rsidTr="00247007">
        <w:trPr>
          <w:cantSplit/>
          <w:trHeight w:val="346"/>
          <w:tblHeader/>
        </w:trPr>
        <w:tc>
          <w:tcPr>
            <w:tcW w:w="1600" w:type="dxa"/>
          </w:tcPr>
          <w:p w14:paraId="622F1241" w14:textId="77777777" w:rsidR="00DA702B" w:rsidRPr="00DA702B" w:rsidRDefault="00DA702B" w:rsidP="00DA702B">
            <w:pPr>
              <w:rPr>
                <w:sz w:val="20"/>
                <w:szCs w:val="20"/>
              </w:rPr>
            </w:pPr>
          </w:p>
        </w:tc>
        <w:tc>
          <w:tcPr>
            <w:tcW w:w="1600" w:type="dxa"/>
          </w:tcPr>
          <w:p w14:paraId="42DC3E99" w14:textId="77777777" w:rsidR="00DA702B" w:rsidRPr="00DA702B" w:rsidRDefault="00DA702B" w:rsidP="00DA702B">
            <w:pPr>
              <w:rPr>
                <w:sz w:val="20"/>
                <w:szCs w:val="20"/>
              </w:rPr>
            </w:pPr>
          </w:p>
        </w:tc>
        <w:tc>
          <w:tcPr>
            <w:tcW w:w="1600" w:type="dxa"/>
          </w:tcPr>
          <w:p w14:paraId="165A5E82" w14:textId="77777777" w:rsidR="00DA702B" w:rsidRPr="00DA702B" w:rsidRDefault="00DA702B" w:rsidP="00DA702B">
            <w:pPr>
              <w:rPr>
                <w:sz w:val="20"/>
                <w:szCs w:val="20"/>
              </w:rPr>
            </w:pPr>
          </w:p>
        </w:tc>
        <w:tc>
          <w:tcPr>
            <w:tcW w:w="1600" w:type="dxa"/>
          </w:tcPr>
          <w:p w14:paraId="23E85C6C" w14:textId="77777777" w:rsidR="00DA702B" w:rsidRPr="00DA702B" w:rsidRDefault="00DA702B" w:rsidP="00DA702B">
            <w:pPr>
              <w:rPr>
                <w:sz w:val="20"/>
                <w:szCs w:val="20"/>
              </w:rPr>
            </w:pPr>
          </w:p>
        </w:tc>
        <w:tc>
          <w:tcPr>
            <w:tcW w:w="1600" w:type="dxa"/>
          </w:tcPr>
          <w:p w14:paraId="242E61BE" w14:textId="77777777" w:rsidR="00DA702B" w:rsidRPr="00DA702B" w:rsidRDefault="00DA702B" w:rsidP="00DA702B">
            <w:pPr>
              <w:rPr>
                <w:sz w:val="20"/>
                <w:szCs w:val="20"/>
              </w:rPr>
            </w:pPr>
          </w:p>
        </w:tc>
        <w:tc>
          <w:tcPr>
            <w:tcW w:w="1600" w:type="dxa"/>
          </w:tcPr>
          <w:p w14:paraId="22688CF1" w14:textId="77777777" w:rsidR="00DA702B" w:rsidRPr="00DA702B" w:rsidRDefault="00DA702B" w:rsidP="00DA702B">
            <w:pPr>
              <w:rPr>
                <w:sz w:val="20"/>
                <w:szCs w:val="20"/>
              </w:rPr>
            </w:pPr>
          </w:p>
        </w:tc>
        <w:tc>
          <w:tcPr>
            <w:tcW w:w="1600" w:type="dxa"/>
          </w:tcPr>
          <w:p w14:paraId="1FF3C801" w14:textId="77777777" w:rsidR="00DA702B" w:rsidRPr="00DA702B" w:rsidRDefault="00DA702B" w:rsidP="00DA702B">
            <w:pPr>
              <w:rPr>
                <w:sz w:val="20"/>
                <w:szCs w:val="20"/>
              </w:rPr>
            </w:pPr>
          </w:p>
        </w:tc>
        <w:tc>
          <w:tcPr>
            <w:tcW w:w="1600" w:type="dxa"/>
          </w:tcPr>
          <w:p w14:paraId="664C88A8" w14:textId="77777777" w:rsidR="00DA702B" w:rsidRPr="00DA702B" w:rsidRDefault="00DA702B" w:rsidP="00DA702B">
            <w:pPr>
              <w:rPr>
                <w:sz w:val="20"/>
                <w:szCs w:val="20"/>
              </w:rPr>
            </w:pPr>
          </w:p>
        </w:tc>
        <w:tc>
          <w:tcPr>
            <w:tcW w:w="1600" w:type="dxa"/>
          </w:tcPr>
          <w:p w14:paraId="21237B03" w14:textId="77777777" w:rsidR="00DA702B" w:rsidRPr="00DA702B" w:rsidRDefault="00DA702B" w:rsidP="00DA702B">
            <w:pPr>
              <w:rPr>
                <w:sz w:val="20"/>
                <w:szCs w:val="20"/>
              </w:rPr>
            </w:pPr>
          </w:p>
        </w:tc>
      </w:tr>
      <w:tr w:rsidR="00DA702B" w:rsidRPr="00DA702B" w14:paraId="692A6BFA" w14:textId="77777777" w:rsidTr="00247007">
        <w:trPr>
          <w:cantSplit/>
          <w:trHeight w:val="346"/>
          <w:tblHeader/>
        </w:trPr>
        <w:tc>
          <w:tcPr>
            <w:tcW w:w="1600" w:type="dxa"/>
          </w:tcPr>
          <w:p w14:paraId="5F713F40" w14:textId="77777777" w:rsidR="00DA702B" w:rsidRPr="00DA702B" w:rsidRDefault="00DA702B" w:rsidP="00DA702B">
            <w:pPr>
              <w:rPr>
                <w:sz w:val="20"/>
                <w:szCs w:val="20"/>
              </w:rPr>
            </w:pPr>
          </w:p>
        </w:tc>
        <w:tc>
          <w:tcPr>
            <w:tcW w:w="1600" w:type="dxa"/>
          </w:tcPr>
          <w:p w14:paraId="16945ECE" w14:textId="77777777" w:rsidR="00DA702B" w:rsidRPr="00DA702B" w:rsidRDefault="00DA702B" w:rsidP="00DA702B">
            <w:pPr>
              <w:rPr>
                <w:sz w:val="20"/>
                <w:szCs w:val="20"/>
              </w:rPr>
            </w:pPr>
          </w:p>
        </w:tc>
        <w:tc>
          <w:tcPr>
            <w:tcW w:w="1600" w:type="dxa"/>
          </w:tcPr>
          <w:p w14:paraId="5505D588" w14:textId="77777777" w:rsidR="00DA702B" w:rsidRPr="00DA702B" w:rsidRDefault="00DA702B" w:rsidP="00DA702B">
            <w:pPr>
              <w:rPr>
                <w:sz w:val="20"/>
                <w:szCs w:val="20"/>
              </w:rPr>
            </w:pPr>
          </w:p>
        </w:tc>
        <w:tc>
          <w:tcPr>
            <w:tcW w:w="1600" w:type="dxa"/>
          </w:tcPr>
          <w:p w14:paraId="5BDDB44C" w14:textId="77777777" w:rsidR="00DA702B" w:rsidRPr="00DA702B" w:rsidRDefault="00DA702B" w:rsidP="00DA702B">
            <w:pPr>
              <w:rPr>
                <w:sz w:val="20"/>
                <w:szCs w:val="20"/>
              </w:rPr>
            </w:pPr>
          </w:p>
        </w:tc>
        <w:tc>
          <w:tcPr>
            <w:tcW w:w="1600" w:type="dxa"/>
          </w:tcPr>
          <w:p w14:paraId="635AA50B" w14:textId="77777777" w:rsidR="00DA702B" w:rsidRPr="00DA702B" w:rsidRDefault="00DA702B" w:rsidP="00DA702B">
            <w:pPr>
              <w:rPr>
                <w:sz w:val="20"/>
                <w:szCs w:val="20"/>
              </w:rPr>
            </w:pPr>
          </w:p>
        </w:tc>
        <w:tc>
          <w:tcPr>
            <w:tcW w:w="1600" w:type="dxa"/>
          </w:tcPr>
          <w:p w14:paraId="277A843E" w14:textId="77777777" w:rsidR="00DA702B" w:rsidRPr="00DA702B" w:rsidRDefault="00DA702B" w:rsidP="00DA702B">
            <w:pPr>
              <w:rPr>
                <w:sz w:val="20"/>
                <w:szCs w:val="20"/>
              </w:rPr>
            </w:pPr>
          </w:p>
        </w:tc>
        <w:tc>
          <w:tcPr>
            <w:tcW w:w="1600" w:type="dxa"/>
          </w:tcPr>
          <w:p w14:paraId="223011EC" w14:textId="77777777" w:rsidR="00DA702B" w:rsidRPr="00DA702B" w:rsidRDefault="00DA702B" w:rsidP="00DA702B">
            <w:pPr>
              <w:rPr>
                <w:sz w:val="20"/>
                <w:szCs w:val="20"/>
              </w:rPr>
            </w:pPr>
          </w:p>
        </w:tc>
        <w:tc>
          <w:tcPr>
            <w:tcW w:w="1600" w:type="dxa"/>
          </w:tcPr>
          <w:p w14:paraId="292C4495" w14:textId="77777777" w:rsidR="00DA702B" w:rsidRPr="00DA702B" w:rsidRDefault="00DA702B" w:rsidP="00DA702B">
            <w:pPr>
              <w:rPr>
                <w:sz w:val="20"/>
                <w:szCs w:val="20"/>
              </w:rPr>
            </w:pPr>
          </w:p>
        </w:tc>
        <w:tc>
          <w:tcPr>
            <w:tcW w:w="1600" w:type="dxa"/>
          </w:tcPr>
          <w:p w14:paraId="224FC44C" w14:textId="77777777" w:rsidR="00DA702B" w:rsidRPr="00DA702B" w:rsidRDefault="00DA702B" w:rsidP="00DA702B">
            <w:pPr>
              <w:rPr>
                <w:sz w:val="20"/>
                <w:szCs w:val="20"/>
              </w:rPr>
            </w:pPr>
          </w:p>
        </w:tc>
      </w:tr>
      <w:tr w:rsidR="00DA702B" w:rsidRPr="00DA702B" w14:paraId="22805204" w14:textId="77777777" w:rsidTr="00247007">
        <w:trPr>
          <w:cantSplit/>
          <w:trHeight w:val="346"/>
          <w:tblHeader/>
        </w:trPr>
        <w:tc>
          <w:tcPr>
            <w:tcW w:w="1600" w:type="dxa"/>
          </w:tcPr>
          <w:p w14:paraId="1B7D43E4" w14:textId="77777777" w:rsidR="00DA702B" w:rsidRPr="00DA702B" w:rsidRDefault="00DA702B" w:rsidP="00DA702B">
            <w:pPr>
              <w:rPr>
                <w:sz w:val="20"/>
                <w:szCs w:val="20"/>
              </w:rPr>
            </w:pPr>
          </w:p>
        </w:tc>
        <w:tc>
          <w:tcPr>
            <w:tcW w:w="1600" w:type="dxa"/>
          </w:tcPr>
          <w:p w14:paraId="2FA25526" w14:textId="77777777" w:rsidR="00DA702B" w:rsidRPr="00DA702B" w:rsidRDefault="00DA702B" w:rsidP="00DA702B">
            <w:pPr>
              <w:rPr>
                <w:sz w:val="20"/>
                <w:szCs w:val="20"/>
              </w:rPr>
            </w:pPr>
          </w:p>
        </w:tc>
        <w:tc>
          <w:tcPr>
            <w:tcW w:w="1600" w:type="dxa"/>
          </w:tcPr>
          <w:p w14:paraId="01A96C0C" w14:textId="77777777" w:rsidR="00DA702B" w:rsidRPr="00DA702B" w:rsidRDefault="00DA702B" w:rsidP="00DA702B">
            <w:pPr>
              <w:rPr>
                <w:sz w:val="20"/>
                <w:szCs w:val="20"/>
              </w:rPr>
            </w:pPr>
          </w:p>
        </w:tc>
        <w:tc>
          <w:tcPr>
            <w:tcW w:w="1600" w:type="dxa"/>
          </w:tcPr>
          <w:p w14:paraId="5BA2C8A6" w14:textId="77777777" w:rsidR="00DA702B" w:rsidRPr="00DA702B" w:rsidRDefault="00DA702B" w:rsidP="00DA702B">
            <w:pPr>
              <w:rPr>
                <w:sz w:val="20"/>
                <w:szCs w:val="20"/>
              </w:rPr>
            </w:pPr>
          </w:p>
        </w:tc>
        <w:tc>
          <w:tcPr>
            <w:tcW w:w="1600" w:type="dxa"/>
          </w:tcPr>
          <w:p w14:paraId="0EF85C4E" w14:textId="77777777" w:rsidR="00DA702B" w:rsidRPr="00DA702B" w:rsidRDefault="00DA702B" w:rsidP="00DA702B">
            <w:pPr>
              <w:rPr>
                <w:sz w:val="20"/>
                <w:szCs w:val="20"/>
              </w:rPr>
            </w:pPr>
          </w:p>
        </w:tc>
        <w:tc>
          <w:tcPr>
            <w:tcW w:w="1600" w:type="dxa"/>
          </w:tcPr>
          <w:p w14:paraId="68F9CCAA" w14:textId="77777777" w:rsidR="00DA702B" w:rsidRPr="00DA702B" w:rsidRDefault="00DA702B" w:rsidP="00DA702B">
            <w:pPr>
              <w:rPr>
                <w:sz w:val="20"/>
                <w:szCs w:val="20"/>
              </w:rPr>
            </w:pPr>
          </w:p>
        </w:tc>
        <w:tc>
          <w:tcPr>
            <w:tcW w:w="1600" w:type="dxa"/>
          </w:tcPr>
          <w:p w14:paraId="522D75AA" w14:textId="77777777" w:rsidR="00DA702B" w:rsidRPr="00DA702B" w:rsidRDefault="00DA702B" w:rsidP="00DA702B">
            <w:pPr>
              <w:rPr>
                <w:sz w:val="20"/>
                <w:szCs w:val="20"/>
              </w:rPr>
            </w:pPr>
          </w:p>
        </w:tc>
        <w:tc>
          <w:tcPr>
            <w:tcW w:w="1600" w:type="dxa"/>
          </w:tcPr>
          <w:p w14:paraId="3507E7C8" w14:textId="77777777" w:rsidR="00DA702B" w:rsidRPr="00DA702B" w:rsidRDefault="00DA702B" w:rsidP="00DA702B">
            <w:pPr>
              <w:rPr>
                <w:sz w:val="20"/>
                <w:szCs w:val="20"/>
              </w:rPr>
            </w:pPr>
          </w:p>
        </w:tc>
        <w:tc>
          <w:tcPr>
            <w:tcW w:w="1600" w:type="dxa"/>
          </w:tcPr>
          <w:p w14:paraId="0B53A226" w14:textId="77777777" w:rsidR="00DA702B" w:rsidRPr="00DA702B" w:rsidRDefault="00DA702B" w:rsidP="00DA702B">
            <w:pPr>
              <w:rPr>
                <w:sz w:val="20"/>
                <w:szCs w:val="20"/>
              </w:rPr>
            </w:pPr>
          </w:p>
        </w:tc>
      </w:tr>
      <w:tr w:rsidR="00DA702B" w:rsidRPr="00DA702B" w14:paraId="5A99C5CF" w14:textId="77777777" w:rsidTr="00247007">
        <w:trPr>
          <w:cantSplit/>
          <w:trHeight w:val="346"/>
          <w:tblHeader/>
        </w:trPr>
        <w:tc>
          <w:tcPr>
            <w:tcW w:w="1600" w:type="dxa"/>
          </w:tcPr>
          <w:p w14:paraId="2FD71E7F" w14:textId="77777777" w:rsidR="00DA702B" w:rsidRPr="00DA702B" w:rsidRDefault="00DA702B" w:rsidP="00DA702B">
            <w:pPr>
              <w:rPr>
                <w:sz w:val="20"/>
                <w:szCs w:val="20"/>
              </w:rPr>
            </w:pPr>
          </w:p>
        </w:tc>
        <w:tc>
          <w:tcPr>
            <w:tcW w:w="1600" w:type="dxa"/>
          </w:tcPr>
          <w:p w14:paraId="6AB9CD12" w14:textId="77777777" w:rsidR="00DA702B" w:rsidRPr="00DA702B" w:rsidRDefault="00DA702B" w:rsidP="00DA702B">
            <w:pPr>
              <w:rPr>
                <w:sz w:val="20"/>
                <w:szCs w:val="20"/>
              </w:rPr>
            </w:pPr>
          </w:p>
        </w:tc>
        <w:tc>
          <w:tcPr>
            <w:tcW w:w="1600" w:type="dxa"/>
          </w:tcPr>
          <w:p w14:paraId="74FD0AB2" w14:textId="77777777" w:rsidR="00DA702B" w:rsidRPr="00DA702B" w:rsidRDefault="00DA702B" w:rsidP="00DA702B">
            <w:pPr>
              <w:rPr>
                <w:sz w:val="20"/>
                <w:szCs w:val="20"/>
              </w:rPr>
            </w:pPr>
          </w:p>
        </w:tc>
        <w:tc>
          <w:tcPr>
            <w:tcW w:w="1600" w:type="dxa"/>
          </w:tcPr>
          <w:p w14:paraId="2A9042BB" w14:textId="77777777" w:rsidR="00DA702B" w:rsidRPr="00DA702B" w:rsidRDefault="00DA702B" w:rsidP="00DA702B">
            <w:pPr>
              <w:rPr>
                <w:sz w:val="20"/>
                <w:szCs w:val="20"/>
              </w:rPr>
            </w:pPr>
          </w:p>
        </w:tc>
        <w:tc>
          <w:tcPr>
            <w:tcW w:w="1600" w:type="dxa"/>
          </w:tcPr>
          <w:p w14:paraId="7B5CC158" w14:textId="77777777" w:rsidR="00DA702B" w:rsidRPr="00DA702B" w:rsidRDefault="00DA702B" w:rsidP="00DA702B">
            <w:pPr>
              <w:rPr>
                <w:sz w:val="20"/>
                <w:szCs w:val="20"/>
              </w:rPr>
            </w:pPr>
          </w:p>
        </w:tc>
        <w:tc>
          <w:tcPr>
            <w:tcW w:w="1600" w:type="dxa"/>
          </w:tcPr>
          <w:p w14:paraId="30723CC3" w14:textId="77777777" w:rsidR="00DA702B" w:rsidRPr="00DA702B" w:rsidRDefault="00DA702B" w:rsidP="00DA702B">
            <w:pPr>
              <w:rPr>
                <w:sz w:val="20"/>
                <w:szCs w:val="20"/>
              </w:rPr>
            </w:pPr>
          </w:p>
        </w:tc>
        <w:tc>
          <w:tcPr>
            <w:tcW w:w="1600" w:type="dxa"/>
          </w:tcPr>
          <w:p w14:paraId="2991DEFB" w14:textId="77777777" w:rsidR="00DA702B" w:rsidRPr="00DA702B" w:rsidRDefault="00DA702B" w:rsidP="00DA702B">
            <w:pPr>
              <w:rPr>
                <w:sz w:val="20"/>
                <w:szCs w:val="20"/>
              </w:rPr>
            </w:pPr>
          </w:p>
        </w:tc>
        <w:tc>
          <w:tcPr>
            <w:tcW w:w="1600" w:type="dxa"/>
          </w:tcPr>
          <w:p w14:paraId="5C240A5D" w14:textId="77777777" w:rsidR="00DA702B" w:rsidRPr="00DA702B" w:rsidRDefault="00DA702B" w:rsidP="00DA702B">
            <w:pPr>
              <w:rPr>
                <w:sz w:val="20"/>
                <w:szCs w:val="20"/>
              </w:rPr>
            </w:pPr>
          </w:p>
        </w:tc>
        <w:tc>
          <w:tcPr>
            <w:tcW w:w="1600" w:type="dxa"/>
          </w:tcPr>
          <w:p w14:paraId="6DAE810D" w14:textId="77777777" w:rsidR="00DA702B" w:rsidRPr="00DA702B" w:rsidRDefault="00DA702B" w:rsidP="00DA702B">
            <w:pPr>
              <w:rPr>
                <w:sz w:val="20"/>
                <w:szCs w:val="20"/>
              </w:rPr>
            </w:pPr>
          </w:p>
        </w:tc>
      </w:tr>
      <w:tr w:rsidR="00DA702B" w:rsidRPr="00DA702B" w14:paraId="2802041B" w14:textId="77777777" w:rsidTr="00247007">
        <w:trPr>
          <w:cantSplit/>
          <w:trHeight w:val="346"/>
          <w:tblHeader/>
        </w:trPr>
        <w:tc>
          <w:tcPr>
            <w:tcW w:w="1600" w:type="dxa"/>
          </w:tcPr>
          <w:p w14:paraId="58467A3A" w14:textId="77777777" w:rsidR="00DA702B" w:rsidRPr="00DA702B" w:rsidRDefault="00DA702B" w:rsidP="00DA702B">
            <w:pPr>
              <w:rPr>
                <w:sz w:val="20"/>
                <w:szCs w:val="20"/>
              </w:rPr>
            </w:pPr>
          </w:p>
        </w:tc>
        <w:tc>
          <w:tcPr>
            <w:tcW w:w="1600" w:type="dxa"/>
          </w:tcPr>
          <w:p w14:paraId="22CBEFB8" w14:textId="77777777" w:rsidR="00DA702B" w:rsidRPr="00DA702B" w:rsidRDefault="00DA702B" w:rsidP="00DA702B">
            <w:pPr>
              <w:rPr>
                <w:sz w:val="20"/>
                <w:szCs w:val="20"/>
              </w:rPr>
            </w:pPr>
          </w:p>
        </w:tc>
        <w:tc>
          <w:tcPr>
            <w:tcW w:w="1600" w:type="dxa"/>
          </w:tcPr>
          <w:p w14:paraId="04B827DC" w14:textId="77777777" w:rsidR="00DA702B" w:rsidRPr="00DA702B" w:rsidRDefault="00DA702B" w:rsidP="00DA702B">
            <w:pPr>
              <w:rPr>
                <w:sz w:val="20"/>
                <w:szCs w:val="20"/>
              </w:rPr>
            </w:pPr>
          </w:p>
        </w:tc>
        <w:tc>
          <w:tcPr>
            <w:tcW w:w="1600" w:type="dxa"/>
          </w:tcPr>
          <w:p w14:paraId="27DDD760" w14:textId="77777777" w:rsidR="00DA702B" w:rsidRPr="00DA702B" w:rsidRDefault="00DA702B" w:rsidP="00DA702B">
            <w:pPr>
              <w:rPr>
                <w:sz w:val="20"/>
                <w:szCs w:val="20"/>
              </w:rPr>
            </w:pPr>
          </w:p>
        </w:tc>
        <w:tc>
          <w:tcPr>
            <w:tcW w:w="1600" w:type="dxa"/>
          </w:tcPr>
          <w:p w14:paraId="049C370D" w14:textId="77777777" w:rsidR="00DA702B" w:rsidRPr="00DA702B" w:rsidRDefault="00DA702B" w:rsidP="00DA702B">
            <w:pPr>
              <w:rPr>
                <w:sz w:val="20"/>
                <w:szCs w:val="20"/>
              </w:rPr>
            </w:pPr>
          </w:p>
        </w:tc>
        <w:tc>
          <w:tcPr>
            <w:tcW w:w="1600" w:type="dxa"/>
          </w:tcPr>
          <w:p w14:paraId="77F89189" w14:textId="77777777" w:rsidR="00DA702B" w:rsidRPr="00DA702B" w:rsidRDefault="00DA702B" w:rsidP="00DA702B">
            <w:pPr>
              <w:rPr>
                <w:sz w:val="20"/>
                <w:szCs w:val="20"/>
              </w:rPr>
            </w:pPr>
          </w:p>
        </w:tc>
        <w:tc>
          <w:tcPr>
            <w:tcW w:w="1600" w:type="dxa"/>
          </w:tcPr>
          <w:p w14:paraId="15F42E3B" w14:textId="77777777" w:rsidR="00DA702B" w:rsidRPr="00DA702B" w:rsidRDefault="00DA702B" w:rsidP="00DA702B">
            <w:pPr>
              <w:rPr>
                <w:sz w:val="20"/>
                <w:szCs w:val="20"/>
              </w:rPr>
            </w:pPr>
          </w:p>
        </w:tc>
        <w:tc>
          <w:tcPr>
            <w:tcW w:w="1600" w:type="dxa"/>
          </w:tcPr>
          <w:p w14:paraId="539E51D8" w14:textId="77777777" w:rsidR="00DA702B" w:rsidRPr="00DA702B" w:rsidRDefault="00DA702B" w:rsidP="00DA702B">
            <w:pPr>
              <w:rPr>
                <w:sz w:val="20"/>
                <w:szCs w:val="20"/>
              </w:rPr>
            </w:pPr>
          </w:p>
        </w:tc>
        <w:tc>
          <w:tcPr>
            <w:tcW w:w="1600" w:type="dxa"/>
          </w:tcPr>
          <w:p w14:paraId="7BB69F16" w14:textId="77777777" w:rsidR="00DA702B" w:rsidRPr="00DA702B" w:rsidRDefault="00DA702B" w:rsidP="00DA702B">
            <w:pPr>
              <w:rPr>
                <w:sz w:val="20"/>
                <w:szCs w:val="20"/>
              </w:rPr>
            </w:pPr>
          </w:p>
        </w:tc>
      </w:tr>
      <w:tr w:rsidR="00DA702B" w:rsidRPr="00DA702B" w14:paraId="17D0EC56" w14:textId="77777777" w:rsidTr="00247007">
        <w:trPr>
          <w:cantSplit/>
          <w:trHeight w:val="346"/>
          <w:tblHeader/>
        </w:trPr>
        <w:tc>
          <w:tcPr>
            <w:tcW w:w="1600" w:type="dxa"/>
          </w:tcPr>
          <w:p w14:paraId="7064560C" w14:textId="77777777" w:rsidR="00DA702B" w:rsidRPr="00DA702B" w:rsidRDefault="00DA702B" w:rsidP="00DA702B">
            <w:pPr>
              <w:rPr>
                <w:sz w:val="20"/>
                <w:szCs w:val="20"/>
              </w:rPr>
            </w:pPr>
          </w:p>
        </w:tc>
        <w:tc>
          <w:tcPr>
            <w:tcW w:w="1600" w:type="dxa"/>
          </w:tcPr>
          <w:p w14:paraId="54460D2F" w14:textId="77777777" w:rsidR="00DA702B" w:rsidRPr="00DA702B" w:rsidRDefault="00DA702B" w:rsidP="00DA702B">
            <w:pPr>
              <w:rPr>
                <w:sz w:val="20"/>
                <w:szCs w:val="20"/>
              </w:rPr>
            </w:pPr>
          </w:p>
        </w:tc>
        <w:tc>
          <w:tcPr>
            <w:tcW w:w="1600" w:type="dxa"/>
          </w:tcPr>
          <w:p w14:paraId="1E74A39C" w14:textId="77777777" w:rsidR="00DA702B" w:rsidRPr="00DA702B" w:rsidRDefault="00DA702B" w:rsidP="00DA702B">
            <w:pPr>
              <w:rPr>
                <w:sz w:val="20"/>
                <w:szCs w:val="20"/>
              </w:rPr>
            </w:pPr>
          </w:p>
        </w:tc>
        <w:tc>
          <w:tcPr>
            <w:tcW w:w="1600" w:type="dxa"/>
          </w:tcPr>
          <w:p w14:paraId="7BB561D9" w14:textId="77777777" w:rsidR="00DA702B" w:rsidRPr="00DA702B" w:rsidRDefault="00DA702B" w:rsidP="00DA702B">
            <w:pPr>
              <w:rPr>
                <w:sz w:val="20"/>
                <w:szCs w:val="20"/>
              </w:rPr>
            </w:pPr>
          </w:p>
        </w:tc>
        <w:tc>
          <w:tcPr>
            <w:tcW w:w="1600" w:type="dxa"/>
          </w:tcPr>
          <w:p w14:paraId="7877BB4A" w14:textId="77777777" w:rsidR="00DA702B" w:rsidRPr="00DA702B" w:rsidRDefault="00DA702B" w:rsidP="00DA702B">
            <w:pPr>
              <w:rPr>
                <w:sz w:val="20"/>
                <w:szCs w:val="20"/>
              </w:rPr>
            </w:pPr>
          </w:p>
        </w:tc>
        <w:tc>
          <w:tcPr>
            <w:tcW w:w="1600" w:type="dxa"/>
          </w:tcPr>
          <w:p w14:paraId="2458F0A8" w14:textId="77777777" w:rsidR="00DA702B" w:rsidRPr="00DA702B" w:rsidRDefault="00DA702B" w:rsidP="00DA702B">
            <w:pPr>
              <w:rPr>
                <w:sz w:val="20"/>
                <w:szCs w:val="20"/>
              </w:rPr>
            </w:pPr>
          </w:p>
        </w:tc>
        <w:tc>
          <w:tcPr>
            <w:tcW w:w="1600" w:type="dxa"/>
          </w:tcPr>
          <w:p w14:paraId="031530BB" w14:textId="77777777" w:rsidR="00DA702B" w:rsidRPr="00DA702B" w:rsidRDefault="00DA702B" w:rsidP="00DA702B">
            <w:pPr>
              <w:rPr>
                <w:sz w:val="20"/>
                <w:szCs w:val="20"/>
              </w:rPr>
            </w:pPr>
          </w:p>
        </w:tc>
        <w:tc>
          <w:tcPr>
            <w:tcW w:w="1600" w:type="dxa"/>
          </w:tcPr>
          <w:p w14:paraId="5EFB2549" w14:textId="77777777" w:rsidR="00DA702B" w:rsidRPr="00DA702B" w:rsidRDefault="00DA702B" w:rsidP="00DA702B">
            <w:pPr>
              <w:rPr>
                <w:sz w:val="20"/>
                <w:szCs w:val="20"/>
              </w:rPr>
            </w:pPr>
          </w:p>
        </w:tc>
        <w:tc>
          <w:tcPr>
            <w:tcW w:w="1600" w:type="dxa"/>
          </w:tcPr>
          <w:p w14:paraId="63D259EE" w14:textId="77777777" w:rsidR="00DA702B" w:rsidRPr="00DA702B" w:rsidRDefault="00DA702B" w:rsidP="00DA702B">
            <w:pPr>
              <w:rPr>
                <w:sz w:val="20"/>
                <w:szCs w:val="20"/>
              </w:rPr>
            </w:pPr>
          </w:p>
        </w:tc>
      </w:tr>
      <w:tr w:rsidR="00DA702B" w:rsidRPr="00DA702B" w14:paraId="1DA114E3" w14:textId="77777777" w:rsidTr="00247007">
        <w:trPr>
          <w:cantSplit/>
          <w:trHeight w:val="346"/>
          <w:tblHeader/>
        </w:trPr>
        <w:tc>
          <w:tcPr>
            <w:tcW w:w="1600" w:type="dxa"/>
          </w:tcPr>
          <w:p w14:paraId="45074FCC" w14:textId="77777777" w:rsidR="00DA702B" w:rsidRPr="00DA702B" w:rsidRDefault="00DA702B" w:rsidP="00DA702B">
            <w:pPr>
              <w:rPr>
                <w:sz w:val="20"/>
                <w:szCs w:val="20"/>
              </w:rPr>
            </w:pPr>
          </w:p>
        </w:tc>
        <w:tc>
          <w:tcPr>
            <w:tcW w:w="1600" w:type="dxa"/>
          </w:tcPr>
          <w:p w14:paraId="448D138F" w14:textId="77777777" w:rsidR="00DA702B" w:rsidRPr="00DA702B" w:rsidRDefault="00DA702B" w:rsidP="00DA702B">
            <w:pPr>
              <w:rPr>
                <w:sz w:val="20"/>
                <w:szCs w:val="20"/>
              </w:rPr>
            </w:pPr>
          </w:p>
        </w:tc>
        <w:tc>
          <w:tcPr>
            <w:tcW w:w="1600" w:type="dxa"/>
          </w:tcPr>
          <w:p w14:paraId="7334359B" w14:textId="77777777" w:rsidR="00DA702B" w:rsidRPr="00DA702B" w:rsidRDefault="00DA702B" w:rsidP="00DA702B">
            <w:pPr>
              <w:rPr>
                <w:sz w:val="20"/>
                <w:szCs w:val="20"/>
              </w:rPr>
            </w:pPr>
          </w:p>
        </w:tc>
        <w:tc>
          <w:tcPr>
            <w:tcW w:w="1600" w:type="dxa"/>
          </w:tcPr>
          <w:p w14:paraId="34F96149" w14:textId="77777777" w:rsidR="00DA702B" w:rsidRPr="00DA702B" w:rsidRDefault="00DA702B" w:rsidP="00DA702B">
            <w:pPr>
              <w:rPr>
                <w:sz w:val="20"/>
                <w:szCs w:val="20"/>
              </w:rPr>
            </w:pPr>
          </w:p>
        </w:tc>
        <w:tc>
          <w:tcPr>
            <w:tcW w:w="1600" w:type="dxa"/>
          </w:tcPr>
          <w:p w14:paraId="5E160F99" w14:textId="77777777" w:rsidR="00DA702B" w:rsidRPr="00DA702B" w:rsidRDefault="00DA702B" w:rsidP="00DA702B">
            <w:pPr>
              <w:rPr>
                <w:sz w:val="20"/>
                <w:szCs w:val="20"/>
              </w:rPr>
            </w:pPr>
          </w:p>
        </w:tc>
        <w:tc>
          <w:tcPr>
            <w:tcW w:w="1600" w:type="dxa"/>
          </w:tcPr>
          <w:p w14:paraId="0F6157DF" w14:textId="77777777" w:rsidR="00DA702B" w:rsidRPr="00DA702B" w:rsidRDefault="00DA702B" w:rsidP="00DA702B">
            <w:pPr>
              <w:rPr>
                <w:sz w:val="20"/>
                <w:szCs w:val="20"/>
              </w:rPr>
            </w:pPr>
          </w:p>
        </w:tc>
        <w:tc>
          <w:tcPr>
            <w:tcW w:w="1600" w:type="dxa"/>
          </w:tcPr>
          <w:p w14:paraId="2474C015" w14:textId="77777777" w:rsidR="00DA702B" w:rsidRPr="00DA702B" w:rsidRDefault="00DA702B" w:rsidP="00DA702B">
            <w:pPr>
              <w:rPr>
                <w:sz w:val="20"/>
                <w:szCs w:val="20"/>
              </w:rPr>
            </w:pPr>
          </w:p>
        </w:tc>
        <w:tc>
          <w:tcPr>
            <w:tcW w:w="1600" w:type="dxa"/>
          </w:tcPr>
          <w:p w14:paraId="2DF9B6B4" w14:textId="77777777" w:rsidR="00DA702B" w:rsidRPr="00DA702B" w:rsidRDefault="00DA702B" w:rsidP="00DA702B">
            <w:pPr>
              <w:rPr>
                <w:sz w:val="20"/>
                <w:szCs w:val="20"/>
              </w:rPr>
            </w:pPr>
          </w:p>
        </w:tc>
        <w:tc>
          <w:tcPr>
            <w:tcW w:w="1600" w:type="dxa"/>
          </w:tcPr>
          <w:p w14:paraId="5FE2DF65" w14:textId="77777777" w:rsidR="00DA702B" w:rsidRPr="00DA702B" w:rsidRDefault="00DA702B" w:rsidP="00DA702B">
            <w:pPr>
              <w:rPr>
                <w:sz w:val="20"/>
                <w:szCs w:val="20"/>
              </w:rPr>
            </w:pPr>
          </w:p>
        </w:tc>
      </w:tr>
      <w:tr w:rsidR="00DA702B" w:rsidRPr="00DA702B" w14:paraId="71C51FBC" w14:textId="77777777" w:rsidTr="00247007">
        <w:trPr>
          <w:cantSplit/>
          <w:trHeight w:val="346"/>
          <w:tblHeader/>
        </w:trPr>
        <w:tc>
          <w:tcPr>
            <w:tcW w:w="1600" w:type="dxa"/>
          </w:tcPr>
          <w:p w14:paraId="47AB1138" w14:textId="77777777" w:rsidR="00DA702B" w:rsidRPr="00DA702B" w:rsidRDefault="00DA702B" w:rsidP="00DA702B">
            <w:pPr>
              <w:rPr>
                <w:sz w:val="20"/>
                <w:szCs w:val="20"/>
              </w:rPr>
            </w:pPr>
          </w:p>
        </w:tc>
        <w:tc>
          <w:tcPr>
            <w:tcW w:w="1600" w:type="dxa"/>
          </w:tcPr>
          <w:p w14:paraId="08C0797F" w14:textId="77777777" w:rsidR="00DA702B" w:rsidRPr="00DA702B" w:rsidRDefault="00DA702B" w:rsidP="00DA702B">
            <w:pPr>
              <w:rPr>
                <w:sz w:val="20"/>
                <w:szCs w:val="20"/>
              </w:rPr>
            </w:pPr>
          </w:p>
        </w:tc>
        <w:tc>
          <w:tcPr>
            <w:tcW w:w="1600" w:type="dxa"/>
          </w:tcPr>
          <w:p w14:paraId="5B01C30B" w14:textId="77777777" w:rsidR="00DA702B" w:rsidRPr="00DA702B" w:rsidRDefault="00DA702B" w:rsidP="00DA702B">
            <w:pPr>
              <w:rPr>
                <w:sz w:val="20"/>
                <w:szCs w:val="20"/>
              </w:rPr>
            </w:pPr>
          </w:p>
        </w:tc>
        <w:tc>
          <w:tcPr>
            <w:tcW w:w="1600" w:type="dxa"/>
          </w:tcPr>
          <w:p w14:paraId="6DA468E4" w14:textId="77777777" w:rsidR="00DA702B" w:rsidRPr="00DA702B" w:rsidRDefault="00DA702B" w:rsidP="00DA702B">
            <w:pPr>
              <w:rPr>
                <w:sz w:val="20"/>
                <w:szCs w:val="20"/>
              </w:rPr>
            </w:pPr>
          </w:p>
        </w:tc>
        <w:tc>
          <w:tcPr>
            <w:tcW w:w="1600" w:type="dxa"/>
          </w:tcPr>
          <w:p w14:paraId="5758E23F" w14:textId="77777777" w:rsidR="00DA702B" w:rsidRPr="00DA702B" w:rsidRDefault="00DA702B" w:rsidP="00DA702B">
            <w:pPr>
              <w:rPr>
                <w:sz w:val="20"/>
                <w:szCs w:val="20"/>
              </w:rPr>
            </w:pPr>
          </w:p>
        </w:tc>
        <w:tc>
          <w:tcPr>
            <w:tcW w:w="1600" w:type="dxa"/>
          </w:tcPr>
          <w:p w14:paraId="07EC68A0" w14:textId="77777777" w:rsidR="00DA702B" w:rsidRPr="00DA702B" w:rsidRDefault="00DA702B" w:rsidP="00DA702B">
            <w:pPr>
              <w:rPr>
                <w:sz w:val="20"/>
                <w:szCs w:val="20"/>
              </w:rPr>
            </w:pPr>
          </w:p>
        </w:tc>
        <w:tc>
          <w:tcPr>
            <w:tcW w:w="1600" w:type="dxa"/>
          </w:tcPr>
          <w:p w14:paraId="13767E85" w14:textId="77777777" w:rsidR="00DA702B" w:rsidRPr="00DA702B" w:rsidRDefault="00DA702B" w:rsidP="00DA702B">
            <w:pPr>
              <w:rPr>
                <w:sz w:val="20"/>
                <w:szCs w:val="20"/>
              </w:rPr>
            </w:pPr>
          </w:p>
        </w:tc>
        <w:tc>
          <w:tcPr>
            <w:tcW w:w="1600" w:type="dxa"/>
          </w:tcPr>
          <w:p w14:paraId="43E0773A" w14:textId="77777777" w:rsidR="00DA702B" w:rsidRPr="00DA702B" w:rsidRDefault="00DA702B" w:rsidP="00DA702B">
            <w:pPr>
              <w:rPr>
                <w:sz w:val="20"/>
                <w:szCs w:val="20"/>
              </w:rPr>
            </w:pPr>
          </w:p>
        </w:tc>
        <w:tc>
          <w:tcPr>
            <w:tcW w:w="1600" w:type="dxa"/>
          </w:tcPr>
          <w:p w14:paraId="154ACDC8" w14:textId="77777777" w:rsidR="00DA702B" w:rsidRPr="00DA702B" w:rsidRDefault="00DA702B" w:rsidP="00DA702B">
            <w:pPr>
              <w:rPr>
                <w:sz w:val="20"/>
                <w:szCs w:val="20"/>
              </w:rPr>
            </w:pPr>
          </w:p>
        </w:tc>
      </w:tr>
      <w:tr w:rsidR="00DA702B" w:rsidRPr="00DA702B" w14:paraId="15529807" w14:textId="77777777" w:rsidTr="00247007">
        <w:trPr>
          <w:cantSplit/>
          <w:trHeight w:val="346"/>
          <w:tblHeader/>
        </w:trPr>
        <w:tc>
          <w:tcPr>
            <w:tcW w:w="1600" w:type="dxa"/>
          </w:tcPr>
          <w:p w14:paraId="325F6456" w14:textId="77777777" w:rsidR="00DA702B" w:rsidRPr="00DA702B" w:rsidRDefault="00DA702B" w:rsidP="00DA702B">
            <w:pPr>
              <w:rPr>
                <w:sz w:val="20"/>
                <w:szCs w:val="20"/>
              </w:rPr>
            </w:pPr>
          </w:p>
        </w:tc>
        <w:tc>
          <w:tcPr>
            <w:tcW w:w="1600" w:type="dxa"/>
          </w:tcPr>
          <w:p w14:paraId="10990698" w14:textId="77777777" w:rsidR="00DA702B" w:rsidRPr="00DA702B" w:rsidRDefault="00DA702B" w:rsidP="00DA702B">
            <w:pPr>
              <w:rPr>
                <w:sz w:val="20"/>
                <w:szCs w:val="20"/>
              </w:rPr>
            </w:pPr>
          </w:p>
        </w:tc>
        <w:tc>
          <w:tcPr>
            <w:tcW w:w="1600" w:type="dxa"/>
          </w:tcPr>
          <w:p w14:paraId="599EB668" w14:textId="77777777" w:rsidR="00DA702B" w:rsidRPr="00DA702B" w:rsidRDefault="00DA702B" w:rsidP="00DA702B">
            <w:pPr>
              <w:rPr>
                <w:sz w:val="20"/>
                <w:szCs w:val="20"/>
              </w:rPr>
            </w:pPr>
          </w:p>
        </w:tc>
        <w:tc>
          <w:tcPr>
            <w:tcW w:w="1600" w:type="dxa"/>
          </w:tcPr>
          <w:p w14:paraId="38C88EAC" w14:textId="77777777" w:rsidR="00DA702B" w:rsidRPr="00DA702B" w:rsidRDefault="00DA702B" w:rsidP="00DA702B">
            <w:pPr>
              <w:rPr>
                <w:sz w:val="20"/>
                <w:szCs w:val="20"/>
              </w:rPr>
            </w:pPr>
          </w:p>
        </w:tc>
        <w:tc>
          <w:tcPr>
            <w:tcW w:w="1600" w:type="dxa"/>
          </w:tcPr>
          <w:p w14:paraId="01161CA1" w14:textId="77777777" w:rsidR="00DA702B" w:rsidRPr="00DA702B" w:rsidRDefault="00DA702B" w:rsidP="00DA702B">
            <w:pPr>
              <w:rPr>
                <w:sz w:val="20"/>
                <w:szCs w:val="20"/>
              </w:rPr>
            </w:pPr>
          </w:p>
        </w:tc>
        <w:tc>
          <w:tcPr>
            <w:tcW w:w="1600" w:type="dxa"/>
          </w:tcPr>
          <w:p w14:paraId="4854EC2F" w14:textId="77777777" w:rsidR="00DA702B" w:rsidRPr="00DA702B" w:rsidRDefault="00DA702B" w:rsidP="00DA702B">
            <w:pPr>
              <w:rPr>
                <w:sz w:val="20"/>
                <w:szCs w:val="20"/>
              </w:rPr>
            </w:pPr>
          </w:p>
        </w:tc>
        <w:tc>
          <w:tcPr>
            <w:tcW w:w="1600" w:type="dxa"/>
          </w:tcPr>
          <w:p w14:paraId="7CF59A8B" w14:textId="77777777" w:rsidR="00DA702B" w:rsidRPr="00DA702B" w:rsidRDefault="00DA702B" w:rsidP="00DA702B">
            <w:pPr>
              <w:rPr>
                <w:sz w:val="20"/>
                <w:szCs w:val="20"/>
              </w:rPr>
            </w:pPr>
          </w:p>
        </w:tc>
        <w:tc>
          <w:tcPr>
            <w:tcW w:w="1600" w:type="dxa"/>
          </w:tcPr>
          <w:p w14:paraId="7536B922" w14:textId="77777777" w:rsidR="00DA702B" w:rsidRPr="00DA702B" w:rsidRDefault="00DA702B" w:rsidP="00DA702B">
            <w:pPr>
              <w:rPr>
                <w:sz w:val="20"/>
                <w:szCs w:val="20"/>
              </w:rPr>
            </w:pPr>
          </w:p>
        </w:tc>
        <w:tc>
          <w:tcPr>
            <w:tcW w:w="1600" w:type="dxa"/>
          </w:tcPr>
          <w:p w14:paraId="4F694A42" w14:textId="77777777" w:rsidR="00DA702B" w:rsidRPr="00DA702B" w:rsidRDefault="00DA702B" w:rsidP="00DA702B">
            <w:pPr>
              <w:rPr>
                <w:sz w:val="20"/>
                <w:szCs w:val="20"/>
              </w:rPr>
            </w:pPr>
          </w:p>
        </w:tc>
      </w:tr>
      <w:tr w:rsidR="00DA702B" w:rsidRPr="00DA702B" w14:paraId="1E22BEB8" w14:textId="77777777" w:rsidTr="00247007">
        <w:trPr>
          <w:cantSplit/>
          <w:trHeight w:val="346"/>
          <w:tblHeader/>
        </w:trPr>
        <w:tc>
          <w:tcPr>
            <w:tcW w:w="1600" w:type="dxa"/>
          </w:tcPr>
          <w:p w14:paraId="1C9EF40D" w14:textId="77777777" w:rsidR="00DA702B" w:rsidRPr="00DA702B" w:rsidRDefault="00DA702B" w:rsidP="00DA702B">
            <w:pPr>
              <w:rPr>
                <w:sz w:val="20"/>
                <w:szCs w:val="20"/>
              </w:rPr>
            </w:pPr>
          </w:p>
        </w:tc>
        <w:tc>
          <w:tcPr>
            <w:tcW w:w="1600" w:type="dxa"/>
          </w:tcPr>
          <w:p w14:paraId="19055058" w14:textId="77777777" w:rsidR="00DA702B" w:rsidRPr="00DA702B" w:rsidRDefault="00DA702B" w:rsidP="00DA702B">
            <w:pPr>
              <w:rPr>
                <w:sz w:val="20"/>
                <w:szCs w:val="20"/>
              </w:rPr>
            </w:pPr>
          </w:p>
        </w:tc>
        <w:tc>
          <w:tcPr>
            <w:tcW w:w="1600" w:type="dxa"/>
          </w:tcPr>
          <w:p w14:paraId="7BE80D97" w14:textId="77777777" w:rsidR="00DA702B" w:rsidRPr="00DA702B" w:rsidRDefault="00DA702B" w:rsidP="00DA702B">
            <w:pPr>
              <w:rPr>
                <w:sz w:val="20"/>
                <w:szCs w:val="20"/>
              </w:rPr>
            </w:pPr>
          </w:p>
        </w:tc>
        <w:tc>
          <w:tcPr>
            <w:tcW w:w="1600" w:type="dxa"/>
          </w:tcPr>
          <w:p w14:paraId="105E60F4" w14:textId="77777777" w:rsidR="00DA702B" w:rsidRPr="00DA702B" w:rsidRDefault="00DA702B" w:rsidP="00DA702B">
            <w:pPr>
              <w:rPr>
                <w:sz w:val="20"/>
                <w:szCs w:val="20"/>
              </w:rPr>
            </w:pPr>
          </w:p>
        </w:tc>
        <w:tc>
          <w:tcPr>
            <w:tcW w:w="1600" w:type="dxa"/>
          </w:tcPr>
          <w:p w14:paraId="0FBA374D" w14:textId="77777777" w:rsidR="00DA702B" w:rsidRPr="00DA702B" w:rsidRDefault="00DA702B" w:rsidP="00DA702B">
            <w:pPr>
              <w:rPr>
                <w:sz w:val="20"/>
                <w:szCs w:val="20"/>
              </w:rPr>
            </w:pPr>
          </w:p>
        </w:tc>
        <w:tc>
          <w:tcPr>
            <w:tcW w:w="1600" w:type="dxa"/>
          </w:tcPr>
          <w:p w14:paraId="75E84376" w14:textId="77777777" w:rsidR="00DA702B" w:rsidRPr="00DA702B" w:rsidRDefault="00DA702B" w:rsidP="00DA702B">
            <w:pPr>
              <w:rPr>
                <w:sz w:val="20"/>
                <w:szCs w:val="20"/>
              </w:rPr>
            </w:pPr>
          </w:p>
        </w:tc>
        <w:tc>
          <w:tcPr>
            <w:tcW w:w="1600" w:type="dxa"/>
          </w:tcPr>
          <w:p w14:paraId="6A70F270" w14:textId="77777777" w:rsidR="00DA702B" w:rsidRPr="00DA702B" w:rsidRDefault="00DA702B" w:rsidP="00DA702B">
            <w:pPr>
              <w:rPr>
                <w:sz w:val="20"/>
                <w:szCs w:val="20"/>
              </w:rPr>
            </w:pPr>
          </w:p>
        </w:tc>
        <w:tc>
          <w:tcPr>
            <w:tcW w:w="1600" w:type="dxa"/>
          </w:tcPr>
          <w:p w14:paraId="0A11942C" w14:textId="77777777" w:rsidR="00DA702B" w:rsidRPr="00DA702B" w:rsidRDefault="00DA702B" w:rsidP="00DA702B">
            <w:pPr>
              <w:rPr>
                <w:sz w:val="20"/>
                <w:szCs w:val="20"/>
              </w:rPr>
            </w:pPr>
          </w:p>
        </w:tc>
        <w:tc>
          <w:tcPr>
            <w:tcW w:w="1600" w:type="dxa"/>
          </w:tcPr>
          <w:p w14:paraId="5F6E1B86" w14:textId="77777777" w:rsidR="00DA702B" w:rsidRPr="00DA702B" w:rsidRDefault="00DA702B" w:rsidP="00DA702B">
            <w:pPr>
              <w:rPr>
                <w:sz w:val="20"/>
                <w:szCs w:val="20"/>
              </w:rPr>
            </w:pPr>
          </w:p>
        </w:tc>
      </w:tr>
    </w:tbl>
    <w:p w14:paraId="35FB66EC" w14:textId="19895E23" w:rsidR="007F451F" w:rsidRDefault="007F451F" w:rsidP="00DA702B">
      <w:pPr>
        <w:rPr>
          <w:sz w:val="20"/>
          <w:szCs w:val="20"/>
        </w:rPr>
      </w:pPr>
      <w:r>
        <w:rPr>
          <w:sz w:val="20"/>
          <w:szCs w:val="20"/>
        </w:rPr>
        <w:br w:type="page"/>
      </w:r>
    </w:p>
    <w:p w14:paraId="0A1F0130" w14:textId="77777777" w:rsidR="00DA702B" w:rsidRPr="00DA702B" w:rsidRDefault="00DA702B" w:rsidP="00551389">
      <w:pPr>
        <w:widowControl w:val="0"/>
        <w:jc w:val="center"/>
        <w:rPr>
          <w:rFonts w:eastAsiaTheme="majorEastAsia"/>
          <w:b/>
          <w:bCs/>
        </w:rPr>
      </w:pPr>
      <w:r w:rsidRPr="00DA702B">
        <w:rPr>
          <w:rFonts w:eastAsiaTheme="majorEastAsia"/>
          <w:b/>
          <w:bCs/>
        </w:rPr>
        <w:lastRenderedPageBreak/>
        <w:t>Boiler/Steam Generator/Steam Generating Unit Attributes</w:t>
      </w:r>
    </w:p>
    <w:p w14:paraId="627D43A3" w14:textId="77777777" w:rsidR="00DA702B" w:rsidRPr="00DA702B" w:rsidRDefault="00DA702B" w:rsidP="00551389">
      <w:pPr>
        <w:widowControl w:val="0"/>
        <w:jc w:val="center"/>
        <w:rPr>
          <w:rFonts w:eastAsiaTheme="majorEastAsia"/>
          <w:b/>
          <w:bCs/>
        </w:rPr>
      </w:pPr>
      <w:r w:rsidRPr="00DA702B">
        <w:rPr>
          <w:rFonts w:eastAsiaTheme="majorEastAsia"/>
          <w:b/>
          <w:bCs/>
        </w:rPr>
        <w:t>Form OP-UA6 (Page 33)</w:t>
      </w:r>
    </w:p>
    <w:p w14:paraId="7A989CB4" w14:textId="77777777" w:rsidR="00DA702B" w:rsidRPr="00DA702B" w:rsidRDefault="00DA702B" w:rsidP="00551389">
      <w:pPr>
        <w:widowControl w:val="0"/>
        <w:jc w:val="center"/>
        <w:rPr>
          <w:rFonts w:eastAsiaTheme="majorEastAsia"/>
          <w:b/>
          <w:bCs/>
        </w:rPr>
      </w:pPr>
      <w:r w:rsidRPr="00DA702B">
        <w:rPr>
          <w:rFonts w:eastAsiaTheme="majorEastAsia"/>
          <w:b/>
          <w:bCs/>
        </w:rPr>
        <w:t>Federal Operating Permit Program</w:t>
      </w:r>
    </w:p>
    <w:p w14:paraId="4BC09316" w14:textId="77777777" w:rsidR="00DA702B" w:rsidRPr="00DA702B" w:rsidRDefault="00DA702B" w:rsidP="00551389">
      <w:pPr>
        <w:widowControl w:val="0"/>
        <w:jc w:val="center"/>
        <w:rPr>
          <w:rFonts w:eastAsiaTheme="majorEastAsia"/>
          <w:b/>
          <w:bCs/>
        </w:rPr>
      </w:pPr>
      <w:bookmarkStart w:id="195" w:name="TBL_13f"/>
      <w:r w:rsidRPr="00DA702B">
        <w:rPr>
          <w:rFonts w:eastAsiaTheme="majorEastAsia"/>
          <w:b/>
          <w:bCs/>
        </w:rPr>
        <w:t>Table 13f</w:t>
      </w:r>
      <w:bookmarkEnd w:id="195"/>
      <w:r w:rsidRPr="00DA702B">
        <w:rPr>
          <w:rFonts w:eastAsiaTheme="majorEastAsia"/>
          <w:b/>
          <w:bCs/>
        </w:rPr>
        <w:t>:  Title 40 Code of Federal Regulations Part 63 (40 CFR Part 63)</w:t>
      </w:r>
    </w:p>
    <w:p w14:paraId="35D789D6" w14:textId="77777777" w:rsidR="00DA702B" w:rsidRPr="00DA702B" w:rsidRDefault="00DA702B" w:rsidP="00551389">
      <w:pPr>
        <w:widowControl w:val="0"/>
        <w:jc w:val="center"/>
        <w:rPr>
          <w:rFonts w:eastAsiaTheme="majorEastAsia"/>
          <w:b/>
          <w:bCs/>
        </w:rPr>
      </w:pPr>
      <w:r w:rsidRPr="00DA702B">
        <w:rPr>
          <w:rFonts w:eastAsiaTheme="majorEastAsia"/>
          <w:b/>
          <w:bCs/>
        </w:rPr>
        <w:t>Subpart UUUUU:  Coal- and Oil-Fired Electric Utility Steam Generating Units</w:t>
      </w:r>
    </w:p>
    <w:p w14:paraId="28CF9E3A" w14:textId="77777777" w:rsidR="00DA702B" w:rsidRPr="00DA702B" w:rsidRDefault="00DA702B" w:rsidP="00551389">
      <w:pPr>
        <w:widowControl w:val="0"/>
        <w:jc w:val="center"/>
        <w:rPr>
          <w:b/>
          <w:bCs/>
        </w:rPr>
      </w:pPr>
      <w:r w:rsidRPr="00DA702B">
        <w:rPr>
          <w:b/>
          <w:bCs/>
        </w:rPr>
        <w:t>Texas Commission on Environmental Quality</w:t>
      </w:r>
    </w:p>
    <w:p w14:paraId="3FF5D57C"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f:  Title 40 Code of Federal Regulations Part 63 (40 CFR Part 63)&#10;Subpart UUUUU:  Coal- and Oil-Fired Electric Utility Steam Generating Units&#10;"/>
      </w:tblPr>
      <w:tblGrid>
        <w:gridCol w:w="4800"/>
        <w:gridCol w:w="4800"/>
        <w:gridCol w:w="4800"/>
      </w:tblGrid>
      <w:tr w:rsidR="00DA702B" w:rsidRPr="00DA702B" w14:paraId="3BB7D2DE" w14:textId="77777777" w:rsidTr="00247007">
        <w:trPr>
          <w:cantSplit/>
          <w:tblHeader/>
        </w:trPr>
        <w:tc>
          <w:tcPr>
            <w:tcW w:w="4800" w:type="dxa"/>
            <w:shd w:val="clear" w:color="auto" w:fill="D9D9D9" w:themeFill="background1" w:themeFillShade="D9"/>
          </w:tcPr>
          <w:p w14:paraId="550BDBA6"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42F654D5"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7F214DEF"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5178A528" w14:textId="77777777" w:rsidTr="00247007">
        <w:trPr>
          <w:cantSplit/>
          <w:tblHeader/>
        </w:trPr>
        <w:tc>
          <w:tcPr>
            <w:tcW w:w="4800" w:type="dxa"/>
          </w:tcPr>
          <w:p w14:paraId="16217108" w14:textId="77777777" w:rsidR="00DA702B" w:rsidRPr="00DA702B" w:rsidRDefault="00DA702B" w:rsidP="00DA702B">
            <w:pPr>
              <w:rPr>
                <w:rFonts w:asciiTheme="majorHAnsi" w:hAnsiTheme="majorHAnsi" w:cstheme="majorHAnsi"/>
              </w:rPr>
            </w:pPr>
          </w:p>
        </w:tc>
        <w:tc>
          <w:tcPr>
            <w:tcW w:w="4800" w:type="dxa"/>
          </w:tcPr>
          <w:p w14:paraId="1BFA0657" w14:textId="77777777" w:rsidR="00DA702B" w:rsidRPr="00DA702B" w:rsidRDefault="00DA702B" w:rsidP="00DA702B">
            <w:pPr>
              <w:rPr>
                <w:rFonts w:asciiTheme="majorHAnsi" w:hAnsiTheme="majorHAnsi" w:cstheme="majorHAnsi"/>
              </w:rPr>
            </w:pPr>
          </w:p>
        </w:tc>
        <w:tc>
          <w:tcPr>
            <w:tcW w:w="4800" w:type="dxa"/>
          </w:tcPr>
          <w:p w14:paraId="61D2078D" w14:textId="77777777" w:rsidR="00DA702B" w:rsidRPr="00DA702B" w:rsidRDefault="00DA702B" w:rsidP="00DA702B">
            <w:pPr>
              <w:rPr>
                <w:rFonts w:asciiTheme="majorHAnsi" w:hAnsiTheme="majorHAnsi" w:cstheme="majorHAnsi"/>
              </w:rPr>
            </w:pPr>
          </w:p>
        </w:tc>
      </w:tr>
    </w:tbl>
    <w:p w14:paraId="1C64CFD1"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3f:  Title 40 Code of Federal Regulations Part 63 (40 CFR Part 63)&#10;Subpart UUUUU:  Coal- and Oil-Fired Electric Utility Steam Generating Units&#10;"/>
      </w:tblPr>
      <w:tblGrid>
        <w:gridCol w:w="1800"/>
        <w:gridCol w:w="1800"/>
        <w:gridCol w:w="1800"/>
        <w:gridCol w:w="1800"/>
        <w:gridCol w:w="1800"/>
        <w:gridCol w:w="1800"/>
        <w:gridCol w:w="1800"/>
        <w:gridCol w:w="1800"/>
      </w:tblGrid>
      <w:tr w:rsidR="00DA702B" w:rsidRPr="00DA702B" w14:paraId="3257364E" w14:textId="77777777" w:rsidTr="00247007">
        <w:trPr>
          <w:cantSplit/>
          <w:trHeight w:val="346"/>
          <w:tblHeader/>
        </w:trPr>
        <w:tc>
          <w:tcPr>
            <w:tcW w:w="1800" w:type="dxa"/>
            <w:shd w:val="clear" w:color="auto" w:fill="D9D9D9" w:themeFill="background1" w:themeFillShade="D9"/>
            <w:vAlign w:val="center"/>
          </w:tcPr>
          <w:p w14:paraId="6285480F" w14:textId="77777777" w:rsidR="00DA702B" w:rsidRPr="00DA702B" w:rsidRDefault="00DA702B" w:rsidP="00DA702B">
            <w:pPr>
              <w:jc w:val="center"/>
              <w:rPr>
                <w:sz w:val="20"/>
                <w:szCs w:val="20"/>
              </w:rPr>
            </w:pPr>
            <w:r w:rsidRPr="00DA702B">
              <w:rPr>
                <w:b/>
                <w:sz w:val="20"/>
                <w:szCs w:val="20"/>
              </w:rPr>
              <w:t>Unit ID No.</w:t>
            </w:r>
          </w:p>
        </w:tc>
        <w:tc>
          <w:tcPr>
            <w:tcW w:w="1800" w:type="dxa"/>
            <w:shd w:val="clear" w:color="auto" w:fill="D9D9D9" w:themeFill="background1" w:themeFillShade="D9"/>
            <w:vAlign w:val="center"/>
          </w:tcPr>
          <w:p w14:paraId="2E2A5E10" w14:textId="77777777" w:rsidR="00DA702B" w:rsidRPr="00DA702B" w:rsidRDefault="00DA702B" w:rsidP="00DA702B">
            <w:pPr>
              <w:jc w:val="center"/>
              <w:rPr>
                <w:sz w:val="20"/>
                <w:szCs w:val="20"/>
              </w:rPr>
            </w:pPr>
            <w:r w:rsidRPr="00DA702B">
              <w:rPr>
                <w:b/>
                <w:sz w:val="20"/>
                <w:szCs w:val="20"/>
              </w:rPr>
              <w:t>SOP Index No.</w:t>
            </w:r>
          </w:p>
        </w:tc>
        <w:tc>
          <w:tcPr>
            <w:tcW w:w="1800" w:type="dxa"/>
            <w:shd w:val="clear" w:color="auto" w:fill="D9D9D9" w:themeFill="background1" w:themeFillShade="D9"/>
            <w:vAlign w:val="center"/>
          </w:tcPr>
          <w:p w14:paraId="2A6753E5" w14:textId="77777777" w:rsidR="00DA702B" w:rsidRPr="00DA702B" w:rsidRDefault="00DA702B" w:rsidP="00DA702B">
            <w:pPr>
              <w:jc w:val="center"/>
              <w:rPr>
                <w:sz w:val="20"/>
                <w:szCs w:val="20"/>
              </w:rPr>
            </w:pPr>
            <w:r w:rsidRPr="00DA702B">
              <w:rPr>
                <w:b/>
                <w:sz w:val="20"/>
                <w:szCs w:val="20"/>
              </w:rPr>
              <w:t>TOTHAP-LEE</w:t>
            </w:r>
          </w:p>
        </w:tc>
        <w:tc>
          <w:tcPr>
            <w:tcW w:w="1800" w:type="dxa"/>
            <w:shd w:val="clear" w:color="auto" w:fill="D9D9D9" w:themeFill="background1" w:themeFillShade="D9"/>
            <w:vAlign w:val="center"/>
          </w:tcPr>
          <w:p w14:paraId="590A47FD" w14:textId="77777777" w:rsidR="00DA702B" w:rsidRPr="00DA702B" w:rsidRDefault="00DA702B" w:rsidP="00DA702B">
            <w:pPr>
              <w:jc w:val="center"/>
              <w:rPr>
                <w:sz w:val="20"/>
                <w:szCs w:val="20"/>
              </w:rPr>
            </w:pPr>
            <w:r w:rsidRPr="00DA702B">
              <w:rPr>
                <w:b/>
                <w:sz w:val="20"/>
                <w:szCs w:val="20"/>
              </w:rPr>
              <w:t>Sb-LEE</w:t>
            </w:r>
          </w:p>
        </w:tc>
        <w:tc>
          <w:tcPr>
            <w:tcW w:w="1800" w:type="dxa"/>
            <w:shd w:val="clear" w:color="auto" w:fill="D9D9D9" w:themeFill="background1" w:themeFillShade="D9"/>
            <w:vAlign w:val="center"/>
          </w:tcPr>
          <w:p w14:paraId="7A789FE8" w14:textId="77777777" w:rsidR="00DA702B" w:rsidRPr="00DA702B" w:rsidRDefault="00DA702B" w:rsidP="00DA702B">
            <w:pPr>
              <w:jc w:val="center"/>
              <w:rPr>
                <w:sz w:val="20"/>
                <w:szCs w:val="20"/>
              </w:rPr>
            </w:pPr>
            <w:r w:rsidRPr="00DA702B">
              <w:rPr>
                <w:b/>
                <w:sz w:val="20"/>
                <w:szCs w:val="20"/>
              </w:rPr>
              <w:t>As-LEE</w:t>
            </w:r>
          </w:p>
        </w:tc>
        <w:tc>
          <w:tcPr>
            <w:tcW w:w="1800" w:type="dxa"/>
            <w:shd w:val="clear" w:color="auto" w:fill="D9D9D9" w:themeFill="background1" w:themeFillShade="D9"/>
            <w:vAlign w:val="center"/>
          </w:tcPr>
          <w:p w14:paraId="009B6FCF" w14:textId="77777777" w:rsidR="00DA702B" w:rsidRPr="00DA702B" w:rsidRDefault="00DA702B" w:rsidP="00DA702B">
            <w:pPr>
              <w:jc w:val="center"/>
              <w:rPr>
                <w:sz w:val="20"/>
                <w:szCs w:val="20"/>
              </w:rPr>
            </w:pPr>
            <w:r w:rsidRPr="00DA702B">
              <w:rPr>
                <w:b/>
                <w:sz w:val="20"/>
                <w:szCs w:val="20"/>
              </w:rPr>
              <w:t>Be-LEE</w:t>
            </w:r>
          </w:p>
        </w:tc>
        <w:tc>
          <w:tcPr>
            <w:tcW w:w="1800" w:type="dxa"/>
            <w:shd w:val="clear" w:color="auto" w:fill="D9D9D9" w:themeFill="background1" w:themeFillShade="D9"/>
            <w:vAlign w:val="center"/>
          </w:tcPr>
          <w:p w14:paraId="661D1AA9" w14:textId="77777777" w:rsidR="00DA702B" w:rsidRPr="00DA702B" w:rsidRDefault="00DA702B" w:rsidP="00DA702B">
            <w:pPr>
              <w:jc w:val="center"/>
              <w:rPr>
                <w:sz w:val="20"/>
                <w:szCs w:val="20"/>
              </w:rPr>
            </w:pPr>
            <w:r w:rsidRPr="00DA702B">
              <w:rPr>
                <w:b/>
                <w:sz w:val="20"/>
                <w:szCs w:val="20"/>
              </w:rPr>
              <w:t>Cd-LEE</w:t>
            </w:r>
          </w:p>
        </w:tc>
        <w:tc>
          <w:tcPr>
            <w:tcW w:w="1800" w:type="dxa"/>
            <w:shd w:val="clear" w:color="auto" w:fill="D9D9D9" w:themeFill="background1" w:themeFillShade="D9"/>
            <w:vAlign w:val="center"/>
          </w:tcPr>
          <w:p w14:paraId="0594A3A9" w14:textId="77777777" w:rsidR="00DA702B" w:rsidRPr="00DA702B" w:rsidRDefault="00DA702B" w:rsidP="00DA702B">
            <w:pPr>
              <w:jc w:val="center"/>
              <w:rPr>
                <w:sz w:val="20"/>
                <w:szCs w:val="20"/>
              </w:rPr>
            </w:pPr>
            <w:r w:rsidRPr="00DA702B">
              <w:rPr>
                <w:b/>
                <w:sz w:val="20"/>
                <w:szCs w:val="20"/>
              </w:rPr>
              <w:t>Cr-LEE</w:t>
            </w:r>
          </w:p>
        </w:tc>
      </w:tr>
      <w:tr w:rsidR="00DA702B" w:rsidRPr="00DA702B" w14:paraId="209146B3" w14:textId="77777777" w:rsidTr="00247007">
        <w:trPr>
          <w:cantSplit/>
          <w:trHeight w:val="346"/>
          <w:tblHeader/>
        </w:trPr>
        <w:tc>
          <w:tcPr>
            <w:tcW w:w="1800" w:type="dxa"/>
          </w:tcPr>
          <w:p w14:paraId="56CB12BF" w14:textId="77777777" w:rsidR="00DA702B" w:rsidRPr="00DA702B" w:rsidRDefault="00DA702B" w:rsidP="00DA702B">
            <w:pPr>
              <w:rPr>
                <w:sz w:val="20"/>
                <w:szCs w:val="20"/>
              </w:rPr>
            </w:pPr>
          </w:p>
        </w:tc>
        <w:tc>
          <w:tcPr>
            <w:tcW w:w="1800" w:type="dxa"/>
          </w:tcPr>
          <w:p w14:paraId="479AFD02" w14:textId="77777777" w:rsidR="00DA702B" w:rsidRPr="00DA702B" w:rsidRDefault="00DA702B" w:rsidP="00DA702B">
            <w:pPr>
              <w:rPr>
                <w:sz w:val="20"/>
                <w:szCs w:val="20"/>
              </w:rPr>
            </w:pPr>
          </w:p>
        </w:tc>
        <w:tc>
          <w:tcPr>
            <w:tcW w:w="1800" w:type="dxa"/>
          </w:tcPr>
          <w:p w14:paraId="1FE9047A" w14:textId="77777777" w:rsidR="00DA702B" w:rsidRPr="00DA702B" w:rsidRDefault="00DA702B" w:rsidP="00DA702B">
            <w:pPr>
              <w:rPr>
                <w:sz w:val="20"/>
                <w:szCs w:val="20"/>
              </w:rPr>
            </w:pPr>
          </w:p>
        </w:tc>
        <w:tc>
          <w:tcPr>
            <w:tcW w:w="1800" w:type="dxa"/>
          </w:tcPr>
          <w:p w14:paraId="495D927D" w14:textId="77777777" w:rsidR="00DA702B" w:rsidRPr="00DA702B" w:rsidRDefault="00DA702B" w:rsidP="00DA702B">
            <w:pPr>
              <w:rPr>
                <w:sz w:val="20"/>
                <w:szCs w:val="20"/>
              </w:rPr>
            </w:pPr>
          </w:p>
        </w:tc>
        <w:tc>
          <w:tcPr>
            <w:tcW w:w="1800" w:type="dxa"/>
          </w:tcPr>
          <w:p w14:paraId="25C99AE8" w14:textId="77777777" w:rsidR="00DA702B" w:rsidRPr="00DA702B" w:rsidRDefault="00DA702B" w:rsidP="00DA702B">
            <w:pPr>
              <w:rPr>
                <w:sz w:val="20"/>
                <w:szCs w:val="20"/>
              </w:rPr>
            </w:pPr>
          </w:p>
        </w:tc>
        <w:tc>
          <w:tcPr>
            <w:tcW w:w="1800" w:type="dxa"/>
          </w:tcPr>
          <w:p w14:paraId="4248736C" w14:textId="77777777" w:rsidR="00DA702B" w:rsidRPr="00DA702B" w:rsidRDefault="00DA702B" w:rsidP="00DA702B">
            <w:pPr>
              <w:rPr>
                <w:sz w:val="20"/>
                <w:szCs w:val="20"/>
              </w:rPr>
            </w:pPr>
          </w:p>
        </w:tc>
        <w:tc>
          <w:tcPr>
            <w:tcW w:w="1800" w:type="dxa"/>
          </w:tcPr>
          <w:p w14:paraId="7080D876" w14:textId="77777777" w:rsidR="00DA702B" w:rsidRPr="00DA702B" w:rsidRDefault="00DA702B" w:rsidP="00DA702B">
            <w:pPr>
              <w:rPr>
                <w:sz w:val="20"/>
                <w:szCs w:val="20"/>
              </w:rPr>
            </w:pPr>
          </w:p>
        </w:tc>
        <w:tc>
          <w:tcPr>
            <w:tcW w:w="1800" w:type="dxa"/>
          </w:tcPr>
          <w:p w14:paraId="19FD2C18" w14:textId="77777777" w:rsidR="00DA702B" w:rsidRPr="00DA702B" w:rsidRDefault="00DA702B" w:rsidP="00DA702B">
            <w:pPr>
              <w:rPr>
                <w:sz w:val="20"/>
                <w:szCs w:val="20"/>
              </w:rPr>
            </w:pPr>
          </w:p>
        </w:tc>
      </w:tr>
      <w:tr w:rsidR="00DA702B" w:rsidRPr="00DA702B" w14:paraId="3FB11A06" w14:textId="77777777" w:rsidTr="00247007">
        <w:trPr>
          <w:cantSplit/>
          <w:trHeight w:val="346"/>
          <w:tblHeader/>
        </w:trPr>
        <w:tc>
          <w:tcPr>
            <w:tcW w:w="1800" w:type="dxa"/>
          </w:tcPr>
          <w:p w14:paraId="0051FA6D" w14:textId="77777777" w:rsidR="00DA702B" w:rsidRPr="00DA702B" w:rsidRDefault="00DA702B" w:rsidP="00DA702B">
            <w:pPr>
              <w:rPr>
                <w:sz w:val="20"/>
                <w:szCs w:val="20"/>
              </w:rPr>
            </w:pPr>
          </w:p>
        </w:tc>
        <w:tc>
          <w:tcPr>
            <w:tcW w:w="1800" w:type="dxa"/>
          </w:tcPr>
          <w:p w14:paraId="6400E051" w14:textId="77777777" w:rsidR="00DA702B" w:rsidRPr="00DA702B" w:rsidRDefault="00DA702B" w:rsidP="00DA702B">
            <w:pPr>
              <w:rPr>
                <w:sz w:val="20"/>
                <w:szCs w:val="20"/>
              </w:rPr>
            </w:pPr>
          </w:p>
        </w:tc>
        <w:tc>
          <w:tcPr>
            <w:tcW w:w="1800" w:type="dxa"/>
          </w:tcPr>
          <w:p w14:paraId="10AA7087" w14:textId="77777777" w:rsidR="00DA702B" w:rsidRPr="00DA702B" w:rsidRDefault="00DA702B" w:rsidP="00DA702B">
            <w:pPr>
              <w:rPr>
                <w:sz w:val="20"/>
                <w:szCs w:val="20"/>
              </w:rPr>
            </w:pPr>
          </w:p>
        </w:tc>
        <w:tc>
          <w:tcPr>
            <w:tcW w:w="1800" w:type="dxa"/>
          </w:tcPr>
          <w:p w14:paraId="75AB9886" w14:textId="77777777" w:rsidR="00DA702B" w:rsidRPr="00DA702B" w:rsidRDefault="00DA702B" w:rsidP="00DA702B">
            <w:pPr>
              <w:rPr>
                <w:sz w:val="20"/>
                <w:szCs w:val="20"/>
              </w:rPr>
            </w:pPr>
          </w:p>
        </w:tc>
        <w:tc>
          <w:tcPr>
            <w:tcW w:w="1800" w:type="dxa"/>
          </w:tcPr>
          <w:p w14:paraId="53073055" w14:textId="77777777" w:rsidR="00DA702B" w:rsidRPr="00DA702B" w:rsidRDefault="00DA702B" w:rsidP="00DA702B">
            <w:pPr>
              <w:rPr>
                <w:sz w:val="20"/>
                <w:szCs w:val="20"/>
              </w:rPr>
            </w:pPr>
          </w:p>
        </w:tc>
        <w:tc>
          <w:tcPr>
            <w:tcW w:w="1800" w:type="dxa"/>
          </w:tcPr>
          <w:p w14:paraId="55D61D32" w14:textId="77777777" w:rsidR="00DA702B" w:rsidRPr="00DA702B" w:rsidRDefault="00DA702B" w:rsidP="00DA702B">
            <w:pPr>
              <w:rPr>
                <w:sz w:val="20"/>
                <w:szCs w:val="20"/>
              </w:rPr>
            </w:pPr>
          </w:p>
        </w:tc>
        <w:tc>
          <w:tcPr>
            <w:tcW w:w="1800" w:type="dxa"/>
          </w:tcPr>
          <w:p w14:paraId="122AEBB9" w14:textId="77777777" w:rsidR="00DA702B" w:rsidRPr="00DA702B" w:rsidRDefault="00DA702B" w:rsidP="00DA702B">
            <w:pPr>
              <w:rPr>
                <w:sz w:val="20"/>
                <w:szCs w:val="20"/>
              </w:rPr>
            </w:pPr>
          </w:p>
        </w:tc>
        <w:tc>
          <w:tcPr>
            <w:tcW w:w="1800" w:type="dxa"/>
          </w:tcPr>
          <w:p w14:paraId="13A1C28B" w14:textId="77777777" w:rsidR="00DA702B" w:rsidRPr="00DA702B" w:rsidRDefault="00DA702B" w:rsidP="00DA702B">
            <w:pPr>
              <w:rPr>
                <w:sz w:val="20"/>
                <w:szCs w:val="20"/>
              </w:rPr>
            </w:pPr>
          </w:p>
        </w:tc>
      </w:tr>
      <w:tr w:rsidR="00DA702B" w:rsidRPr="00DA702B" w14:paraId="58C967BC" w14:textId="77777777" w:rsidTr="00247007">
        <w:trPr>
          <w:cantSplit/>
          <w:trHeight w:val="346"/>
          <w:tblHeader/>
        </w:trPr>
        <w:tc>
          <w:tcPr>
            <w:tcW w:w="1800" w:type="dxa"/>
          </w:tcPr>
          <w:p w14:paraId="0840359E" w14:textId="77777777" w:rsidR="00DA702B" w:rsidRPr="00DA702B" w:rsidRDefault="00DA702B" w:rsidP="00DA702B">
            <w:pPr>
              <w:rPr>
                <w:sz w:val="20"/>
                <w:szCs w:val="20"/>
              </w:rPr>
            </w:pPr>
          </w:p>
        </w:tc>
        <w:tc>
          <w:tcPr>
            <w:tcW w:w="1800" w:type="dxa"/>
          </w:tcPr>
          <w:p w14:paraId="2255B548" w14:textId="77777777" w:rsidR="00DA702B" w:rsidRPr="00DA702B" w:rsidRDefault="00DA702B" w:rsidP="00DA702B">
            <w:pPr>
              <w:rPr>
                <w:sz w:val="20"/>
                <w:szCs w:val="20"/>
              </w:rPr>
            </w:pPr>
          </w:p>
        </w:tc>
        <w:tc>
          <w:tcPr>
            <w:tcW w:w="1800" w:type="dxa"/>
          </w:tcPr>
          <w:p w14:paraId="4D185E8D" w14:textId="77777777" w:rsidR="00DA702B" w:rsidRPr="00DA702B" w:rsidRDefault="00DA702B" w:rsidP="00DA702B">
            <w:pPr>
              <w:rPr>
                <w:sz w:val="20"/>
                <w:szCs w:val="20"/>
              </w:rPr>
            </w:pPr>
          </w:p>
        </w:tc>
        <w:tc>
          <w:tcPr>
            <w:tcW w:w="1800" w:type="dxa"/>
          </w:tcPr>
          <w:p w14:paraId="3AF0276E" w14:textId="77777777" w:rsidR="00DA702B" w:rsidRPr="00DA702B" w:rsidRDefault="00DA702B" w:rsidP="00DA702B">
            <w:pPr>
              <w:rPr>
                <w:sz w:val="20"/>
                <w:szCs w:val="20"/>
              </w:rPr>
            </w:pPr>
          </w:p>
        </w:tc>
        <w:tc>
          <w:tcPr>
            <w:tcW w:w="1800" w:type="dxa"/>
          </w:tcPr>
          <w:p w14:paraId="2A25897E" w14:textId="77777777" w:rsidR="00DA702B" w:rsidRPr="00DA702B" w:rsidRDefault="00DA702B" w:rsidP="00DA702B">
            <w:pPr>
              <w:rPr>
                <w:sz w:val="20"/>
                <w:szCs w:val="20"/>
              </w:rPr>
            </w:pPr>
          </w:p>
        </w:tc>
        <w:tc>
          <w:tcPr>
            <w:tcW w:w="1800" w:type="dxa"/>
          </w:tcPr>
          <w:p w14:paraId="7D187B24" w14:textId="77777777" w:rsidR="00DA702B" w:rsidRPr="00DA702B" w:rsidRDefault="00DA702B" w:rsidP="00DA702B">
            <w:pPr>
              <w:rPr>
                <w:sz w:val="20"/>
                <w:szCs w:val="20"/>
              </w:rPr>
            </w:pPr>
          </w:p>
        </w:tc>
        <w:tc>
          <w:tcPr>
            <w:tcW w:w="1800" w:type="dxa"/>
          </w:tcPr>
          <w:p w14:paraId="2F390226" w14:textId="77777777" w:rsidR="00DA702B" w:rsidRPr="00DA702B" w:rsidRDefault="00DA702B" w:rsidP="00DA702B">
            <w:pPr>
              <w:rPr>
                <w:sz w:val="20"/>
                <w:szCs w:val="20"/>
              </w:rPr>
            </w:pPr>
          </w:p>
        </w:tc>
        <w:tc>
          <w:tcPr>
            <w:tcW w:w="1800" w:type="dxa"/>
          </w:tcPr>
          <w:p w14:paraId="39143F33" w14:textId="77777777" w:rsidR="00DA702B" w:rsidRPr="00DA702B" w:rsidRDefault="00DA702B" w:rsidP="00DA702B">
            <w:pPr>
              <w:rPr>
                <w:sz w:val="20"/>
                <w:szCs w:val="20"/>
              </w:rPr>
            </w:pPr>
          </w:p>
        </w:tc>
      </w:tr>
      <w:tr w:rsidR="00DA702B" w:rsidRPr="00DA702B" w14:paraId="45018223" w14:textId="77777777" w:rsidTr="00247007">
        <w:trPr>
          <w:cantSplit/>
          <w:trHeight w:val="346"/>
          <w:tblHeader/>
        </w:trPr>
        <w:tc>
          <w:tcPr>
            <w:tcW w:w="1800" w:type="dxa"/>
          </w:tcPr>
          <w:p w14:paraId="419D79D4" w14:textId="77777777" w:rsidR="00DA702B" w:rsidRPr="00DA702B" w:rsidRDefault="00DA702B" w:rsidP="00DA702B">
            <w:pPr>
              <w:rPr>
                <w:sz w:val="20"/>
                <w:szCs w:val="20"/>
              </w:rPr>
            </w:pPr>
          </w:p>
        </w:tc>
        <w:tc>
          <w:tcPr>
            <w:tcW w:w="1800" w:type="dxa"/>
          </w:tcPr>
          <w:p w14:paraId="51578E62" w14:textId="77777777" w:rsidR="00DA702B" w:rsidRPr="00DA702B" w:rsidRDefault="00DA702B" w:rsidP="00DA702B">
            <w:pPr>
              <w:rPr>
                <w:sz w:val="20"/>
                <w:szCs w:val="20"/>
              </w:rPr>
            </w:pPr>
          </w:p>
        </w:tc>
        <w:tc>
          <w:tcPr>
            <w:tcW w:w="1800" w:type="dxa"/>
          </w:tcPr>
          <w:p w14:paraId="26FE33AC" w14:textId="77777777" w:rsidR="00DA702B" w:rsidRPr="00DA702B" w:rsidRDefault="00DA702B" w:rsidP="00DA702B">
            <w:pPr>
              <w:rPr>
                <w:sz w:val="20"/>
                <w:szCs w:val="20"/>
              </w:rPr>
            </w:pPr>
          </w:p>
        </w:tc>
        <w:tc>
          <w:tcPr>
            <w:tcW w:w="1800" w:type="dxa"/>
          </w:tcPr>
          <w:p w14:paraId="011120CF" w14:textId="77777777" w:rsidR="00DA702B" w:rsidRPr="00DA702B" w:rsidRDefault="00DA702B" w:rsidP="00DA702B">
            <w:pPr>
              <w:rPr>
                <w:sz w:val="20"/>
                <w:szCs w:val="20"/>
              </w:rPr>
            </w:pPr>
          </w:p>
        </w:tc>
        <w:tc>
          <w:tcPr>
            <w:tcW w:w="1800" w:type="dxa"/>
          </w:tcPr>
          <w:p w14:paraId="09245814" w14:textId="77777777" w:rsidR="00DA702B" w:rsidRPr="00DA702B" w:rsidRDefault="00DA702B" w:rsidP="00DA702B">
            <w:pPr>
              <w:rPr>
                <w:sz w:val="20"/>
                <w:szCs w:val="20"/>
              </w:rPr>
            </w:pPr>
          </w:p>
        </w:tc>
        <w:tc>
          <w:tcPr>
            <w:tcW w:w="1800" w:type="dxa"/>
          </w:tcPr>
          <w:p w14:paraId="5253B78E" w14:textId="77777777" w:rsidR="00DA702B" w:rsidRPr="00DA702B" w:rsidRDefault="00DA702B" w:rsidP="00DA702B">
            <w:pPr>
              <w:rPr>
                <w:sz w:val="20"/>
                <w:szCs w:val="20"/>
              </w:rPr>
            </w:pPr>
          </w:p>
        </w:tc>
        <w:tc>
          <w:tcPr>
            <w:tcW w:w="1800" w:type="dxa"/>
          </w:tcPr>
          <w:p w14:paraId="70B5A214" w14:textId="77777777" w:rsidR="00DA702B" w:rsidRPr="00DA702B" w:rsidRDefault="00DA702B" w:rsidP="00DA702B">
            <w:pPr>
              <w:rPr>
                <w:sz w:val="20"/>
                <w:szCs w:val="20"/>
              </w:rPr>
            </w:pPr>
          </w:p>
        </w:tc>
        <w:tc>
          <w:tcPr>
            <w:tcW w:w="1800" w:type="dxa"/>
          </w:tcPr>
          <w:p w14:paraId="0317D98C" w14:textId="77777777" w:rsidR="00DA702B" w:rsidRPr="00DA702B" w:rsidRDefault="00DA702B" w:rsidP="00DA702B">
            <w:pPr>
              <w:rPr>
                <w:sz w:val="20"/>
                <w:szCs w:val="20"/>
              </w:rPr>
            </w:pPr>
          </w:p>
        </w:tc>
      </w:tr>
      <w:tr w:rsidR="00DA702B" w:rsidRPr="00DA702B" w14:paraId="6459CC31" w14:textId="77777777" w:rsidTr="00247007">
        <w:trPr>
          <w:cantSplit/>
          <w:trHeight w:val="346"/>
          <w:tblHeader/>
        </w:trPr>
        <w:tc>
          <w:tcPr>
            <w:tcW w:w="1800" w:type="dxa"/>
          </w:tcPr>
          <w:p w14:paraId="65EA4DFC" w14:textId="77777777" w:rsidR="00DA702B" w:rsidRPr="00DA702B" w:rsidRDefault="00DA702B" w:rsidP="00DA702B">
            <w:pPr>
              <w:rPr>
                <w:sz w:val="20"/>
                <w:szCs w:val="20"/>
              </w:rPr>
            </w:pPr>
          </w:p>
        </w:tc>
        <w:tc>
          <w:tcPr>
            <w:tcW w:w="1800" w:type="dxa"/>
          </w:tcPr>
          <w:p w14:paraId="68BEA226" w14:textId="77777777" w:rsidR="00DA702B" w:rsidRPr="00DA702B" w:rsidRDefault="00DA702B" w:rsidP="00DA702B">
            <w:pPr>
              <w:rPr>
                <w:sz w:val="20"/>
                <w:szCs w:val="20"/>
              </w:rPr>
            </w:pPr>
          </w:p>
        </w:tc>
        <w:tc>
          <w:tcPr>
            <w:tcW w:w="1800" w:type="dxa"/>
          </w:tcPr>
          <w:p w14:paraId="745F7154" w14:textId="77777777" w:rsidR="00DA702B" w:rsidRPr="00DA702B" w:rsidRDefault="00DA702B" w:rsidP="00DA702B">
            <w:pPr>
              <w:rPr>
                <w:sz w:val="20"/>
                <w:szCs w:val="20"/>
              </w:rPr>
            </w:pPr>
          </w:p>
        </w:tc>
        <w:tc>
          <w:tcPr>
            <w:tcW w:w="1800" w:type="dxa"/>
          </w:tcPr>
          <w:p w14:paraId="0C8BA871" w14:textId="77777777" w:rsidR="00DA702B" w:rsidRPr="00DA702B" w:rsidRDefault="00DA702B" w:rsidP="00DA702B">
            <w:pPr>
              <w:rPr>
                <w:sz w:val="20"/>
                <w:szCs w:val="20"/>
              </w:rPr>
            </w:pPr>
          </w:p>
        </w:tc>
        <w:tc>
          <w:tcPr>
            <w:tcW w:w="1800" w:type="dxa"/>
          </w:tcPr>
          <w:p w14:paraId="64C9B384" w14:textId="77777777" w:rsidR="00DA702B" w:rsidRPr="00DA702B" w:rsidRDefault="00DA702B" w:rsidP="00DA702B">
            <w:pPr>
              <w:rPr>
                <w:sz w:val="20"/>
                <w:szCs w:val="20"/>
              </w:rPr>
            </w:pPr>
          </w:p>
        </w:tc>
        <w:tc>
          <w:tcPr>
            <w:tcW w:w="1800" w:type="dxa"/>
          </w:tcPr>
          <w:p w14:paraId="28F8BF33" w14:textId="77777777" w:rsidR="00DA702B" w:rsidRPr="00DA702B" w:rsidRDefault="00DA702B" w:rsidP="00DA702B">
            <w:pPr>
              <w:rPr>
                <w:sz w:val="20"/>
                <w:szCs w:val="20"/>
              </w:rPr>
            </w:pPr>
          </w:p>
        </w:tc>
        <w:tc>
          <w:tcPr>
            <w:tcW w:w="1800" w:type="dxa"/>
          </w:tcPr>
          <w:p w14:paraId="69CBBEBF" w14:textId="77777777" w:rsidR="00DA702B" w:rsidRPr="00DA702B" w:rsidRDefault="00DA702B" w:rsidP="00DA702B">
            <w:pPr>
              <w:rPr>
                <w:sz w:val="20"/>
                <w:szCs w:val="20"/>
              </w:rPr>
            </w:pPr>
          </w:p>
        </w:tc>
        <w:tc>
          <w:tcPr>
            <w:tcW w:w="1800" w:type="dxa"/>
          </w:tcPr>
          <w:p w14:paraId="4861A092" w14:textId="77777777" w:rsidR="00DA702B" w:rsidRPr="00DA702B" w:rsidRDefault="00DA702B" w:rsidP="00DA702B">
            <w:pPr>
              <w:rPr>
                <w:sz w:val="20"/>
                <w:szCs w:val="20"/>
              </w:rPr>
            </w:pPr>
          </w:p>
        </w:tc>
      </w:tr>
      <w:tr w:rsidR="00DA702B" w:rsidRPr="00DA702B" w14:paraId="43B716BA" w14:textId="77777777" w:rsidTr="00247007">
        <w:trPr>
          <w:cantSplit/>
          <w:trHeight w:val="346"/>
          <w:tblHeader/>
        </w:trPr>
        <w:tc>
          <w:tcPr>
            <w:tcW w:w="1800" w:type="dxa"/>
          </w:tcPr>
          <w:p w14:paraId="63FB54C2" w14:textId="77777777" w:rsidR="00DA702B" w:rsidRPr="00DA702B" w:rsidRDefault="00DA702B" w:rsidP="00DA702B">
            <w:pPr>
              <w:rPr>
                <w:sz w:val="20"/>
                <w:szCs w:val="20"/>
              </w:rPr>
            </w:pPr>
          </w:p>
        </w:tc>
        <w:tc>
          <w:tcPr>
            <w:tcW w:w="1800" w:type="dxa"/>
          </w:tcPr>
          <w:p w14:paraId="3BEF71F7" w14:textId="77777777" w:rsidR="00DA702B" w:rsidRPr="00DA702B" w:rsidRDefault="00DA702B" w:rsidP="00DA702B">
            <w:pPr>
              <w:rPr>
                <w:sz w:val="20"/>
                <w:szCs w:val="20"/>
              </w:rPr>
            </w:pPr>
          </w:p>
        </w:tc>
        <w:tc>
          <w:tcPr>
            <w:tcW w:w="1800" w:type="dxa"/>
          </w:tcPr>
          <w:p w14:paraId="6BF3E240" w14:textId="77777777" w:rsidR="00DA702B" w:rsidRPr="00DA702B" w:rsidRDefault="00DA702B" w:rsidP="00DA702B">
            <w:pPr>
              <w:rPr>
                <w:sz w:val="20"/>
                <w:szCs w:val="20"/>
              </w:rPr>
            </w:pPr>
          </w:p>
        </w:tc>
        <w:tc>
          <w:tcPr>
            <w:tcW w:w="1800" w:type="dxa"/>
          </w:tcPr>
          <w:p w14:paraId="063BA312" w14:textId="77777777" w:rsidR="00DA702B" w:rsidRPr="00DA702B" w:rsidRDefault="00DA702B" w:rsidP="00DA702B">
            <w:pPr>
              <w:rPr>
                <w:sz w:val="20"/>
                <w:szCs w:val="20"/>
              </w:rPr>
            </w:pPr>
          </w:p>
        </w:tc>
        <w:tc>
          <w:tcPr>
            <w:tcW w:w="1800" w:type="dxa"/>
          </w:tcPr>
          <w:p w14:paraId="38EB99B8" w14:textId="77777777" w:rsidR="00DA702B" w:rsidRPr="00DA702B" w:rsidRDefault="00DA702B" w:rsidP="00DA702B">
            <w:pPr>
              <w:rPr>
                <w:sz w:val="20"/>
                <w:szCs w:val="20"/>
              </w:rPr>
            </w:pPr>
          </w:p>
        </w:tc>
        <w:tc>
          <w:tcPr>
            <w:tcW w:w="1800" w:type="dxa"/>
          </w:tcPr>
          <w:p w14:paraId="4174F9D1" w14:textId="77777777" w:rsidR="00DA702B" w:rsidRPr="00DA702B" w:rsidRDefault="00DA702B" w:rsidP="00DA702B">
            <w:pPr>
              <w:rPr>
                <w:sz w:val="20"/>
                <w:szCs w:val="20"/>
              </w:rPr>
            </w:pPr>
          </w:p>
        </w:tc>
        <w:tc>
          <w:tcPr>
            <w:tcW w:w="1800" w:type="dxa"/>
          </w:tcPr>
          <w:p w14:paraId="3FA095D3" w14:textId="77777777" w:rsidR="00DA702B" w:rsidRPr="00DA702B" w:rsidRDefault="00DA702B" w:rsidP="00DA702B">
            <w:pPr>
              <w:rPr>
                <w:sz w:val="20"/>
                <w:szCs w:val="20"/>
              </w:rPr>
            </w:pPr>
          </w:p>
        </w:tc>
        <w:tc>
          <w:tcPr>
            <w:tcW w:w="1800" w:type="dxa"/>
          </w:tcPr>
          <w:p w14:paraId="0EA0A3C3" w14:textId="77777777" w:rsidR="00DA702B" w:rsidRPr="00DA702B" w:rsidRDefault="00DA702B" w:rsidP="00DA702B">
            <w:pPr>
              <w:rPr>
                <w:sz w:val="20"/>
                <w:szCs w:val="20"/>
              </w:rPr>
            </w:pPr>
          </w:p>
        </w:tc>
      </w:tr>
      <w:tr w:rsidR="00DA702B" w:rsidRPr="00DA702B" w14:paraId="042052BB" w14:textId="77777777" w:rsidTr="00247007">
        <w:trPr>
          <w:cantSplit/>
          <w:trHeight w:val="346"/>
          <w:tblHeader/>
        </w:trPr>
        <w:tc>
          <w:tcPr>
            <w:tcW w:w="1800" w:type="dxa"/>
          </w:tcPr>
          <w:p w14:paraId="61EFC1D3" w14:textId="77777777" w:rsidR="00DA702B" w:rsidRPr="00DA702B" w:rsidRDefault="00DA702B" w:rsidP="00DA702B">
            <w:pPr>
              <w:rPr>
                <w:sz w:val="20"/>
                <w:szCs w:val="20"/>
              </w:rPr>
            </w:pPr>
          </w:p>
        </w:tc>
        <w:tc>
          <w:tcPr>
            <w:tcW w:w="1800" w:type="dxa"/>
          </w:tcPr>
          <w:p w14:paraId="45EB96D7" w14:textId="77777777" w:rsidR="00DA702B" w:rsidRPr="00DA702B" w:rsidRDefault="00DA702B" w:rsidP="00DA702B">
            <w:pPr>
              <w:rPr>
                <w:sz w:val="20"/>
                <w:szCs w:val="20"/>
              </w:rPr>
            </w:pPr>
          </w:p>
        </w:tc>
        <w:tc>
          <w:tcPr>
            <w:tcW w:w="1800" w:type="dxa"/>
          </w:tcPr>
          <w:p w14:paraId="7A06921D" w14:textId="77777777" w:rsidR="00DA702B" w:rsidRPr="00DA702B" w:rsidRDefault="00DA702B" w:rsidP="00DA702B">
            <w:pPr>
              <w:rPr>
                <w:sz w:val="20"/>
                <w:szCs w:val="20"/>
              </w:rPr>
            </w:pPr>
          </w:p>
        </w:tc>
        <w:tc>
          <w:tcPr>
            <w:tcW w:w="1800" w:type="dxa"/>
          </w:tcPr>
          <w:p w14:paraId="692064D5" w14:textId="77777777" w:rsidR="00DA702B" w:rsidRPr="00DA702B" w:rsidRDefault="00DA702B" w:rsidP="00DA702B">
            <w:pPr>
              <w:rPr>
                <w:sz w:val="20"/>
                <w:szCs w:val="20"/>
              </w:rPr>
            </w:pPr>
          </w:p>
        </w:tc>
        <w:tc>
          <w:tcPr>
            <w:tcW w:w="1800" w:type="dxa"/>
          </w:tcPr>
          <w:p w14:paraId="1AC93ACA" w14:textId="77777777" w:rsidR="00DA702B" w:rsidRPr="00DA702B" w:rsidRDefault="00DA702B" w:rsidP="00DA702B">
            <w:pPr>
              <w:rPr>
                <w:sz w:val="20"/>
                <w:szCs w:val="20"/>
              </w:rPr>
            </w:pPr>
          </w:p>
        </w:tc>
        <w:tc>
          <w:tcPr>
            <w:tcW w:w="1800" w:type="dxa"/>
          </w:tcPr>
          <w:p w14:paraId="34E11114" w14:textId="77777777" w:rsidR="00DA702B" w:rsidRPr="00DA702B" w:rsidRDefault="00DA702B" w:rsidP="00DA702B">
            <w:pPr>
              <w:rPr>
                <w:sz w:val="20"/>
                <w:szCs w:val="20"/>
              </w:rPr>
            </w:pPr>
          </w:p>
        </w:tc>
        <w:tc>
          <w:tcPr>
            <w:tcW w:w="1800" w:type="dxa"/>
          </w:tcPr>
          <w:p w14:paraId="395900DC" w14:textId="77777777" w:rsidR="00DA702B" w:rsidRPr="00DA702B" w:rsidRDefault="00DA702B" w:rsidP="00DA702B">
            <w:pPr>
              <w:rPr>
                <w:sz w:val="20"/>
                <w:szCs w:val="20"/>
              </w:rPr>
            </w:pPr>
          </w:p>
        </w:tc>
        <w:tc>
          <w:tcPr>
            <w:tcW w:w="1800" w:type="dxa"/>
          </w:tcPr>
          <w:p w14:paraId="2682D489" w14:textId="77777777" w:rsidR="00DA702B" w:rsidRPr="00DA702B" w:rsidRDefault="00DA702B" w:rsidP="00DA702B">
            <w:pPr>
              <w:rPr>
                <w:sz w:val="20"/>
                <w:szCs w:val="20"/>
              </w:rPr>
            </w:pPr>
          </w:p>
        </w:tc>
      </w:tr>
      <w:tr w:rsidR="00DA702B" w:rsidRPr="00DA702B" w14:paraId="709B4A0B" w14:textId="77777777" w:rsidTr="00247007">
        <w:trPr>
          <w:cantSplit/>
          <w:trHeight w:val="346"/>
          <w:tblHeader/>
        </w:trPr>
        <w:tc>
          <w:tcPr>
            <w:tcW w:w="1800" w:type="dxa"/>
          </w:tcPr>
          <w:p w14:paraId="671283EF" w14:textId="77777777" w:rsidR="00DA702B" w:rsidRPr="00DA702B" w:rsidRDefault="00DA702B" w:rsidP="00DA702B">
            <w:pPr>
              <w:rPr>
                <w:sz w:val="20"/>
                <w:szCs w:val="20"/>
              </w:rPr>
            </w:pPr>
          </w:p>
        </w:tc>
        <w:tc>
          <w:tcPr>
            <w:tcW w:w="1800" w:type="dxa"/>
          </w:tcPr>
          <w:p w14:paraId="4C5C43E9" w14:textId="77777777" w:rsidR="00DA702B" w:rsidRPr="00DA702B" w:rsidRDefault="00DA702B" w:rsidP="00DA702B">
            <w:pPr>
              <w:rPr>
                <w:sz w:val="20"/>
                <w:szCs w:val="20"/>
              </w:rPr>
            </w:pPr>
          </w:p>
        </w:tc>
        <w:tc>
          <w:tcPr>
            <w:tcW w:w="1800" w:type="dxa"/>
          </w:tcPr>
          <w:p w14:paraId="0AA6248E" w14:textId="77777777" w:rsidR="00DA702B" w:rsidRPr="00DA702B" w:rsidRDefault="00DA702B" w:rsidP="00DA702B">
            <w:pPr>
              <w:rPr>
                <w:sz w:val="20"/>
                <w:szCs w:val="20"/>
              </w:rPr>
            </w:pPr>
          </w:p>
        </w:tc>
        <w:tc>
          <w:tcPr>
            <w:tcW w:w="1800" w:type="dxa"/>
          </w:tcPr>
          <w:p w14:paraId="22D50613" w14:textId="77777777" w:rsidR="00DA702B" w:rsidRPr="00DA702B" w:rsidRDefault="00DA702B" w:rsidP="00DA702B">
            <w:pPr>
              <w:rPr>
                <w:sz w:val="20"/>
                <w:szCs w:val="20"/>
              </w:rPr>
            </w:pPr>
          </w:p>
        </w:tc>
        <w:tc>
          <w:tcPr>
            <w:tcW w:w="1800" w:type="dxa"/>
          </w:tcPr>
          <w:p w14:paraId="6156BA00" w14:textId="77777777" w:rsidR="00DA702B" w:rsidRPr="00DA702B" w:rsidRDefault="00DA702B" w:rsidP="00DA702B">
            <w:pPr>
              <w:rPr>
                <w:sz w:val="20"/>
                <w:szCs w:val="20"/>
              </w:rPr>
            </w:pPr>
          </w:p>
        </w:tc>
        <w:tc>
          <w:tcPr>
            <w:tcW w:w="1800" w:type="dxa"/>
          </w:tcPr>
          <w:p w14:paraId="572A8D8E" w14:textId="77777777" w:rsidR="00DA702B" w:rsidRPr="00DA702B" w:rsidRDefault="00DA702B" w:rsidP="00DA702B">
            <w:pPr>
              <w:rPr>
                <w:sz w:val="20"/>
                <w:szCs w:val="20"/>
              </w:rPr>
            </w:pPr>
          </w:p>
        </w:tc>
        <w:tc>
          <w:tcPr>
            <w:tcW w:w="1800" w:type="dxa"/>
          </w:tcPr>
          <w:p w14:paraId="16856E95" w14:textId="77777777" w:rsidR="00DA702B" w:rsidRPr="00DA702B" w:rsidRDefault="00DA702B" w:rsidP="00DA702B">
            <w:pPr>
              <w:rPr>
                <w:sz w:val="20"/>
                <w:szCs w:val="20"/>
              </w:rPr>
            </w:pPr>
          </w:p>
        </w:tc>
        <w:tc>
          <w:tcPr>
            <w:tcW w:w="1800" w:type="dxa"/>
          </w:tcPr>
          <w:p w14:paraId="17F0167C" w14:textId="77777777" w:rsidR="00DA702B" w:rsidRPr="00DA702B" w:rsidRDefault="00DA702B" w:rsidP="00DA702B">
            <w:pPr>
              <w:rPr>
                <w:sz w:val="20"/>
                <w:szCs w:val="20"/>
              </w:rPr>
            </w:pPr>
          </w:p>
        </w:tc>
      </w:tr>
      <w:tr w:rsidR="00DA702B" w:rsidRPr="00DA702B" w14:paraId="7E7B8B5F" w14:textId="77777777" w:rsidTr="00247007">
        <w:trPr>
          <w:cantSplit/>
          <w:trHeight w:val="346"/>
          <w:tblHeader/>
        </w:trPr>
        <w:tc>
          <w:tcPr>
            <w:tcW w:w="1800" w:type="dxa"/>
          </w:tcPr>
          <w:p w14:paraId="10746E47" w14:textId="77777777" w:rsidR="00DA702B" w:rsidRPr="00DA702B" w:rsidRDefault="00DA702B" w:rsidP="00DA702B">
            <w:pPr>
              <w:rPr>
                <w:sz w:val="20"/>
                <w:szCs w:val="20"/>
              </w:rPr>
            </w:pPr>
          </w:p>
        </w:tc>
        <w:tc>
          <w:tcPr>
            <w:tcW w:w="1800" w:type="dxa"/>
          </w:tcPr>
          <w:p w14:paraId="5DB74B05" w14:textId="77777777" w:rsidR="00DA702B" w:rsidRPr="00DA702B" w:rsidRDefault="00DA702B" w:rsidP="00DA702B">
            <w:pPr>
              <w:rPr>
                <w:sz w:val="20"/>
                <w:szCs w:val="20"/>
              </w:rPr>
            </w:pPr>
          </w:p>
        </w:tc>
        <w:tc>
          <w:tcPr>
            <w:tcW w:w="1800" w:type="dxa"/>
          </w:tcPr>
          <w:p w14:paraId="5BC5E59E" w14:textId="77777777" w:rsidR="00DA702B" w:rsidRPr="00DA702B" w:rsidRDefault="00DA702B" w:rsidP="00DA702B">
            <w:pPr>
              <w:rPr>
                <w:sz w:val="20"/>
                <w:szCs w:val="20"/>
              </w:rPr>
            </w:pPr>
          </w:p>
        </w:tc>
        <w:tc>
          <w:tcPr>
            <w:tcW w:w="1800" w:type="dxa"/>
          </w:tcPr>
          <w:p w14:paraId="5206C054" w14:textId="77777777" w:rsidR="00DA702B" w:rsidRPr="00DA702B" w:rsidRDefault="00DA702B" w:rsidP="00DA702B">
            <w:pPr>
              <w:rPr>
                <w:sz w:val="20"/>
                <w:szCs w:val="20"/>
              </w:rPr>
            </w:pPr>
          </w:p>
        </w:tc>
        <w:tc>
          <w:tcPr>
            <w:tcW w:w="1800" w:type="dxa"/>
          </w:tcPr>
          <w:p w14:paraId="680D3FDD" w14:textId="77777777" w:rsidR="00DA702B" w:rsidRPr="00DA702B" w:rsidRDefault="00DA702B" w:rsidP="00DA702B">
            <w:pPr>
              <w:rPr>
                <w:sz w:val="20"/>
                <w:szCs w:val="20"/>
              </w:rPr>
            </w:pPr>
          </w:p>
        </w:tc>
        <w:tc>
          <w:tcPr>
            <w:tcW w:w="1800" w:type="dxa"/>
          </w:tcPr>
          <w:p w14:paraId="5F57E9F5" w14:textId="77777777" w:rsidR="00DA702B" w:rsidRPr="00DA702B" w:rsidRDefault="00DA702B" w:rsidP="00DA702B">
            <w:pPr>
              <w:rPr>
                <w:sz w:val="20"/>
                <w:szCs w:val="20"/>
              </w:rPr>
            </w:pPr>
          </w:p>
        </w:tc>
        <w:tc>
          <w:tcPr>
            <w:tcW w:w="1800" w:type="dxa"/>
          </w:tcPr>
          <w:p w14:paraId="4AB752B1" w14:textId="77777777" w:rsidR="00DA702B" w:rsidRPr="00DA702B" w:rsidRDefault="00DA702B" w:rsidP="00DA702B">
            <w:pPr>
              <w:rPr>
                <w:sz w:val="20"/>
                <w:szCs w:val="20"/>
              </w:rPr>
            </w:pPr>
          </w:p>
        </w:tc>
        <w:tc>
          <w:tcPr>
            <w:tcW w:w="1800" w:type="dxa"/>
          </w:tcPr>
          <w:p w14:paraId="75EC1F59" w14:textId="77777777" w:rsidR="00DA702B" w:rsidRPr="00DA702B" w:rsidRDefault="00DA702B" w:rsidP="00DA702B">
            <w:pPr>
              <w:rPr>
                <w:sz w:val="20"/>
                <w:szCs w:val="20"/>
              </w:rPr>
            </w:pPr>
          </w:p>
        </w:tc>
      </w:tr>
      <w:tr w:rsidR="00DA702B" w:rsidRPr="00DA702B" w14:paraId="050E9122" w14:textId="77777777" w:rsidTr="00247007">
        <w:trPr>
          <w:cantSplit/>
          <w:trHeight w:val="346"/>
          <w:tblHeader/>
        </w:trPr>
        <w:tc>
          <w:tcPr>
            <w:tcW w:w="1800" w:type="dxa"/>
          </w:tcPr>
          <w:p w14:paraId="649EA708" w14:textId="77777777" w:rsidR="00DA702B" w:rsidRPr="00DA702B" w:rsidRDefault="00DA702B" w:rsidP="00DA702B">
            <w:pPr>
              <w:rPr>
                <w:sz w:val="20"/>
                <w:szCs w:val="20"/>
              </w:rPr>
            </w:pPr>
          </w:p>
        </w:tc>
        <w:tc>
          <w:tcPr>
            <w:tcW w:w="1800" w:type="dxa"/>
          </w:tcPr>
          <w:p w14:paraId="357AD0EC" w14:textId="77777777" w:rsidR="00DA702B" w:rsidRPr="00DA702B" w:rsidRDefault="00DA702B" w:rsidP="00DA702B">
            <w:pPr>
              <w:rPr>
                <w:sz w:val="20"/>
                <w:szCs w:val="20"/>
              </w:rPr>
            </w:pPr>
          </w:p>
        </w:tc>
        <w:tc>
          <w:tcPr>
            <w:tcW w:w="1800" w:type="dxa"/>
          </w:tcPr>
          <w:p w14:paraId="43ADC09B" w14:textId="77777777" w:rsidR="00DA702B" w:rsidRPr="00DA702B" w:rsidRDefault="00DA702B" w:rsidP="00DA702B">
            <w:pPr>
              <w:rPr>
                <w:sz w:val="20"/>
                <w:szCs w:val="20"/>
              </w:rPr>
            </w:pPr>
          </w:p>
        </w:tc>
        <w:tc>
          <w:tcPr>
            <w:tcW w:w="1800" w:type="dxa"/>
          </w:tcPr>
          <w:p w14:paraId="7BC2D019" w14:textId="77777777" w:rsidR="00DA702B" w:rsidRPr="00DA702B" w:rsidRDefault="00DA702B" w:rsidP="00DA702B">
            <w:pPr>
              <w:rPr>
                <w:sz w:val="20"/>
                <w:szCs w:val="20"/>
              </w:rPr>
            </w:pPr>
          </w:p>
        </w:tc>
        <w:tc>
          <w:tcPr>
            <w:tcW w:w="1800" w:type="dxa"/>
          </w:tcPr>
          <w:p w14:paraId="7BB64E75" w14:textId="77777777" w:rsidR="00DA702B" w:rsidRPr="00DA702B" w:rsidRDefault="00DA702B" w:rsidP="00DA702B">
            <w:pPr>
              <w:rPr>
                <w:sz w:val="20"/>
                <w:szCs w:val="20"/>
              </w:rPr>
            </w:pPr>
          </w:p>
        </w:tc>
        <w:tc>
          <w:tcPr>
            <w:tcW w:w="1800" w:type="dxa"/>
          </w:tcPr>
          <w:p w14:paraId="1BECD69E" w14:textId="77777777" w:rsidR="00DA702B" w:rsidRPr="00DA702B" w:rsidRDefault="00DA702B" w:rsidP="00DA702B">
            <w:pPr>
              <w:rPr>
                <w:sz w:val="20"/>
                <w:szCs w:val="20"/>
              </w:rPr>
            </w:pPr>
          </w:p>
        </w:tc>
        <w:tc>
          <w:tcPr>
            <w:tcW w:w="1800" w:type="dxa"/>
          </w:tcPr>
          <w:p w14:paraId="67F22577" w14:textId="77777777" w:rsidR="00DA702B" w:rsidRPr="00DA702B" w:rsidRDefault="00DA702B" w:rsidP="00DA702B">
            <w:pPr>
              <w:rPr>
                <w:sz w:val="20"/>
                <w:szCs w:val="20"/>
              </w:rPr>
            </w:pPr>
          </w:p>
        </w:tc>
        <w:tc>
          <w:tcPr>
            <w:tcW w:w="1800" w:type="dxa"/>
          </w:tcPr>
          <w:p w14:paraId="4F943DAA" w14:textId="77777777" w:rsidR="00DA702B" w:rsidRPr="00DA702B" w:rsidRDefault="00DA702B" w:rsidP="00DA702B">
            <w:pPr>
              <w:rPr>
                <w:sz w:val="20"/>
                <w:szCs w:val="20"/>
              </w:rPr>
            </w:pPr>
          </w:p>
        </w:tc>
      </w:tr>
    </w:tbl>
    <w:p w14:paraId="1AE267D2" w14:textId="0D97A854" w:rsidR="00551389" w:rsidRDefault="00551389" w:rsidP="00DA702B">
      <w:pPr>
        <w:rPr>
          <w:sz w:val="20"/>
          <w:szCs w:val="20"/>
        </w:rPr>
      </w:pPr>
      <w:r>
        <w:rPr>
          <w:sz w:val="20"/>
          <w:szCs w:val="20"/>
        </w:rPr>
        <w:br w:type="page"/>
      </w:r>
    </w:p>
    <w:p w14:paraId="651019DC" w14:textId="77777777" w:rsidR="00DA702B" w:rsidRPr="00DA702B" w:rsidRDefault="00DA702B" w:rsidP="00FA3957">
      <w:pPr>
        <w:widowControl w:val="0"/>
        <w:jc w:val="center"/>
        <w:rPr>
          <w:rFonts w:eastAsiaTheme="majorEastAsia"/>
          <w:b/>
          <w:bCs/>
        </w:rPr>
      </w:pPr>
      <w:r w:rsidRPr="00DA702B">
        <w:rPr>
          <w:rFonts w:eastAsiaTheme="majorEastAsia"/>
          <w:b/>
          <w:bCs/>
        </w:rPr>
        <w:lastRenderedPageBreak/>
        <w:t>Boiler/Steam Generator/Steam Generating Unit Attributes</w:t>
      </w:r>
    </w:p>
    <w:p w14:paraId="35BD06C2" w14:textId="77777777" w:rsidR="00DA702B" w:rsidRPr="00DA702B" w:rsidRDefault="00DA702B" w:rsidP="00FA3957">
      <w:pPr>
        <w:widowControl w:val="0"/>
        <w:jc w:val="center"/>
        <w:rPr>
          <w:rFonts w:eastAsiaTheme="majorEastAsia"/>
          <w:b/>
          <w:bCs/>
        </w:rPr>
      </w:pPr>
      <w:r w:rsidRPr="00DA702B">
        <w:rPr>
          <w:rFonts w:eastAsiaTheme="majorEastAsia"/>
          <w:b/>
          <w:bCs/>
        </w:rPr>
        <w:t>Form OP-UA6 (Page 34)</w:t>
      </w:r>
    </w:p>
    <w:p w14:paraId="2FB9014A" w14:textId="77777777" w:rsidR="00DA702B" w:rsidRPr="00DA702B" w:rsidRDefault="00DA702B" w:rsidP="00FA3957">
      <w:pPr>
        <w:widowControl w:val="0"/>
        <w:jc w:val="center"/>
        <w:rPr>
          <w:rFonts w:eastAsiaTheme="majorEastAsia"/>
          <w:b/>
          <w:bCs/>
        </w:rPr>
      </w:pPr>
      <w:r w:rsidRPr="00DA702B">
        <w:rPr>
          <w:rFonts w:eastAsiaTheme="majorEastAsia"/>
          <w:b/>
          <w:bCs/>
        </w:rPr>
        <w:t>Federal Operating Permit Program</w:t>
      </w:r>
    </w:p>
    <w:p w14:paraId="6773524A" w14:textId="77777777" w:rsidR="00DA702B" w:rsidRPr="00DA702B" w:rsidRDefault="00DA702B" w:rsidP="00FA3957">
      <w:pPr>
        <w:widowControl w:val="0"/>
        <w:jc w:val="center"/>
        <w:rPr>
          <w:rFonts w:eastAsiaTheme="majorEastAsia"/>
          <w:b/>
          <w:bCs/>
        </w:rPr>
      </w:pPr>
      <w:bookmarkStart w:id="196" w:name="TBL_13g"/>
      <w:r w:rsidRPr="00DA702B">
        <w:rPr>
          <w:rFonts w:eastAsiaTheme="majorEastAsia"/>
          <w:b/>
          <w:bCs/>
        </w:rPr>
        <w:t>Table 13g</w:t>
      </w:r>
      <w:bookmarkEnd w:id="196"/>
      <w:r w:rsidRPr="00DA702B">
        <w:rPr>
          <w:rFonts w:eastAsiaTheme="majorEastAsia"/>
          <w:b/>
          <w:bCs/>
        </w:rPr>
        <w:t>:  Title 40 Code of Federal Regulations Part 63 (40 CFR Part 63)</w:t>
      </w:r>
    </w:p>
    <w:p w14:paraId="4E28DBFD" w14:textId="77777777" w:rsidR="00DA702B" w:rsidRPr="00DA702B" w:rsidRDefault="00DA702B" w:rsidP="00FA3957">
      <w:pPr>
        <w:widowControl w:val="0"/>
        <w:jc w:val="center"/>
        <w:rPr>
          <w:rFonts w:eastAsiaTheme="majorEastAsia"/>
          <w:b/>
          <w:bCs/>
        </w:rPr>
      </w:pPr>
      <w:r w:rsidRPr="00DA702B">
        <w:rPr>
          <w:rFonts w:eastAsiaTheme="majorEastAsia"/>
          <w:b/>
          <w:bCs/>
        </w:rPr>
        <w:t>Subpart UUUUU:  Coal- and Oil-Fired Electric Utility Steam Generating Units</w:t>
      </w:r>
    </w:p>
    <w:p w14:paraId="108C6376" w14:textId="77777777" w:rsidR="00DA702B" w:rsidRPr="00DA702B" w:rsidRDefault="00DA702B" w:rsidP="00FA3957">
      <w:pPr>
        <w:widowControl w:val="0"/>
        <w:jc w:val="center"/>
        <w:rPr>
          <w:b/>
          <w:bCs/>
        </w:rPr>
      </w:pPr>
      <w:r w:rsidRPr="00DA702B">
        <w:rPr>
          <w:b/>
          <w:bCs/>
        </w:rPr>
        <w:t>Texas Commission on Environmental Quality</w:t>
      </w:r>
    </w:p>
    <w:p w14:paraId="74D06494"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g:  Title 40 Code of Federal Regulations Part 63 (40 CFR Part 63)&#10;Subpart UUUUU:  Coal- and Oil-Fired Electric Utility Steam Generating Units&#10;"/>
      </w:tblPr>
      <w:tblGrid>
        <w:gridCol w:w="4800"/>
        <w:gridCol w:w="4800"/>
        <w:gridCol w:w="4800"/>
      </w:tblGrid>
      <w:tr w:rsidR="00DA702B" w:rsidRPr="00DA702B" w14:paraId="4BA0B8C3" w14:textId="77777777" w:rsidTr="00247007">
        <w:trPr>
          <w:cantSplit/>
          <w:tblHeader/>
        </w:trPr>
        <w:tc>
          <w:tcPr>
            <w:tcW w:w="4800" w:type="dxa"/>
            <w:shd w:val="clear" w:color="auto" w:fill="D9D9D9" w:themeFill="background1" w:themeFillShade="D9"/>
          </w:tcPr>
          <w:p w14:paraId="79AF833D"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D4AB691"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164AB8D0"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76E21D59" w14:textId="77777777" w:rsidTr="00247007">
        <w:trPr>
          <w:cantSplit/>
          <w:tblHeader/>
        </w:trPr>
        <w:tc>
          <w:tcPr>
            <w:tcW w:w="4800" w:type="dxa"/>
          </w:tcPr>
          <w:p w14:paraId="6FDCE954" w14:textId="77777777" w:rsidR="00DA702B" w:rsidRPr="00DA702B" w:rsidRDefault="00DA702B" w:rsidP="00DA702B">
            <w:pPr>
              <w:rPr>
                <w:rFonts w:asciiTheme="majorHAnsi" w:hAnsiTheme="majorHAnsi" w:cstheme="majorHAnsi"/>
              </w:rPr>
            </w:pPr>
          </w:p>
        </w:tc>
        <w:tc>
          <w:tcPr>
            <w:tcW w:w="4800" w:type="dxa"/>
          </w:tcPr>
          <w:p w14:paraId="08F02937" w14:textId="77777777" w:rsidR="00DA702B" w:rsidRPr="00DA702B" w:rsidRDefault="00DA702B" w:rsidP="00DA702B">
            <w:pPr>
              <w:rPr>
                <w:rFonts w:asciiTheme="majorHAnsi" w:hAnsiTheme="majorHAnsi" w:cstheme="majorHAnsi"/>
              </w:rPr>
            </w:pPr>
          </w:p>
        </w:tc>
        <w:tc>
          <w:tcPr>
            <w:tcW w:w="4800" w:type="dxa"/>
          </w:tcPr>
          <w:p w14:paraId="0069D377" w14:textId="77777777" w:rsidR="00DA702B" w:rsidRPr="00DA702B" w:rsidRDefault="00DA702B" w:rsidP="00DA702B">
            <w:pPr>
              <w:rPr>
                <w:rFonts w:asciiTheme="majorHAnsi" w:hAnsiTheme="majorHAnsi" w:cstheme="majorHAnsi"/>
              </w:rPr>
            </w:pPr>
          </w:p>
        </w:tc>
      </w:tr>
    </w:tbl>
    <w:p w14:paraId="5B8CC41C"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3g:  Title 40 Code of Federal Regulations Part 63 (40 CFR Part 63)&#10;Subpart UUUUU:  Coal- and Oil-Fired Electric Utility Steam Generating Units&#10;"/>
      </w:tblPr>
      <w:tblGrid>
        <w:gridCol w:w="1800"/>
        <w:gridCol w:w="1800"/>
        <w:gridCol w:w="1800"/>
        <w:gridCol w:w="1800"/>
        <w:gridCol w:w="1800"/>
        <w:gridCol w:w="1800"/>
        <w:gridCol w:w="1800"/>
        <w:gridCol w:w="1800"/>
      </w:tblGrid>
      <w:tr w:rsidR="00DA702B" w:rsidRPr="00DA702B" w14:paraId="63119B6B" w14:textId="77777777" w:rsidTr="00247007">
        <w:trPr>
          <w:cantSplit/>
          <w:trHeight w:val="346"/>
          <w:tblHeader/>
        </w:trPr>
        <w:tc>
          <w:tcPr>
            <w:tcW w:w="1800" w:type="dxa"/>
            <w:shd w:val="clear" w:color="auto" w:fill="D9D9D9" w:themeFill="background1" w:themeFillShade="D9"/>
            <w:vAlign w:val="center"/>
          </w:tcPr>
          <w:p w14:paraId="424C5A3C" w14:textId="77777777" w:rsidR="00DA702B" w:rsidRPr="00DA702B" w:rsidRDefault="00DA702B" w:rsidP="00DA702B">
            <w:pPr>
              <w:jc w:val="center"/>
              <w:rPr>
                <w:sz w:val="20"/>
                <w:szCs w:val="20"/>
              </w:rPr>
            </w:pPr>
            <w:r w:rsidRPr="00DA702B">
              <w:rPr>
                <w:b/>
                <w:sz w:val="20"/>
                <w:szCs w:val="20"/>
              </w:rPr>
              <w:t>Unit ID No.</w:t>
            </w:r>
          </w:p>
        </w:tc>
        <w:tc>
          <w:tcPr>
            <w:tcW w:w="1800" w:type="dxa"/>
            <w:shd w:val="clear" w:color="auto" w:fill="D9D9D9" w:themeFill="background1" w:themeFillShade="D9"/>
            <w:vAlign w:val="center"/>
          </w:tcPr>
          <w:p w14:paraId="062E9780" w14:textId="77777777" w:rsidR="00DA702B" w:rsidRPr="00DA702B" w:rsidRDefault="00DA702B" w:rsidP="00DA702B">
            <w:pPr>
              <w:jc w:val="center"/>
              <w:rPr>
                <w:sz w:val="20"/>
                <w:szCs w:val="20"/>
              </w:rPr>
            </w:pPr>
            <w:r w:rsidRPr="00DA702B">
              <w:rPr>
                <w:b/>
                <w:sz w:val="20"/>
                <w:szCs w:val="20"/>
              </w:rPr>
              <w:t>SOP Index No.</w:t>
            </w:r>
          </w:p>
        </w:tc>
        <w:tc>
          <w:tcPr>
            <w:tcW w:w="1800" w:type="dxa"/>
            <w:shd w:val="clear" w:color="auto" w:fill="D9D9D9" w:themeFill="background1" w:themeFillShade="D9"/>
            <w:vAlign w:val="center"/>
          </w:tcPr>
          <w:p w14:paraId="4476CBF6" w14:textId="77777777" w:rsidR="00DA702B" w:rsidRPr="00DA702B" w:rsidRDefault="00DA702B" w:rsidP="00DA702B">
            <w:pPr>
              <w:jc w:val="center"/>
              <w:rPr>
                <w:sz w:val="20"/>
                <w:szCs w:val="20"/>
              </w:rPr>
            </w:pPr>
            <w:r w:rsidRPr="00DA702B">
              <w:rPr>
                <w:b/>
                <w:sz w:val="20"/>
                <w:szCs w:val="20"/>
              </w:rPr>
              <w:t>Co-LEE</w:t>
            </w:r>
          </w:p>
        </w:tc>
        <w:tc>
          <w:tcPr>
            <w:tcW w:w="1800" w:type="dxa"/>
            <w:shd w:val="clear" w:color="auto" w:fill="D9D9D9" w:themeFill="background1" w:themeFillShade="D9"/>
            <w:vAlign w:val="center"/>
          </w:tcPr>
          <w:p w14:paraId="1C7B7AA1" w14:textId="77777777" w:rsidR="00DA702B" w:rsidRPr="00DA702B" w:rsidRDefault="00DA702B" w:rsidP="00DA702B">
            <w:pPr>
              <w:jc w:val="center"/>
              <w:rPr>
                <w:sz w:val="20"/>
                <w:szCs w:val="20"/>
              </w:rPr>
            </w:pPr>
            <w:r w:rsidRPr="00DA702B">
              <w:rPr>
                <w:b/>
                <w:sz w:val="20"/>
                <w:szCs w:val="20"/>
              </w:rPr>
              <w:t>Pb-LEE</w:t>
            </w:r>
          </w:p>
        </w:tc>
        <w:tc>
          <w:tcPr>
            <w:tcW w:w="1800" w:type="dxa"/>
            <w:shd w:val="clear" w:color="auto" w:fill="D9D9D9" w:themeFill="background1" w:themeFillShade="D9"/>
            <w:vAlign w:val="center"/>
          </w:tcPr>
          <w:p w14:paraId="481C394C" w14:textId="77777777" w:rsidR="00DA702B" w:rsidRPr="00DA702B" w:rsidRDefault="00DA702B" w:rsidP="00DA702B">
            <w:pPr>
              <w:jc w:val="center"/>
              <w:rPr>
                <w:sz w:val="20"/>
                <w:szCs w:val="20"/>
              </w:rPr>
            </w:pPr>
            <w:r w:rsidRPr="00DA702B">
              <w:rPr>
                <w:b/>
                <w:sz w:val="20"/>
                <w:szCs w:val="20"/>
              </w:rPr>
              <w:t>Mn-LEE</w:t>
            </w:r>
          </w:p>
        </w:tc>
        <w:tc>
          <w:tcPr>
            <w:tcW w:w="1800" w:type="dxa"/>
            <w:shd w:val="clear" w:color="auto" w:fill="D9D9D9" w:themeFill="background1" w:themeFillShade="D9"/>
            <w:vAlign w:val="center"/>
          </w:tcPr>
          <w:p w14:paraId="7DCEE508" w14:textId="77777777" w:rsidR="00DA702B" w:rsidRPr="00DA702B" w:rsidRDefault="00DA702B" w:rsidP="00DA702B">
            <w:pPr>
              <w:jc w:val="center"/>
              <w:rPr>
                <w:sz w:val="20"/>
                <w:szCs w:val="20"/>
              </w:rPr>
            </w:pPr>
            <w:r w:rsidRPr="00DA702B">
              <w:rPr>
                <w:b/>
                <w:sz w:val="20"/>
                <w:szCs w:val="20"/>
              </w:rPr>
              <w:t>Ni-LEE</w:t>
            </w:r>
          </w:p>
        </w:tc>
        <w:tc>
          <w:tcPr>
            <w:tcW w:w="1800" w:type="dxa"/>
            <w:shd w:val="clear" w:color="auto" w:fill="D9D9D9" w:themeFill="background1" w:themeFillShade="D9"/>
            <w:vAlign w:val="center"/>
          </w:tcPr>
          <w:p w14:paraId="05356E9A" w14:textId="77777777" w:rsidR="00DA702B" w:rsidRPr="00DA702B" w:rsidRDefault="00DA702B" w:rsidP="00DA702B">
            <w:pPr>
              <w:jc w:val="center"/>
              <w:rPr>
                <w:sz w:val="20"/>
                <w:szCs w:val="20"/>
              </w:rPr>
            </w:pPr>
            <w:r w:rsidRPr="00DA702B">
              <w:rPr>
                <w:b/>
                <w:sz w:val="20"/>
                <w:szCs w:val="20"/>
              </w:rPr>
              <w:t>Se-LEE</w:t>
            </w:r>
          </w:p>
        </w:tc>
        <w:tc>
          <w:tcPr>
            <w:tcW w:w="1800" w:type="dxa"/>
            <w:shd w:val="clear" w:color="auto" w:fill="D9D9D9" w:themeFill="background1" w:themeFillShade="D9"/>
            <w:vAlign w:val="center"/>
          </w:tcPr>
          <w:p w14:paraId="6DE0C5CF" w14:textId="77777777" w:rsidR="00DA702B" w:rsidRPr="00DA702B" w:rsidRDefault="00DA702B" w:rsidP="00DA702B">
            <w:pPr>
              <w:jc w:val="center"/>
              <w:rPr>
                <w:sz w:val="20"/>
                <w:szCs w:val="20"/>
              </w:rPr>
            </w:pPr>
            <w:r w:rsidRPr="00DA702B">
              <w:rPr>
                <w:b/>
                <w:sz w:val="20"/>
                <w:szCs w:val="20"/>
              </w:rPr>
              <w:t>Hg-LEE-a</w:t>
            </w:r>
          </w:p>
        </w:tc>
      </w:tr>
      <w:tr w:rsidR="00DA702B" w:rsidRPr="00DA702B" w14:paraId="79BEA76C" w14:textId="77777777" w:rsidTr="00247007">
        <w:trPr>
          <w:cantSplit/>
          <w:trHeight w:val="346"/>
          <w:tblHeader/>
        </w:trPr>
        <w:tc>
          <w:tcPr>
            <w:tcW w:w="1800" w:type="dxa"/>
          </w:tcPr>
          <w:p w14:paraId="35845693" w14:textId="77777777" w:rsidR="00DA702B" w:rsidRPr="00DA702B" w:rsidRDefault="00DA702B" w:rsidP="00DA702B">
            <w:pPr>
              <w:rPr>
                <w:sz w:val="20"/>
                <w:szCs w:val="20"/>
              </w:rPr>
            </w:pPr>
          </w:p>
        </w:tc>
        <w:tc>
          <w:tcPr>
            <w:tcW w:w="1800" w:type="dxa"/>
          </w:tcPr>
          <w:p w14:paraId="30FA2529" w14:textId="77777777" w:rsidR="00DA702B" w:rsidRPr="00DA702B" w:rsidRDefault="00DA702B" w:rsidP="00DA702B">
            <w:pPr>
              <w:rPr>
                <w:sz w:val="20"/>
                <w:szCs w:val="20"/>
              </w:rPr>
            </w:pPr>
          </w:p>
        </w:tc>
        <w:tc>
          <w:tcPr>
            <w:tcW w:w="1800" w:type="dxa"/>
          </w:tcPr>
          <w:p w14:paraId="077074FB" w14:textId="77777777" w:rsidR="00DA702B" w:rsidRPr="00DA702B" w:rsidRDefault="00DA702B" w:rsidP="00DA702B">
            <w:pPr>
              <w:rPr>
                <w:sz w:val="20"/>
                <w:szCs w:val="20"/>
              </w:rPr>
            </w:pPr>
          </w:p>
        </w:tc>
        <w:tc>
          <w:tcPr>
            <w:tcW w:w="1800" w:type="dxa"/>
          </w:tcPr>
          <w:p w14:paraId="004487EC" w14:textId="77777777" w:rsidR="00DA702B" w:rsidRPr="00DA702B" w:rsidRDefault="00DA702B" w:rsidP="00DA702B">
            <w:pPr>
              <w:rPr>
                <w:sz w:val="20"/>
                <w:szCs w:val="20"/>
              </w:rPr>
            </w:pPr>
          </w:p>
        </w:tc>
        <w:tc>
          <w:tcPr>
            <w:tcW w:w="1800" w:type="dxa"/>
          </w:tcPr>
          <w:p w14:paraId="601F07D4" w14:textId="77777777" w:rsidR="00DA702B" w:rsidRPr="00DA702B" w:rsidRDefault="00DA702B" w:rsidP="00DA702B">
            <w:pPr>
              <w:rPr>
                <w:sz w:val="20"/>
                <w:szCs w:val="20"/>
              </w:rPr>
            </w:pPr>
          </w:p>
        </w:tc>
        <w:tc>
          <w:tcPr>
            <w:tcW w:w="1800" w:type="dxa"/>
          </w:tcPr>
          <w:p w14:paraId="217C3878" w14:textId="77777777" w:rsidR="00DA702B" w:rsidRPr="00DA702B" w:rsidRDefault="00DA702B" w:rsidP="00DA702B">
            <w:pPr>
              <w:rPr>
                <w:sz w:val="20"/>
                <w:szCs w:val="20"/>
              </w:rPr>
            </w:pPr>
          </w:p>
        </w:tc>
        <w:tc>
          <w:tcPr>
            <w:tcW w:w="1800" w:type="dxa"/>
          </w:tcPr>
          <w:p w14:paraId="358F1D66" w14:textId="77777777" w:rsidR="00DA702B" w:rsidRPr="00DA702B" w:rsidRDefault="00DA702B" w:rsidP="00DA702B">
            <w:pPr>
              <w:rPr>
                <w:sz w:val="20"/>
                <w:szCs w:val="20"/>
              </w:rPr>
            </w:pPr>
          </w:p>
        </w:tc>
        <w:tc>
          <w:tcPr>
            <w:tcW w:w="1800" w:type="dxa"/>
          </w:tcPr>
          <w:p w14:paraId="4E67A8AC" w14:textId="77777777" w:rsidR="00DA702B" w:rsidRPr="00DA702B" w:rsidRDefault="00DA702B" w:rsidP="00DA702B">
            <w:pPr>
              <w:rPr>
                <w:sz w:val="20"/>
                <w:szCs w:val="20"/>
              </w:rPr>
            </w:pPr>
          </w:p>
        </w:tc>
      </w:tr>
      <w:tr w:rsidR="00DA702B" w:rsidRPr="00DA702B" w14:paraId="30CA9158" w14:textId="77777777" w:rsidTr="00247007">
        <w:trPr>
          <w:cantSplit/>
          <w:trHeight w:val="346"/>
          <w:tblHeader/>
        </w:trPr>
        <w:tc>
          <w:tcPr>
            <w:tcW w:w="1800" w:type="dxa"/>
          </w:tcPr>
          <w:p w14:paraId="2229CB61" w14:textId="77777777" w:rsidR="00DA702B" w:rsidRPr="00DA702B" w:rsidRDefault="00DA702B" w:rsidP="00DA702B">
            <w:pPr>
              <w:rPr>
                <w:sz w:val="20"/>
                <w:szCs w:val="20"/>
              </w:rPr>
            </w:pPr>
          </w:p>
        </w:tc>
        <w:tc>
          <w:tcPr>
            <w:tcW w:w="1800" w:type="dxa"/>
          </w:tcPr>
          <w:p w14:paraId="386C0681" w14:textId="77777777" w:rsidR="00DA702B" w:rsidRPr="00DA702B" w:rsidRDefault="00DA702B" w:rsidP="00DA702B">
            <w:pPr>
              <w:rPr>
                <w:sz w:val="20"/>
                <w:szCs w:val="20"/>
              </w:rPr>
            </w:pPr>
          </w:p>
        </w:tc>
        <w:tc>
          <w:tcPr>
            <w:tcW w:w="1800" w:type="dxa"/>
          </w:tcPr>
          <w:p w14:paraId="23425A88" w14:textId="77777777" w:rsidR="00DA702B" w:rsidRPr="00DA702B" w:rsidRDefault="00DA702B" w:rsidP="00DA702B">
            <w:pPr>
              <w:rPr>
                <w:sz w:val="20"/>
                <w:szCs w:val="20"/>
              </w:rPr>
            </w:pPr>
          </w:p>
        </w:tc>
        <w:tc>
          <w:tcPr>
            <w:tcW w:w="1800" w:type="dxa"/>
          </w:tcPr>
          <w:p w14:paraId="4397DAD0" w14:textId="77777777" w:rsidR="00DA702B" w:rsidRPr="00DA702B" w:rsidRDefault="00DA702B" w:rsidP="00DA702B">
            <w:pPr>
              <w:rPr>
                <w:sz w:val="20"/>
                <w:szCs w:val="20"/>
              </w:rPr>
            </w:pPr>
          </w:p>
        </w:tc>
        <w:tc>
          <w:tcPr>
            <w:tcW w:w="1800" w:type="dxa"/>
          </w:tcPr>
          <w:p w14:paraId="33B23B60" w14:textId="77777777" w:rsidR="00DA702B" w:rsidRPr="00DA702B" w:rsidRDefault="00DA702B" w:rsidP="00DA702B">
            <w:pPr>
              <w:rPr>
                <w:sz w:val="20"/>
                <w:szCs w:val="20"/>
              </w:rPr>
            </w:pPr>
          </w:p>
        </w:tc>
        <w:tc>
          <w:tcPr>
            <w:tcW w:w="1800" w:type="dxa"/>
          </w:tcPr>
          <w:p w14:paraId="579C953C" w14:textId="77777777" w:rsidR="00DA702B" w:rsidRPr="00DA702B" w:rsidRDefault="00DA702B" w:rsidP="00DA702B">
            <w:pPr>
              <w:rPr>
                <w:sz w:val="20"/>
                <w:szCs w:val="20"/>
              </w:rPr>
            </w:pPr>
          </w:p>
        </w:tc>
        <w:tc>
          <w:tcPr>
            <w:tcW w:w="1800" w:type="dxa"/>
          </w:tcPr>
          <w:p w14:paraId="2D1603F4" w14:textId="77777777" w:rsidR="00DA702B" w:rsidRPr="00DA702B" w:rsidRDefault="00DA702B" w:rsidP="00DA702B">
            <w:pPr>
              <w:rPr>
                <w:sz w:val="20"/>
                <w:szCs w:val="20"/>
              </w:rPr>
            </w:pPr>
          </w:p>
        </w:tc>
        <w:tc>
          <w:tcPr>
            <w:tcW w:w="1800" w:type="dxa"/>
          </w:tcPr>
          <w:p w14:paraId="40A2635C" w14:textId="77777777" w:rsidR="00DA702B" w:rsidRPr="00DA702B" w:rsidRDefault="00DA702B" w:rsidP="00DA702B">
            <w:pPr>
              <w:rPr>
                <w:sz w:val="20"/>
                <w:szCs w:val="20"/>
              </w:rPr>
            </w:pPr>
          </w:p>
        </w:tc>
      </w:tr>
      <w:tr w:rsidR="00DA702B" w:rsidRPr="00DA702B" w14:paraId="5F9862D1" w14:textId="77777777" w:rsidTr="00247007">
        <w:trPr>
          <w:cantSplit/>
          <w:trHeight w:val="346"/>
          <w:tblHeader/>
        </w:trPr>
        <w:tc>
          <w:tcPr>
            <w:tcW w:w="1800" w:type="dxa"/>
          </w:tcPr>
          <w:p w14:paraId="6636BD66" w14:textId="77777777" w:rsidR="00DA702B" w:rsidRPr="00DA702B" w:rsidRDefault="00DA702B" w:rsidP="00DA702B">
            <w:pPr>
              <w:rPr>
                <w:sz w:val="20"/>
                <w:szCs w:val="20"/>
              </w:rPr>
            </w:pPr>
          </w:p>
        </w:tc>
        <w:tc>
          <w:tcPr>
            <w:tcW w:w="1800" w:type="dxa"/>
          </w:tcPr>
          <w:p w14:paraId="5D0CE97D" w14:textId="77777777" w:rsidR="00DA702B" w:rsidRPr="00DA702B" w:rsidRDefault="00DA702B" w:rsidP="00DA702B">
            <w:pPr>
              <w:rPr>
                <w:sz w:val="20"/>
                <w:szCs w:val="20"/>
              </w:rPr>
            </w:pPr>
          </w:p>
        </w:tc>
        <w:tc>
          <w:tcPr>
            <w:tcW w:w="1800" w:type="dxa"/>
          </w:tcPr>
          <w:p w14:paraId="53664EC7" w14:textId="77777777" w:rsidR="00DA702B" w:rsidRPr="00DA702B" w:rsidRDefault="00DA702B" w:rsidP="00DA702B">
            <w:pPr>
              <w:rPr>
                <w:sz w:val="20"/>
                <w:szCs w:val="20"/>
              </w:rPr>
            </w:pPr>
          </w:p>
        </w:tc>
        <w:tc>
          <w:tcPr>
            <w:tcW w:w="1800" w:type="dxa"/>
          </w:tcPr>
          <w:p w14:paraId="16E9177D" w14:textId="77777777" w:rsidR="00DA702B" w:rsidRPr="00DA702B" w:rsidRDefault="00DA702B" w:rsidP="00DA702B">
            <w:pPr>
              <w:rPr>
                <w:sz w:val="20"/>
                <w:szCs w:val="20"/>
              </w:rPr>
            </w:pPr>
          </w:p>
        </w:tc>
        <w:tc>
          <w:tcPr>
            <w:tcW w:w="1800" w:type="dxa"/>
          </w:tcPr>
          <w:p w14:paraId="0736DF2B" w14:textId="77777777" w:rsidR="00DA702B" w:rsidRPr="00DA702B" w:rsidRDefault="00DA702B" w:rsidP="00DA702B">
            <w:pPr>
              <w:rPr>
                <w:sz w:val="20"/>
                <w:szCs w:val="20"/>
              </w:rPr>
            </w:pPr>
          </w:p>
        </w:tc>
        <w:tc>
          <w:tcPr>
            <w:tcW w:w="1800" w:type="dxa"/>
          </w:tcPr>
          <w:p w14:paraId="5F1C3668" w14:textId="77777777" w:rsidR="00DA702B" w:rsidRPr="00DA702B" w:rsidRDefault="00DA702B" w:rsidP="00DA702B">
            <w:pPr>
              <w:rPr>
                <w:sz w:val="20"/>
                <w:szCs w:val="20"/>
              </w:rPr>
            </w:pPr>
          </w:p>
        </w:tc>
        <w:tc>
          <w:tcPr>
            <w:tcW w:w="1800" w:type="dxa"/>
          </w:tcPr>
          <w:p w14:paraId="5860200D" w14:textId="77777777" w:rsidR="00DA702B" w:rsidRPr="00DA702B" w:rsidRDefault="00DA702B" w:rsidP="00DA702B">
            <w:pPr>
              <w:rPr>
                <w:sz w:val="20"/>
                <w:szCs w:val="20"/>
              </w:rPr>
            </w:pPr>
          </w:p>
        </w:tc>
        <w:tc>
          <w:tcPr>
            <w:tcW w:w="1800" w:type="dxa"/>
          </w:tcPr>
          <w:p w14:paraId="7ABA7E9E" w14:textId="77777777" w:rsidR="00DA702B" w:rsidRPr="00DA702B" w:rsidRDefault="00DA702B" w:rsidP="00DA702B">
            <w:pPr>
              <w:rPr>
                <w:sz w:val="20"/>
                <w:szCs w:val="20"/>
              </w:rPr>
            </w:pPr>
          </w:p>
        </w:tc>
      </w:tr>
      <w:tr w:rsidR="00DA702B" w:rsidRPr="00DA702B" w14:paraId="0383B27D" w14:textId="77777777" w:rsidTr="00247007">
        <w:trPr>
          <w:cantSplit/>
          <w:trHeight w:val="346"/>
          <w:tblHeader/>
        </w:trPr>
        <w:tc>
          <w:tcPr>
            <w:tcW w:w="1800" w:type="dxa"/>
          </w:tcPr>
          <w:p w14:paraId="7413C9A9" w14:textId="77777777" w:rsidR="00DA702B" w:rsidRPr="00DA702B" w:rsidRDefault="00DA702B" w:rsidP="00DA702B">
            <w:pPr>
              <w:rPr>
                <w:sz w:val="20"/>
                <w:szCs w:val="20"/>
              </w:rPr>
            </w:pPr>
          </w:p>
        </w:tc>
        <w:tc>
          <w:tcPr>
            <w:tcW w:w="1800" w:type="dxa"/>
          </w:tcPr>
          <w:p w14:paraId="362C3B27" w14:textId="77777777" w:rsidR="00DA702B" w:rsidRPr="00DA702B" w:rsidRDefault="00DA702B" w:rsidP="00DA702B">
            <w:pPr>
              <w:rPr>
                <w:sz w:val="20"/>
                <w:szCs w:val="20"/>
              </w:rPr>
            </w:pPr>
          </w:p>
        </w:tc>
        <w:tc>
          <w:tcPr>
            <w:tcW w:w="1800" w:type="dxa"/>
          </w:tcPr>
          <w:p w14:paraId="59E60A3A" w14:textId="77777777" w:rsidR="00DA702B" w:rsidRPr="00DA702B" w:rsidRDefault="00DA702B" w:rsidP="00DA702B">
            <w:pPr>
              <w:rPr>
                <w:sz w:val="20"/>
                <w:szCs w:val="20"/>
              </w:rPr>
            </w:pPr>
          </w:p>
        </w:tc>
        <w:tc>
          <w:tcPr>
            <w:tcW w:w="1800" w:type="dxa"/>
          </w:tcPr>
          <w:p w14:paraId="692342B6" w14:textId="77777777" w:rsidR="00DA702B" w:rsidRPr="00DA702B" w:rsidRDefault="00DA702B" w:rsidP="00DA702B">
            <w:pPr>
              <w:rPr>
                <w:sz w:val="20"/>
                <w:szCs w:val="20"/>
              </w:rPr>
            </w:pPr>
          </w:p>
        </w:tc>
        <w:tc>
          <w:tcPr>
            <w:tcW w:w="1800" w:type="dxa"/>
          </w:tcPr>
          <w:p w14:paraId="08C332B0" w14:textId="77777777" w:rsidR="00DA702B" w:rsidRPr="00DA702B" w:rsidRDefault="00DA702B" w:rsidP="00DA702B">
            <w:pPr>
              <w:rPr>
                <w:sz w:val="20"/>
                <w:szCs w:val="20"/>
              </w:rPr>
            </w:pPr>
          </w:p>
        </w:tc>
        <w:tc>
          <w:tcPr>
            <w:tcW w:w="1800" w:type="dxa"/>
          </w:tcPr>
          <w:p w14:paraId="437C3300" w14:textId="77777777" w:rsidR="00DA702B" w:rsidRPr="00DA702B" w:rsidRDefault="00DA702B" w:rsidP="00DA702B">
            <w:pPr>
              <w:rPr>
                <w:sz w:val="20"/>
                <w:szCs w:val="20"/>
              </w:rPr>
            </w:pPr>
          </w:p>
        </w:tc>
        <w:tc>
          <w:tcPr>
            <w:tcW w:w="1800" w:type="dxa"/>
          </w:tcPr>
          <w:p w14:paraId="0EBD4F29" w14:textId="77777777" w:rsidR="00DA702B" w:rsidRPr="00DA702B" w:rsidRDefault="00DA702B" w:rsidP="00DA702B">
            <w:pPr>
              <w:rPr>
                <w:sz w:val="20"/>
                <w:szCs w:val="20"/>
              </w:rPr>
            </w:pPr>
          </w:p>
        </w:tc>
        <w:tc>
          <w:tcPr>
            <w:tcW w:w="1800" w:type="dxa"/>
          </w:tcPr>
          <w:p w14:paraId="0F92884D" w14:textId="77777777" w:rsidR="00DA702B" w:rsidRPr="00DA702B" w:rsidRDefault="00DA702B" w:rsidP="00DA702B">
            <w:pPr>
              <w:rPr>
                <w:sz w:val="20"/>
                <w:szCs w:val="20"/>
              </w:rPr>
            </w:pPr>
          </w:p>
        </w:tc>
      </w:tr>
      <w:tr w:rsidR="00DA702B" w:rsidRPr="00DA702B" w14:paraId="7FB363AF" w14:textId="77777777" w:rsidTr="00247007">
        <w:trPr>
          <w:cantSplit/>
          <w:trHeight w:val="346"/>
          <w:tblHeader/>
        </w:trPr>
        <w:tc>
          <w:tcPr>
            <w:tcW w:w="1800" w:type="dxa"/>
          </w:tcPr>
          <w:p w14:paraId="6E6327F2" w14:textId="77777777" w:rsidR="00DA702B" w:rsidRPr="00DA702B" w:rsidRDefault="00DA702B" w:rsidP="00DA702B">
            <w:pPr>
              <w:rPr>
                <w:sz w:val="20"/>
                <w:szCs w:val="20"/>
              </w:rPr>
            </w:pPr>
          </w:p>
        </w:tc>
        <w:tc>
          <w:tcPr>
            <w:tcW w:w="1800" w:type="dxa"/>
          </w:tcPr>
          <w:p w14:paraId="6D005424" w14:textId="77777777" w:rsidR="00DA702B" w:rsidRPr="00DA702B" w:rsidRDefault="00DA702B" w:rsidP="00DA702B">
            <w:pPr>
              <w:rPr>
                <w:sz w:val="20"/>
                <w:szCs w:val="20"/>
              </w:rPr>
            </w:pPr>
          </w:p>
        </w:tc>
        <w:tc>
          <w:tcPr>
            <w:tcW w:w="1800" w:type="dxa"/>
          </w:tcPr>
          <w:p w14:paraId="40A8D234" w14:textId="77777777" w:rsidR="00DA702B" w:rsidRPr="00DA702B" w:rsidRDefault="00DA702B" w:rsidP="00DA702B">
            <w:pPr>
              <w:rPr>
                <w:sz w:val="20"/>
                <w:szCs w:val="20"/>
              </w:rPr>
            </w:pPr>
          </w:p>
        </w:tc>
        <w:tc>
          <w:tcPr>
            <w:tcW w:w="1800" w:type="dxa"/>
          </w:tcPr>
          <w:p w14:paraId="2794E8BD" w14:textId="77777777" w:rsidR="00DA702B" w:rsidRPr="00DA702B" w:rsidRDefault="00DA702B" w:rsidP="00DA702B">
            <w:pPr>
              <w:rPr>
                <w:sz w:val="20"/>
                <w:szCs w:val="20"/>
              </w:rPr>
            </w:pPr>
          </w:p>
        </w:tc>
        <w:tc>
          <w:tcPr>
            <w:tcW w:w="1800" w:type="dxa"/>
          </w:tcPr>
          <w:p w14:paraId="16B157F4" w14:textId="77777777" w:rsidR="00DA702B" w:rsidRPr="00DA702B" w:rsidRDefault="00DA702B" w:rsidP="00DA702B">
            <w:pPr>
              <w:rPr>
                <w:sz w:val="20"/>
                <w:szCs w:val="20"/>
              </w:rPr>
            </w:pPr>
          </w:p>
        </w:tc>
        <w:tc>
          <w:tcPr>
            <w:tcW w:w="1800" w:type="dxa"/>
          </w:tcPr>
          <w:p w14:paraId="2C87F572" w14:textId="77777777" w:rsidR="00DA702B" w:rsidRPr="00DA702B" w:rsidRDefault="00DA702B" w:rsidP="00DA702B">
            <w:pPr>
              <w:rPr>
                <w:sz w:val="20"/>
                <w:szCs w:val="20"/>
              </w:rPr>
            </w:pPr>
          </w:p>
        </w:tc>
        <w:tc>
          <w:tcPr>
            <w:tcW w:w="1800" w:type="dxa"/>
          </w:tcPr>
          <w:p w14:paraId="76DFED07" w14:textId="77777777" w:rsidR="00DA702B" w:rsidRPr="00DA702B" w:rsidRDefault="00DA702B" w:rsidP="00DA702B">
            <w:pPr>
              <w:rPr>
                <w:sz w:val="20"/>
                <w:szCs w:val="20"/>
              </w:rPr>
            </w:pPr>
          </w:p>
        </w:tc>
        <w:tc>
          <w:tcPr>
            <w:tcW w:w="1800" w:type="dxa"/>
          </w:tcPr>
          <w:p w14:paraId="079524DA" w14:textId="77777777" w:rsidR="00DA702B" w:rsidRPr="00DA702B" w:rsidRDefault="00DA702B" w:rsidP="00DA702B">
            <w:pPr>
              <w:rPr>
                <w:sz w:val="20"/>
                <w:szCs w:val="20"/>
              </w:rPr>
            </w:pPr>
          </w:p>
        </w:tc>
      </w:tr>
      <w:tr w:rsidR="00DA702B" w:rsidRPr="00DA702B" w14:paraId="4FE85730" w14:textId="77777777" w:rsidTr="00247007">
        <w:trPr>
          <w:cantSplit/>
          <w:trHeight w:val="346"/>
          <w:tblHeader/>
        </w:trPr>
        <w:tc>
          <w:tcPr>
            <w:tcW w:w="1800" w:type="dxa"/>
          </w:tcPr>
          <w:p w14:paraId="20041C06" w14:textId="77777777" w:rsidR="00DA702B" w:rsidRPr="00DA702B" w:rsidRDefault="00DA702B" w:rsidP="00DA702B">
            <w:pPr>
              <w:rPr>
                <w:sz w:val="20"/>
                <w:szCs w:val="20"/>
              </w:rPr>
            </w:pPr>
          </w:p>
        </w:tc>
        <w:tc>
          <w:tcPr>
            <w:tcW w:w="1800" w:type="dxa"/>
          </w:tcPr>
          <w:p w14:paraId="58B3D7F0" w14:textId="77777777" w:rsidR="00DA702B" w:rsidRPr="00DA702B" w:rsidRDefault="00DA702B" w:rsidP="00DA702B">
            <w:pPr>
              <w:rPr>
                <w:sz w:val="20"/>
                <w:szCs w:val="20"/>
              </w:rPr>
            </w:pPr>
          </w:p>
        </w:tc>
        <w:tc>
          <w:tcPr>
            <w:tcW w:w="1800" w:type="dxa"/>
          </w:tcPr>
          <w:p w14:paraId="066FF027" w14:textId="77777777" w:rsidR="00DA702B" w:rsidRPr="00DA702B" w:rsidRDefault="00DA702B" w:rsidP="00DA702B">
            <w:pPr>
              <w:rPr>
                <w:sz w:val="20"/>
                <w:szCs w:val="20"/>
              </w:rPr>
            </w:pPr>
          </w:p>
        </w:tc>
        <w:tc>
          <w:tcPr>
            <w:tcW w:w="1800" w:type="dxa"/>
          </w:tcPr>
          <w:p w14:paraId="0F5CB31B" w14:textId="77777777" w:rsidR="00DA702B" w:rsidRPr="00DA702B" w:rsidRDefault="00DA702B" w:rsidP="00DA702B">
            <w:pPr>
              <w:rPr>
                <w:sz w:val="20"/>
                <w:szCs w:val="20"/>
              </w:rPr>
            </w:pPr>
          </w:p>
        </w:tc>
        <w:tc>
          <w:tcPr>
            <w:tcW w:w="1800" w:type="dxa"/>
          </w:tcPr>
          <w:p w14:paraId="724FC95B" w14:textId="77777777" w:rsidR="00DA702B" w:rsidRPr="00DA702B" w:rsidRDefault="00DA702B" w:rsidP="00DA702B">
            <w:pPr>
              <w:rPr>
                <w:sz w:val="20"/>
                <w:szCs w:val="20"/>
              </w:rPr>
            </w:pPr>
          </w:p>
        </w:tc>
        <w:tc>
          <w:tcPr>
            <w:tcW w:w="1800" w:type="dxa"/>
          </w:tcPr>
          <w:p w14:paraId="79EC8AE3" w14:textId="77777777" w:rsidR="00DA702B" w:rsidRPr="00DA702B" w:rsidRDefault="00DA702B" w:rsidP="00DA702B">
            <w:pPr>
              <w:rPr>
                <w:sz w:val="20"/>
                <w:szCs w:val="20"/>
              </w:rPr>
            </w:pPr>
          </w:p>
        </w:tc>
        <w:tc>
          <w:tcPr>
            <w:tcW w:w="1800" w:type="dxa"/>
          </w:tcPr>
          <w:p w14:paraId="029916C9" w14:textId="77777777" w:rsidR="00DA702B" w:rsidRPr="00DA702B" w:rsidRDefault="00DA702B" w:rsidP="00DA702B">
            <w:pPr>
              <w:rPr>
                <w:sz w:val="20"/>
                <w:szCs w:val="20"/>
              </w:rPr>
            </w:pPr>
          </w:p>
        </w:tc>
        <w:tc>
          <w:tcPr>
            <w:tcW w:w="1800" w:type="dxa"/>
          </w:tcPr>
          <w:p w14:paraId="460BDB49" w14:textId="77777777" w:rsidR="00DA702B" w:rsidRPr="00DA702B" w:rsidRDefault="00DA702B" w:rsidP="00DA702B">
            <w:pPr>
              <w:rPr>
                <w:sz w:val="20"/>
                <w:szCs w:val="20"/>
              </w:rPr>
            </w:pPr>
          </w:p>
        </w:tc>
      </w:tr>
      <w:tr w:rsidR="00DA702B" w:rsidRPr="00DA702B" w14:paraId="271600BF" w14:textId="77777777" w:rsidTr="00247007">
        <w:trPr>
          <w:cantSplit/>
          <w:trHeight w:val="346"/>
          <w:tblHeader/>
        </w:trPr>
        <w:tc>
          <w:tcPr>
            <w:tcW w:w="1800" w:type="dxa"/>
          </w:tcPr>
          <w:p w14:paraId="1F65AAD9" w14:textId="77777777" w:rsidR="00DA702B" w:rsidRPr="00DA702B" w:rsidRDefault="00DA702B" w:rsidP="00DA702B">
            <w:pPr>
              <w:rPr>
                <w:sz w:val="20"/>
                <w:szCs w:val="20"/>
              </w:rPr>
            </w:pPr>
          </w:p>
        </w:tc>
        <w:tc>
          <w:tcPr>
            <w:tcW w:w="1800" w:type="dxa"/>
          </w:tcPr>
          <w:p w14:paraId="1A581B94" w14:textId="77777777" w:rsidR="00DA702B" w:rsidRPr="00DA702B" w:rsidRDefault="00DA702B" w:rsidP="00DA702B">
            <w:pPr>
              <w:rPr>
                <w:sz w:val="20"/>
                <w:szCs w:val="20"/>
              </w:rPr>
            </w:pPr>
          </w:p>
        </w:tc>
        <w:tc>
          <w:tcPr>
            <w:tcW w:w="1800" w:type="dxa"/>
          </w:tcPr>
          <w:p w14:paraId="4126C0F3" w14:textId="77777777" w:rsidR="00DA702B" w:rsidRPr="00DA702B" w:rsidRDefault="00DA702B" w:rsidP="00DA702B">
            <w:pPr>
              <w:rPr>
                <w:sz w:val="20"/>
                <w:szCs w:val="20"/>
              </w:rPr>
            </w:pPr>
          </w:p>
        </w:tc>
        <w:tc>
          <w:tcPr>
            <w:tcW w:w="1800" w:type="dxa"/>
          </w:tcPr>
          <w:p w14:paraId="06C50F5C" w14:textId="77777777" w:rsidR="00DA702B" w:rsidRPr="00DA702B" w:rsidRDefault="00DA702B" w:rsidP="00DA702B">
            <w:pPr>
              <w:rPr>
                <w:sz w:val="20"/>
                <w:szCs w:val="20"/>
              </w:rPr>
            </w:pPr>
          </w:p>
        </w:tc>
        <w:tc>
          <w:tcPr>
            <w:tcW w:w="1800" w:type="dxa"/>
          </w:tcPr>
          <w:p w14:paraId="50EAF12C" w14:textId="77777777" w:rsidR="00DA702B" w:rsidRPr="00DA702B" w:rsidRDefault="00DA702B" w:rsidP="00DA702B">
            <w:pPr>
              <w:rPr>
                <w:sz w:val="20"/>
                <w:szCs w:val="20"/>
              </w:rPr>
            </w:pPr>
          </w:p>
        </w:tc>
        <w:tc>
          <w:tcPr>
            <w:tcW w:w="1800" w:type="dxa"/>
          </w:tcPr>
          <w:p w14:paraId="6032FA07" w14:textId="77777777" w:rsidR="00DA702B" w:rsidRPr="00DA702B" w:rsidRDefault="00DA702B" w:rsidP="00DA702B">
            <w:pPr>
              <w:rPr>
                <w:sz w:val="20"/>
                <w:szCs w:val="20"/>
              </w:rPr>
            </w:pPr>
          </w:p>
        </w:tc>
        <w:tc>
          <w:tcPr>
            <w:tcW w:w="1800" w:type="dxa"/>
          </w:tcPr>
          <w:p w14:paraId="1EAEBE9A" w14:textId="77777777" w:rsidR="00DA702B" w:rsidRPr="00DA702B" w:rsidRDefault="00DA702B" w:rsidP="00DA702B">
            <w:pPr>
              <w:rPr>
                <w:sz w:val="20"/>
                <w:szCs w:val="20"/>
              </w:rPr>
            </w:pPr>
          </w:p>
        </w:tc>
        <w:tc>
          <w:tcPr>
            <w:tcW w:w="1800" w:type="dxa"/>
          </w:tcPr>
          <w:p w14:paraId="30D2EE8A" w14:textId="77777777" w:rsidR="00DA702B" w:rsidRPr="00DA702B" w:rsidRDefault="00DA702B" w:rsidP="00DA702B">
            <w:pPr>
              <w:rPr>
                <w:sz w:val="20"/>
                <w:szCs w:val="20"/>
              </w:rPr>
            </w:pPr>
          </w:p>
        </w:tc>
      </w:tr>
      <w:tr w:rsidR="00DA702B" w:rsidRPr="00DA702B" w14:paraId="5D9D295F" w14:textId="77777777" w:rsidTr="00247007">
        <w:trPr>
          <w:cantSplit/>
          <w:trHeight w:val="346"/>
          <w:tblHeader/>
        </w:trPr>
        <w:tc>
          <w:tcPr>
            <w:tcW w:w="1800" w:type="dxa"/>
          </w:tcPr>
          <w:p w14:paraId="12276659" w14:textId="77777777" w:rsidR="00DA702B" w:rsidRPr="00DA702B" w:rsidRDefault="00DA702B" w:rsidP="00DA702B">
            <w:pPr>
              <w:rPr>
                <w:sz w:val="20"/>
                <w:szCs w:val="20"/>
              </w:rPr>
            </w:pPr>
          </w:p>
        </w:tc>
        <w:tc>
          <w:tcPr>
            <w:tcW w:w="1800" w:type="dxa"/>
          </w:tcPr>
          <w:p w14:paraId="0C8E1856" w14:textId="77777777" w:rsidR="00DA702B" w:rsidRPr="00DA702B" w:rsidRDefault="00DA702B" w:rsidP="00DA702B">
            <w:pPr>
              <w:rPr>
                <w:sz w:val="20"/>
                <w:szCs w:val="20"/>
              </w:rPr>
            </w:pPr>
          </w:p>
        </w:tc>
        <w:tc>
          <w:tcPr>
            <w:tcW w:w="1800" w:type="dxa"/>
          </w:tcPr>
          <w:p w14:paraId="424850F7" w14:textId="77777777" w:rsidR="00DA702B" w:rsidRPr="00DA702B" w:rsidRDefault="00DA702B" w:rsidP="00DA702B">
            <w:pPr>
              <w:rPr>
                <w:sz w:val="20"/>
                <w:szCs w:val="20"/>
              </w:rPr>
            </w:pPr>
          </w:p>
        </w:tc>
        <w:tc>
          <w:tcPr>
            <w:tcW w:w="1800" w:type="dxa"/>
          </w:tcPr>
          <w:p w14:paraId="6B56F6A2" w14:textId="77777777" w:rsidR="00DA702B" w:rsidRPr="00DA702B" w:rsidRDefault="00DA702B" w:rsidP="00DA702B">
            <w:pPr>
              <w:rPr>
                <w:sz w:val="20"/>
                <w:szCs w:val="20"/>
              </w:rPr>
            </w:pPr>
          </w:p>
        </w:tc>
        <w:tc>
          <w:tcPr>
            <w:tcW w:w="1800" w:type="dxa"/>
          </w:tcPr>
          <w:p w14:paraId="02409C11" w14:textId="77777777" w:rsidR="00DA702B" w:rsidRPr="00DA702B" w:rsidRDefault="00DA702B" w:rsidP="00DA702B">
            <w:pPr>
              <w:rPr>
                <w:sz w:val="20"/>
                <w:szCs w:val="20"/>
              </w:rPr>
            </w:pPr>
          </w:p>
        </w:tc>
        <w:tc>
          <w:tcPr>
            <w:tcW w:w="1800" w:type="dxa"/>
          </w:tcPr>
          <w:p w14:paraId="03AFEB5B" w14:textId="77777777" w:rsidR="00DA702B" w:rsidRPr="00DA702B" w:rsidRDefault="00DA702B" w:rsidP="00DA702B">
            <w:pPr>
              <w:rPr>
                <w:sz w:val="20"/>
                <w:szCs w:val="20"/>
              </w:rPr>
            </w:pPr>
          </w:p>
        </w:tc>
        <w:tc>
          <w:tcPr>
            <w:tcW w:w="1800" w:type="dxa"/>
          </w:tcPr>
          <w:p w14:paraId="0EE4B7DD" w14:textId="77777777" w:rsidR="00DA702B" w:rsidRPr="00DA702B" w:rsidRDefault="00DA702B" w:rsidP="00DA702B">
            <w:pPr>
              <w:rPr>
                <w:sz w:val="20"/>
                <w:szCs w:val="20"/>
              </w:rPr>
            </w:pPr>
          </w:p>
        </w:tc>
        <w:tc>
          <w:tcPr>
            <w:tcW w:w="1800" w:type="dxa"/>
          </w:tcPr>
          <w:p w14:paraId="776E4D6C" w14:textId="77777777" w:rsidR="00DA702B" w:rsidRPr="00DA702B" w:rsidRDefault="00DA702B" w:rsidP="00DA702B">
            <w:pPr>
              <w:rPr>
                <w:sz w:val="20"/>
                <w:szCs w:val="20"/>
              </w:rPr>
            </w:pPr>
          </w:p>
        </w:tc>
      </w:tr>
      <w:tr w:rsidR="00DA702B" w:rsidRPr="00DA702B" w14:paraId="41178235" w14:textId="77777777" w:rsidTr="00247007">
        <w:trPr>
          <w:cantSplit/>
          <w:trHeight w:val="346"/>
          <w:tblHeader/>
        </w:trPr>
        <w:tc>
          <w:tcPr>
            <w:tcW w:w="1800" w:type="dxa"/>
          </w:tcPr>
          <w:p w14:paraId="714910C7" w14:textId="77777777" w:rsidR="00DA702B" w:rsidRPr="00DA702B" w:rsidRDefault="00DA702B" w:rsidP="00DA702B">
            <w:pPr>
              <w:rPr>
                <w:sz w:val="20"/>
                <w:szCs w:val="20"/>
              </w:rPr>
            </w:pPr>
          </w:p>
        </w:tc>
        <w:tc>
          <w:tcPr>
            <w:tcW w:w="1800" w:type="dxa"/>
          </w:tcPr>
          <w:p w14:paraId="1B159862" w14:textId="77777777" w:rsidR="00DA702B" w:rsidRPr="00DA702B" w:rsidRDefault="00DA702B" w:rsidP="00DA702B">
            <w:pPr>
              <w:rPr>
                <w:sz w:val="20"/>
                <w:szCs w:val="20"/>
              </w:rPr>
            </w:pPr>
          </w:p>
        </w:tc>
        <w:tc>
          <w:tcPr>
            <w:tcW w:w="1800" w:type="dxa"/>
          </w:tcPr>
          <w:p w14:paraId="2683A545" w14:textId="77777777" w:rsidR="00DA702B" w:rsidRPr="00DA702B" w:rsidRDefault="00DA702B" w:rsidP="00DA702B">
            <w:pPr>
              <w:rPr>
                <w:sz w:val="20"/>
                <w:szCs w:val="20"/>
              </w:rPr>
            </w:pPr>
          </w:p>
        </w:tc>
        <w:tc>
          <w:tcPr>
            <w:tcW w:w="1800" w:type="dxa"/>
          </w:tcPr>
          <w:p w14:paraId="23680E5A" w14:textId="77777777" w:rsidR="00DA702B" w:rsidRPr="00DA702B" w:rsidRDefault="00DA702B" w:rsidP="00DA702B">
            <w:pPr>
              <w:rPr>
                <w:sz w:val="20"/>
                <w:szCs w:val="20"/>
              </w:rPr>
            </w:pPr>
          </w:p>
        </w:tc>
        <w:tc>
          <w:tcPr>
            <w:tcW w:w="1800" w:type="dxa"/>
          </w:tcPr>
          <w:p w14:paraId="69FB54B4" w14:textId="77777777" w:rsidR="00DA702B" w:rsidRPr="00DA702B" w:rsidRDefault="00DA702B" w:rsidP="00DA702B">
            <w:pPr>
              <w:rPr>
                <w:sz w:val="20"/>
                <w:szCs w:val="20"/>
              </w:rPr>
            </w:pPr>
          </w:p>
        </w:tc>
        <w:tc>
          <w:tcPr>
            <w:tcW w:w="1800" w:type="dxa"/>
          </w:tcPr>
          <w:p w14:paraId="69ED7E91" w14:textId="77777777" w:rsidR="00DA702B" w:rsidRPr="00DA702B" w:rsidRDefault="00DA702B" w:rsidP="00DA702B">
            <w:pPr>
              <w:rPr>
                <w:sz w:val="20"/>
                <w:szCs w:val="20"/>
              </w:rPr>
            </w:pPr>
          </w:p>
        </w:tc>
        <w:tc>
          <w:tcPr>
            <w:tcW w:w="1800" w:type="dxa"/>
          </w:tcPr>
          <w:p w14:paraId="571D6035" w14:textId="77777777" w:rsidR="00DA702B" w:rsidRPr="00DA702B" w:rsidRDefault="00DA702B" w:rsidP="00DA702B">
            <w:pPr>
              <w:rPr>
                <w:sz w:val="20"/>
                <w:szCs w:val="20"/>
              </w:rPr>
            </w:pPr>
          </w:p>
        </w:tc>
        <w:tc>
          <w:tcPr>
            <w:tcW w:w="1800" w:type="dxa"/>
          </w:tcPr>
          <w:p w14:paraId="1D00C1CC" w14:textId="77777777" w:rsidR="00DA702B" w:rsidRPr="00DA702B" w:rsidRDefault="00DA702B" w:rsidP="00DA702B">
            <w:pPr>
              <w:rPr>
                <w:sz w:val="20"/>
                <w:szCs w:val="20"/>
              </w:rPr>
            </w:pPr>
          </w:p>
        </w:tc>
      </w:tr>
      <w:tr w:rsidR="00DA702B" w:rsidRPr="00DA702B" w14:paraId="19241E6F" w14:textId="77777777" w:rsidTr="00247007">
        <w:trPr>
          <w:cantSplit/>
          <w:trHeight w:val="346"/>
          <w:tblHeader/>
        </w:trPr>
        <w:tc>
          <w:tcPr>
            <w:tcW w:w="1800" w:type="dxa"/>
          </w:tcPr>
          <w:p w14:paraId="3DEAEF97" w14:textId="77777777" w:rsidR="00DA702B" w:rsidRPr="00DA702B" w:rsidRDefault="00DA702B" w:rsidP="00DA702B">
            <w:pPr>
              <w:rPr>
                <w:sz w:val="20"/>
                <w:szCs w:val="20"/>
              </w:rPr>
            </w:pPr>
          </w:p>
        </w:tc>
        <w:tc>
          <w:tcPr>
            <w:tcW w:w="1800" w:type="dxa"/>
          </w:tcPr>
          <w:p w14:paraId="78F64081" w14:textId="77777777" w:rsidR="00DA702B" w:rsidRPr="00DA702B" w:rsidRDefault="00DA702B" w:rsidP="00DA702B">
            <w:pPr>
              <w:rPr>
                <w:sz w:val="20"/>
                <w:szCs w:val="20"/>
              </w:rPr>
            </w:pPr>
          </w:p>
        </w:tc>
        <w:tc>
          <w:tcPr>
            <w:tcW w:w="1800" w:type="dxa"/>
          </w:tcPr>
          <w:p w14:paraId="1A158E1A" w14:textId="77777777" w:rsidR="00DA702B" w:rsidRPr="00DA702B" w:rsidRDefault="00DA702B" w:rsidP="00DA702B">
            <w:pPr>
              <w:rPr>
                <w:sz w:val="20"/>
                <w:szCs w:val="20"/>
              </w:rPr>
            </w:pPr>
          </w:p>
        </w:tc>
        <w:tc>
          <w:tcPr>
            <w:tcW w:w="1800" w:type="dxa"/>
          </w:tcPr>
          <w:p w14:paraId="47F92B06" w14:textId="77777777" w:rsidR="00DA702B" w:rsidRPr="00DA702B" w:rsidRDefault="00DA702B" w:rsidP="00DA702B">
            <w:pPr>
              <w:rPr>
                <w:sz w:val="20"/>
                <w:szCs w:val="20"/>
              </w:rPr>
            </w:pPr>
          </w:p>
        </w:tc>
        <w:tc>
          <w:tcPr>
            <w:tcW w:w="1800" w:type="dxa"/>
          </w:tcPr>
          <w:p w14:paraId="3CF46C22" w14:textId="77777777" w:rsidR="00DA702B" w:rsidRPr="00DA702B" w:rsidRDefault="00DA702B" w:rsidP="00DA702B">
            <w:pPr>
              <w:rPr>
                <w:sz w:val="20"/>
                <w:szCs w:val="20"/>
              </w:rPr>
            </w:pPr>
          </w:p>
        </w:tc>
        <w:tc>
          <w:tcPr>
            <w:tcW w:w="1800" w:type="dxa"/>
          </w:tcPr>
          <w:p w14:paraId="07E51DDC" w14:textId="77777777" w:rsidR="00DA702B" w:rsidRPr="00DA702B" w:rsidRDefault="00DA702B" w:rsidP="00DA702B">
            <w:pPr>
              <w:rPr>
                <w:sz w:val="20"/>
                <w:szCs w:val="20"/>
              </w:rPr>
            </w:pPr>
          </w:p>
        </w:tc>
        <w:tc>
          <w:tcPr>
            <w:tcW w:w="1800" w:type="dxa"/>
          </w:tcPr>
          <w:p w14:paraId="7BB73BAA" w14:textId="77777777" w:rsidR="00DA702B" w:rsidRPr="00DA702B" w:rsidRDefault="00DA702B" w:rsidP="00DA702B">
            <w:pPr>
              <w:rPr>
                <w:sz w:val="20"/>
                <w:szCs w:val="20"/>
              </w:rPr>
            </w:pPr>
          </w:p>
        </w:tc>
        <w:tc>
          <w:tcPr>
            <w:tcW w:w="1800" w:type="dxa"/>
          </w:tcPr>
          <w:p w14:paraId="3F78D22F" w14:textId="77777777" w:rsidR="00DA702B" w:rsidRPr="00DA702B" w:rsidRDefault="00DA702B" w:rsidP="00DA702B">
            <w:pPr>
              <w:rPr>
                <w:sz w:val="20"/>
                <w:szCs w:val="20"/>
              </w:rPr>
            </w:pPr>
          </w:p>
        </w:tc>
      </w:tr>
    </w:tbl>
    <w:p w14:paraId="19B03522" w14:textId="5118B96A" w:rsidR="00FA3957" w:rsidRDefault="00FA3957" w:rsidP="00DA702B">
      <w:pPr>
        <w:rPr>
          <w:sz w:val="20"/>
          <w:szCs w:val="20"/>
        </w:rPr>
      </w:pPr>
      <w:r>
        <w:rPr>
          <w:sz w:val="20"/>
          <w:szCs w:val="20"/>
        </w:rPr>
        <w:br w:type="page"/>
      </w:r>
    </w:p>
    <w:p w14:paraId="45C5AC8F" w14:textId="77777777" w:rsidR="00DA702B" w:rsidRPr="00DA702B" w:rsidRDefault="00DA702B" w:rsidP="00FA3957">
      <w:pPr>
        <w:widowControl w:val="0"/>
        <w:jc w:val="center"/>
        <w:rPr>
          <w:rFonts w:eastAsiaTheme="majorEastAsia"/>
          <w:b/>
          <w:bCs/>
        </w:rPr>
      </w:pPr>
      <w:r w:rsidRPr="00DA702B">
        <w:rPr>
          <w:rFonts w:eastAsiaTheme="majorEastAsia"/>
          <w:b/>
          <w:bCs/>
        </w:rPr>
        <w:lastRenderedPageBreak/>
        <w:t>Boiler/Steam Generator/Steam Generating Unit Attributes</w:t>
      </w:r>
    </w:p>
    <w:p w14:paraId="4B79BC38" w14:textId="77777777" w:rsidR="00DA702B" w:rsidRPr="00DA702B" w:rsidRDefault="00DA702B" w:rsidP="00FA3957">
      <w:pPr>
        <w:widowControl w:val="0"/>
        <w:jc w:val="center"/>
        <w:rPr>
          <w:rFonts w:eastAsiaTheme="majorEastAsia"/>
          <w:b/>
          <w:bCs/>
        </w:rPr>
      </w:pPr>
      <w:r w:rsidRPr="00DA702B">
        <w:rPr>
          <w:rFonts w:eastAsiaTheme="majorEastAsia"/>
          <w:b/>
          <w:bCs/>
        </w:rPr>
        <w:t>Form OP-UA6 (Page 35)</w:t>
      </w:r>
    </w:p>
    <w:p w14:paraId="18369B1F" w14:textId="77777777" w:rsidR="00DA702B" w:rsidRPr="00DA702B" w:rsidRDefault="00DA702B" w:rsidP="00FA3957">
      <w:pPr>
        <w:widowControl w:val="0"/>
        <w:jc w:val="center"/>
        <w:rPr>
          <w:rFonts w:eastAsiaTheme="majorEastAsia"/>
          <w:b/>
          <w:bCs/>
        </w:rPr>
      </w:pPr>
      <w:r w:rsidRPr="00DA702B">
        <w:rPr>
          <w:rFonts w:eastAsiaTheme="majorEastAsia"/>
          <w:b/>
          <w:bCs/>
        </w:rPr>
        <w:t>Federal Operating Permit Program</w:t>
      </w:r>
    </w:p>
    <w:p w14:paraId="01E9A186" w14:textId="77777777" w:rsidR="00DA702B" w:rsidRPr="00DA702B" w:rsidRDefault="00DA702B" w:rsidP="00FA3957">
      <w:pPr>
        <w:widowControl w:val="0"/>
        <w:jc w:val="center"/>
        <w:rPr>
          <w:rFonts w:eastAsiaTheme="majorEastAsia"/>
          <w:b/>
          <w:bCs/>
        </w:rPr>
      </w:pPr>
      <w:bookmarkStart w:id="197" w:name="TBL_13h"/>
      <w:r w:rsidRPr="00DA702B">
        <w:rPr>
          <w:rFonts w:eastAsiaTheme="majorEastAsia"/>
          <w:b/>
          <w:bCs/>
        </w:rPr>
        <w:t>Table 13h</w:t>
      </w:r>
      <w:bookmarkEnd w:id="197"/>
      <w:r w:rsidRPr="00DA702B">
        <w:rPr>
          <w:rFonts w:eastAsiaTheme="majorEastAsia"/>
          <w:b/>
          <w:bCs/>
        </w:rPr>
        <w:t>:  Title 40 Code of Federal Regulations Part 63 (40 CFR Part 63)</w:t>
      </w:r>
    </w:p>
    <w:p w14:paraId="7AE63A10" w14:textId="77777777" w:rsidR="00DA702B" w:rsidRPr="00DA702B" w:rsidRDefault="00DA702B" w:rsidP="00FA3957">
      <w:pPr>
        <w:widowControl w:val="0"/>
        <w:jc w:val="center"/>
        <w:rPr>
          <w:rFonts w:eastAsiaTheme="majorEastAsia"/>
          <w:b/>
          <w:bCs/>
        </w:rPr>
      </w:pPr>
      <w:r w:rsidRPr="00DA702B">
        <w:rPr>
          <w:rFonts w:eastAsiaTheme="majorEastAsia"/>
          <w:b/>
          <w:bCs/>
        </w:rPr>
        <w:t>Subpart UUUUU:  Coal- and Oil-Fired Electric Utility Steam Generating Units</w:t>
      </w:r>
    </w:p>
    <w:p w14:paraId="6D4E7458" w14:textId="77777777" w:rsidR="00DA702B" w:rsidRPr="00DA702B" w:rsidRDefault="00DA702B" w:rsidP="00FA3957">
      <w:pPr>
        <w:widowControl w:val="0"/>
        <w:jc w:val="center"/>
        <w:rPr>
          <w:b/>
          <w:bCs/>
        </w:rPr>
      </w:pPr>
      <w:r w:rsidRPr="00DA702B">
        <w:rPr>
          <w:b/>
          <w:bCs/>
        </w:rPr>
        <w:t>Texas Commission on Environmental Quality</w:t>
      </w:r>
    </w:p>
    <w:p w14:paraId="75D24089"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h:  Title 40 Code of Federal Regulations Part 63 (40 CFR Part 63)&#10;Subpart UUUUU:  Coal- and Oil-Fired Electric Utility Steam Generating Units&#10;"/>
      </w:tblPr>
      <w:tblGrid>
        <w:gridCol w:w="4800"/>
        <w:gridCol w:w="4800"/>
        <w:gridCol w:w="4800"/>
      </w:tblGrid>
      <w:tr w:rsidR="00DA702B" w:rsidRPr="00DA702B" w14:paraId="555F0A09" w14:textId="77777777" w:rsidTr="00247007">
        <w:trPr>
          <w:cantSplit/>
          <w:tblHeader/>
        </w:trPr>
        <w:tc>
          <w:tcPr>
            <w:tcW w:w="4800" w:type="dxa"/>
            <w:shd w:val="clear" w:color="auto" w:fill="D9D9D9" w:themeFill="background1" w:themeFillShade="D9"/>
          </w:tcPr>
          <w:p w14:paraId="1E02CF9E"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6CE3A003"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737E7518"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70006258" w14:textId="77777777" w:rsidTr="00247007">
        <w:trPr>
          <w:cantSplit/>
          <w:tblHeader/>
        </w:trPr>
        <w:tc>
          <w:tcPr>
            <w:tcW w:w="4800" w:type="dxa"/>
          </w:tcPr>
          <w:p w14:paraId="3A10DFE6" w14:textId="77777777" w:rsidR="00DA702B" w:rsidRPr="00DA702B" w:rsidRDefault="00DA702B" w:rsidP="00DA702B">
            <w:pPr>
              <w:rPr>
                <w:rFonts w:asciiTheme="majorHAnsi" w:hAnsiTheme="majorHAnsi" w:cstheme="majorHAnsi"/>
              </w:rPr>
            </w:pPr>
          </w:p>
        </w:tc>
        <w:tc>
          <w:tcPr>
            <w:tcW w:w="4800" w:type="dxa"/>
          </w:tcPr>
          <w:p w14:paraId="346A5239" w14:textId="77777777" w:rsidR="00DA702B" w:rsidRPr="00DA702B" w:rsidRDefault="00DA702B" w:rsidP="00DA702B">
            <w:pPr>
              <w:rPr>
                <w:rFonts w:asciiTheme="majorHAnsi" w:hAnsiTheme="majorHAnsi" w:cstheme="majorHAnsi"/>
              </w:rPr>
            </w:pPr>
          </w:p>
        </w:tc>
        <w:tc>
          <w:tcPr>
            <w:tcW w:w="4800" w:type="dxa"/>
          </w:tcPr>
          <w:p w14:paraId="6DE11C1C" w14:textId="77777777" w:rsidR="00DA702B" w:rsidRPr="00DA702B" w:rsidRDefault="00DA702B" w:rsidP="00DA702B">
            <w:pPr>
              <w:rPr>
                <w:rFonts w:asciiTheme="majorHAnsi" w:hAnsiTheme="majorHAnsi" w:cstheme="majorHAnsi"/>
              </w:rPr>
            </w:pPr>
          </w:p>
        </w:tc>
      </w:tr>
    </w:tbl>
    <w:p w14:paraId="59C9B3B1" w14:textId="77777777" w:rsidR="00DA702B" w:rsidRPr="00DA702B" w:rsidRDefault="00DA702B" w:rsidP="00DA702B">
      <w:pPr>
        <w:rPr>
          <w:sz w:val="20"/>
          <w:szCs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h:  Title 40 Code of Federal Regulations Part 63 (40 CFR Part 63)&#10;Subpart UUUUU:  Coal- and Oil-Fired Electric Utility Steam Generating Units&#10;"/>
      </w:tblPr>
      <w:tblGrid>
        <w:gridCol w:w="2057"/>
        <w:gridCol w:w="2057"/>
        <w:gridCol w:w="2058"/>
        <w:gridCol w:w="2057"/>
        <w:gridCol w:w="2057"/>
        <w:gridCol w:w="2057"/>
        <w:gridCol w:w="2057"/>
      </w:tblGrid>
      <w:tr w:rsidR="00DA702B" w:rsidRPr="00DA702B" w14:paraId="38DB966C" w14:textId="77777777" w:rsidTr="00247007">
        <w:trPr>
          <w:cantSplit/>
          <w:trHeight w:val="346"/>
          <w:tblHeader/>
        </w:trPr>
        <w:tc>
          <w:tcPr>
            <w:tcW w:w="2057" w:type="dxa"/>
            <w:shd w:val="clear" w:color="auto" w:fill="D9D9D9" w:themeFill="background1" w:themeFillShade="D9"/>
            <w:vAlign w:val="center"/>
          </w:tcPr>
          <w:p w14:paraId="29FF7288" w14:textId="77777777" w:rsidR="00DA702B" w:rsidRPr="00DA702B" w:rsidRDefault="00DA702B" w:rsidP="00DA702B">
            <w:pPr>
              <w:jc w:val="center"/>
              <w:rPr>
                <w:sz w:val="20"/>
                <w:szCs w:val="20"/>
              </w:rPr>
            </w:pPr>
            <w:r w:rsidRPr="00DA702B">
              <w:rPr>
                <w:b/>
                <w:sz w:val="20"/>
                <w:szCs w:val="20"/>
              </w:rPr>
              <w:t>Unit ID No.</w:t>
            </w:r>
          </w:p>
        </w:tc>
        <w:tc>
          <w:tcPr>
            <w:tcW w:w="2057" w:type="dxa"/>
            <w:shd w:val="clear" w:color="auto" w:fill="D9D9D9" w:themeFill="background1" w:themeFillShade="D9"/>
            <w:vAlign w:val="center"/>
          </w:tcPr>
          <w:p w14:paraId="47D98E18" w14:textId="77777777" w:rsidR="00DA702B" w:rsidRPr="00DA702B" w:rsidRDefault="00DA702B" w:rsidP="00DA702B">
            <w:pPr>
              <w:jc w:val="center"/>
              <w:rPr>
                <w:sz w:val="20"/>
                <w:szCs w:val="20"/>
              </w:rPr>
            </w:pPr>
            <w:r w:rsidRPr="00DA702B">
              <w:rPr>
                <w:b/>
                <w:sz w:val="20"/>
                <w:szCs w:val="20"/>
              </w:rPr>
              <w:t>SOP Index No.</w:t>
            </w:r>
          </w:p>
        </w:tc>
        <w:tc>
          <w:tcPr>
            <w:tcW w:w="2058" w:type="dxa"/>
            <w:shd w:val="clear" w:color="auto" w:fill="D9D9D9" w:themeFill="background1" w:themeFillShade="D9"/>
            <w:vAlign w:val="center"/>
          </w:tcPr>
          <w:p w14:paraId="002CFB86" w14:textId="77777777" w:rsidR="00DA702B" w:rsidRPr="00DA702B" w:rsidRDefault="00DA702B" w:rsidP="00DA702B">
            <w:pPr>
              <w:jc w:val="center"/>
              <w:rPr>
                <w:sz w:val="20"/>
                <w:szCs w:val="20"/>
              </w:rPr>
            </w:pPr>
            <w:r w:rsidRPr="00DA702B">
              <w:rPr>
                <w:b/>
                <w:sz w:val="20"/>
                <w:szCs w:val="20"/>
              </w:rPr>
              <w:t>HCl-LEE</w:t>
            </w:r>
          </w:p>
        </w:tc>
        <w:tc>
          <w:tcPr>
            <w:tcW w:w="2057" w:type="dxa"/>
            <w:shd w:val="clear" w:color="auto" w:fill="D9D9D9" w:themeFill="background1" w:themeFillShade="D9"/>
            <w:vAlign w:val="center"/>
          </w:tcPr>
          <w:p w14:paraId="58B9FE1F" w14:textId="77777777" w:rsidR="00DA702B" w:rsidRPr="00DA702B" w:rsidRDefault="00DA702B" w:rsidP="00DA702B">
            <w:pPr>
              <w:jc w:val="center"/>
              <w:rPr>
                <w:sz w:val="20"/>
                <w:szCs w:val="20"/>
              </w:rPr>
            </w:pPr>
            <w:r w:rsidRPr="00DA702B">
              <w:rPr>
                <w:b/>
                <w:sz w:val="20"/>
                <w:szCs w:val="20"/>
              </w:rPr>
              <w:t>SO</w:t>
            </w:r>
            <w:r w:rsidRPr="00DA702B">
              <w:rPr>
                <w:b/>
                <w:sz w:val="20"/>
                <w:szCs w:val="20"/>
                <w:vertAlign w:val="subscript"/>
              </w:rPr>
              <w:t>2</w:t>
            </w:r>
            <w:r w:rsidRPr="00DA702B">
              <w:rPr>
                <w:b/>
                <w:sz w:val="20"/>
                <w:szCs w:val="20"/>
              </w:rPr>
              <w:t>-LEE</w:t>
            </w:r>
          </w:p>
        </w:tc>
        <w:tc>
          <w:tcPr>
            <w:tcW w:w="2057" w:type="dxa"/>
            <w:shd w:val="clear" w:color="auto" w:fill="D9D9D9" w:themeFill="background1" w:themeFillShade="D9"/>
            <w:vAlign w:val="center"/>
          </w:tcPr>
          <w:p w14:paraId="7256DF2D" w14:textId="77777777" w:rsidR="00DA702B" w:rsidRPr="00DA702B" w:rsidRDefault="00DA702B" w:rsidP="00DA702B">
            <w:pPr>
              <w:jc w:val="center"/>
              <w:rPr>
                <w:sz w:val="20"/>
                <w:szCs w:val="20"/>
              </w:rPr>
            </w:pPr>
            <w:r w:rsidRPr="00DA702B">
              <w:rPr>
                <w:b/>
                <w:sz w:val="20"/>
                <w:szCs w:val="20"/>
              </w:rPr>
              <w:t>Hg-LEE-c</w:t>
            </w:r>
          </w:p>
        </w:tc>
        <w:tc>
          <w:tcPr>
            <w:tcW w:w="2057" w:type="dxa"/>
            <w:shd w:val="clear" w:color="auto" w:fill="D9D9D9" w:themeFill="background1" w:themeFillShade="D9"/>
            <w:vAlign w:val="center"/>
          </w:tcPr>
          <w:p w14:paraId="09BCA980" w14:textId="77777777" w:rsidR="00DA702B" w:rsidRPr="00DA702B" w:rsidRDefault="00DA702B" w:rsidP="00DA702B">
            <w:pPr>
              <w:jc w:val="center"/>
              <w:rPr>
                <w:sz w:val="20"/>
                <w:szCs w:val="20"/>
              </w:rPr>
            </w:pPr>
            <w:r w:rsidRPr="00DA702B">
              <w:rPr>
                <w:b/>
                <w:sz w:val="20"/>
                <w:szCs w:val="20"/>
              </w:rPr>
              <w:t>HF-LEE</w:t>
            </w:r>
          </w:p>
        </w:tc>
        <w:tc>
          <w:tcPr>
            <w:tcW w:w="2057" w:type="dxa"/>
            <w:shd w:val="clear" w:color="auto" w:fill="D9D9D9" w:themeFill="background1" w:themeFillShade="D9"/>
            <w:vAlign w:val="center"/>
          </w:tcPr>
          <w:p w14:paraId="25BF598F" w14:textId="77777777" w:rsidR="00DA702B" w:rsidRPr="00DA702B" w:rsidRDefault="00DA702B" w:rsidP="00DA702B">
            <w:pPr>
              <w:jc w:val="center"/>
              <w:rPr>
                <w:sz w:val="20"/>
                <w:szCs w:val="20"/>
              </w:rPr>
            </w:pPr>
            <w:r w:rsidRPr="00DA702B">
              <w:rPr>
                <w:b/>
                <w:sz w:val="20"/>
                <w:szCs w:val="20"/>
              </w:rPr>
              <w:t>Startup</w:t>
            </w:r>
          </w:p>
        </w:tc>
      </w:tr>
      <w:tr w:rsidR="00DA702B" w:rsidRPr="00DA702B" w14:paraId="64755A04" w14:textId="77777777" w:rsidTr="00247007">
        <w:trPr>
          <w:cantSplit/>
          <w:trHeight w:val="346"/>
          <w:tblHeader/>
        </w:trPr>
        <w:tc>
          <w:tcPr>
            <w:tcW w:w="2057" w:type="dxa"/>
          </w:tcPr>
          <w:p w14:paraId="5B266E0C" w14:textId="77777777" w:rsidR="00DA702B" w:rsidRPr="00DA702B" w:rsidRDefault="00DA702B" w:rsidP="00DA702B">
            <w:pPr>
              <w:rPr>
                <w:sz w:val="20"/>
                <w:szCs w:val="20"/>
              </w:rPr>
            </w:pPr>
          </w:p>
        </w:tc>
        <w:tc>
          <w:tcPr>
            <w:tcW w:w="2057" w:type="dxa"/>
          </w:tcPr>
          <w:p w14:paraId="6C58A0C4" w14:textId="77777777" w:rsidR="00DA702B" w:rsidRPr="00DA702B" w:rsidRDefault="00DA702B" w:rsidP="00DA702B">
            <w:pPr>
              <w:rPr>
                <w:sz w:val="20"/>
                <w:szCs w:val="20"/>
              </w:rPr>
            </w:pPr>
          </w:p>
        </w:tc>
        <w:tc>
          <w:tcPr>
            <w:tcW w:w="2058" w:type="dxa"/>
          </w:tcPr>
          <w:p w14:paraId="1F1C7A50" w14:textId="77777777" w:rsidR="00DA702B" w:rsidRPr="00DA702B" w:rsidRDefault="00DA702B" w:rsidP="00DA702B">
            <w:pPr>
              <w:rPr>
                <w:sz w:val="20"/>
                <w:szCs w:val="20"/>
              </w:rPr>
            </w:pPr>
          </w:p>
        </w:tc>
        <w:tc>
          <w:tcPr>
            <w:tcW w:w="2057" w:type="dxa"/>
          </w:tcPr>
          <w:p w14:paraId="228D1353" w14:textId="77777777" w:rsidR="00DA702B" w:rsidRPr="00DA702B" w:rsidRDefault="00DA702B" w:rsidP="00DA702B">
            <w:pPr>
              <w:rPr>
                <w:sz w:val="20"/>
                <w:szCs w:val="20"/>
              </w:rPr>
            </w:pPr>
          </w:p>
        </w:tc>
        <w:tc>
          <w:tcPr>
            <w:tcW w:w="2057" w:type="dxa"/>
          </w:tcPr>
          <w:p w14:paraId="192B1CD7" w14:textId="77777777" w:rsidR="00DA702B" w:rsidRPr="00DA702B" w:rsidRDefault="00DA702B" w:rsidP="00DA702B">
            <w:pPr>
              <w:rPr>
                <w:sz w:val="20"/>
                <w:szCs w:val="20"/>
              </w:rPr>
            </w:pPr>
          </w:p>
        </w:tc>
        <w:tc>
          <w:tcPr>
            <w:tcW w:w="2057" w:type="dxa"/>
          </w:tcPr>
          <w:p w14:paraId="25FE14BC" w14:textId="77777777" w:rsidR="00DA702B" w:rsidRPr="00DA702B" w:rsidRDefault="00DA702B" w:rsidP="00DA702B">
            <w:pPr>
              <w:rPr>
                <w:sz w:val="20"/>
                <w:szCs w:val="20"/>
              </w:rPr>
            </w:pPr>
          </w:p>
        </w:tc>
        <w:tc>
          <w:tcPr>
            <w:tcW w:w="2057" w:type="dxa"/>
          </w:tcPr>
          <w:p w14:paraId="1F6E45B8" w14:textId="77777777" w:rsidR="00DA702B" w:rsidRPr="00DA702B" w:rsidRDefault="00DA702B" w:rsidP="00DA702B">
            <w:pPr>
              <w:rPr>
                <w:sz w:val="20"/>
                <w:szCs w:val="20"/>
              </w:rPr>
            </w:pPr>
          </w:p>
        </w:tc>
      </w:tr>
      <w:tr w:rsidR="00DA702B" w:rsidRPr="00DA702B" w14:paraId="54162FB7" w14:textId="77777777" w:rsidTr="00247007">
        <w:trPr>
          <w:cantSplit/>
          <w:trHeight w:val="346"/>
          <w:tblHeader/>
        </w:trPr>
        <w:tc>
          <w:tcPr>
            <w:tcW w:w="2057" w:type="dxa"/>
          </w:tcPr>
          <w:p w14:paraId="050B31CF" w14:textId="77777777" w:rsidR="00DA702B" w:rsidRPr="00DA702B" w:rsidRDefault="00DA702B" w:rsidP="00DA702B">
            <w:pPr>
              <w:rPr>
                <w:sz w:val="20"/>
                <w:szCs w:val="20"/>
              </w:rPr>
            </w:pPr>
          </w:p>
        </w:tc>
        <w:tc>
          <w:tcPr>
            <w:tcW w:w="2057" w:type="dxa"/>
          </w:tcPr>
          <w:p w14:paraId="19828A53" w14:textId="77777777" w:rsidR="00DA702B" w:rsidRPr="00DA702B" w:rsidRDefault="00DA702B" w:rsidP="00DA702B">
            <w:pPr>
              <w:rPr>
                <w:sz w:val="20"/>
                <w:szCs w:val="20"/>
              </w:rPr>
            </w:pPr>
          </w:p>
        </w:tc>
        <w:tc>
          <w:tcPr>
            <w:tcW w:w="2058" w:type="dxa"/>
          </w:tcPr>
          <w:p w14:paraId="40014780" w14:textId="77777777" w:rsidR="00DA702B" w:rsidRPr="00DA702B" w:rsidRDefault="00DA702B" w:rsidP="00DA702B">
            <w:pPr>
              <w:rPr>
                <w:sz w:val="20"/>
                <w:szCs w:val="20"/>
              </w:rPr>
            </w:pPr>
          </w:p>
        </w:tc>
        <w:tc>
          <w:tcPr>
            <w:tcW w:w="2057" w:type="dxa"/>
          </w:tcPr>
          <w:p w14:paraId="0C20DFEE" w14:textId="77777777" w:rsidR="00DA702B" w:rsidRPr="00DA702B" w:rsidRDefault="00DA702B" w:rsidP="00DA702B">
            <w:pPr>
              <w:rPr>
                <w:sz w:val="20"/>
                <w:szCs w:val="20"/>
              </w:rPr>
            </w:pPr>
          </w:p>
        </w:tc>
        <w:tc>
          <w:tcPr>
            <w:tcW w:w="2057" w:type="dxa"/>
          </w:tcPr>
          <w:p w14:paraId="643B6C8C" w14:textId="77777777" w:rsidR="00DA702B" w:rsidRPr="00DA702B" w:rsidRDefault="00DA702B" w:rsidP="00DA702B">
            <w:pPr>
              <w:rPr>
                <w:sz w:val="20"/>
                <w:szCs w:val="20"/>
              </w:rPr>
            </w:pPr>
          </w:p>
        </w:tc>
        <w:tc>
          <w:tcPr>
            <w:tcW w:w="2057" w:type="dxa"/>
          </w:tcPr>
          <w:p w14:paraId="56C034D0" w14:textId="77777777" w:rsidR="00DA702B" w:rsidRPr="00DA702B" w:rsidRDefault="00DA702B" w:rsidP="00DA702B">
            <w:pPr>
              <w:rPr>
                <w:sz w:val="20"/>
                <w:szCs w:val="20"/>
              </w:rPr>
            </w:pPr>
          </w:p>
        </w:tc>
        <w:tc>
          <w:tcPr>
            <w:tcW w:w="2057" w:type="dxa"/>
          </w:tcPr>
          <w:p w14:paraId="26B6F65E" w14:textId="77777777" w:rsidR="00DA702B" w:rsidRPr="00DA702B" w:rsidRDefault="00DA702B" w:rsidP="00DA702B">
            <w:pPr>
              <w:rPr>
                <w:sz w:val="20"/>
                <w:szCs w:val="20"/>
              </w:rPr>
            </w:pPr>
          </w:p>
        </w:tc>
      </w:tr>
      <w:tr w:rsidR="00DA702B" w:rsidRPr="00DA702B" w14:paraId="3E40D37E" w14:textId="77777777" w:rsidTr="00247007">
        <w:trPr>
          <w:cantSplit/>
          <w:trHeight w:val="346"/>
          <w:tblHeader/>
        </w:trPr>
        <w:tc>
          <w:tcPr>
            <w:tcW w:w="2057" w:type="dxa"/>
          </w:tcPr>
          <w:p w14:paraId="723168D4" w14:textId="77777777" w:rsidR="00DA702B" w:rsidRPr="00DA702B" w:rsidRDefault="00DA702B" w:rsidP="00DA702B">
            <w:pPr>
              <w:rPr>
                <w:sz w:val="20"/>
                <w:szCs w:val="20"/>
              </w:rPr>
            </w:pPr>
          </w:p>
        </w:tc>
        <w:tc>
          <w:tcPr>
            <w:tcW w:w="2057" w:type="dxa"/>
          </w:tcPr>
          <w:p w14:paraId="6C8F75B0" w14:textId="77777777" w:rsidR="00DA702B" w:rsidRPr="00DA702B" w:rsidRDefault="00DA702B" w:rsidP="00DA702B">
            <w:pPr>
              <w:rPr>
                <w:sz w:val="20"/>
                <w:szCs w:val="20"/>
              </w:rPr>
            </w:pPr>
          </w:p>
        </w:tc>
        <w:tc>
          <w:tcPr>
            <w:tcW w:w="2058" w:type="dxa"/>
          </w:tcPr>
          <w:p w14:paraId="56A2D7B3" w14:textId="77777777" w:rsidR="00DA702B" w:rsidRPr="00DA702B" w:rsidRDefault="00DA702B" w:rsidP="00DA702B">
            <w:pPr>
              <w:rPr>
                <w:sz w:val="20"/>
                <w:szCs w:val="20"/>
              </w:rPr>
            </w:pPr>
          </w:p>
        </w:tc>
        <w:tc>
          <w:tcPr>
            <w:tcW w:w="2057" w:type="dxa"/>
          </w:tcPr>
          <w:p w14:paraId="4039C41F" w14:textId="77777777" w:rsidR="00DA702B" w:rsidRPr="00DA702B" w:rsidRDefault="00DA702B" w:rsidP="00DA702B">
            <w:pPr>
              <w:rPr>
                <w:sz w:val="20"/>
                <w:szCs w:val="20"/>
              </w:rPr>
            </w:pPr>
          </w:p>
        </w:tc>
        <w:tc>
          <w:tcPr>
            <w:tcW w:w="2057" w:type="dxa"/>
          </w:tcPr>
          <w:p w14:paraId="0325A7CA" w14:textId="77777777" w:rsidR="00DA702B" w:rsidRPr="00DA702B" w:rsidRDefault="00DA702B" w:rsidP="00DA702B">
            <w:pPr>
              <w:rPr>
                <w:sz w:val="20"/>
                <w:szCs w:val="20"/>
              </w:rPr>
            </w:pPr>
          </w:p>
        </w:tc>
        <w:tc>
          <w:tcPr>
            <w:tcW w:w="2057" w:type="dxa"/>
          </w:tcPr>
          <w:p w14:paraId="56A2B1A5" w14:textId="77777777" w:rsidR="00DA702B" w:rsidRPr="00DA702B" w:rsidRDefault="00DA702B" w:rsidP="00DA702B">
            <w:pPr>
              <w:rPr>
                <w:sz w:val="20"/>
                <w:szCs w:val="20"/>
              </w:rPr>
            </w:pPr>
          </w:p>
        </w:tc>
        <w:tc>
          <w:tcPr>
            <w:tcW w:w="2057" w:type="dxa"/>
          </w:tcPr>
          <w:p w14:paraId="3A85E8CD" w14:textId="77777777" w:rsidR="00DA702B" w:rsidRPr="00DA702B" w:rsidRDefault="00DA702B" w:rsidP="00DA702B">
            <w:pPr>
              <w:rPr>
                <w:sz w:val="20"/>
                <w:szCs w:val="20"/>
              </w:rPr>
            </w:pPr>
          </w:p>
        </w:tc>
      </w:tr>
      <w:tr w:rsidR="00DA702B" w:rsidRPr="00DA702B" w14:paraId="39D1E123" w14:textId="77777777" w:rsidTr="00247007">
        <w:trPr>
          <w:cantSplit/>
          <w:trHeight w:val="346"/>
          <w:tblHeader/>
        </w:trPr>
        <w:tc>
          <w:tcPr>
            <w:tcW w:w="2057" w:type="dxa"/>
          </w:tcPr>
          <w:p w14:paraId="57FE6C80" w14:textId="77777777" w:rsidR="00DA702B" w:rsidRPr="00DA702B" w:rsidRDefault="00DA702B" w:rsidP="00DA702B">
            <w:pPr>
              <w:rPr>
                <w:sz w:val="20"/>
                <w:szCs w:val="20"/>
              </w:rPr>
            </w:pPr>
          </w:p>
        </w:tc>
        <w:tc>
          <w:tcPr>
            <w:tcW w:w="2057" w:type="dxa"/>
          </w:tcPr>
          <w:p w14:paraId="569561A3" w14:textId="77777777" w:rsidR="00DA702B" w:rsidRPr="00DA702B" w:rsidRDefault="00DA702B" w:rsidP="00DA702B">
            <w:pPr>
              <w:rPr>
                <w:sz w:val="20"/>
                <w:szCs w:val="20"/>
              </w:rPr>
            </w:pPr>
          </w:p>
        </w:tc>
        <w:tc>
          <w:tcPr>
            <w:tcW w:w="2058" w:type="dxa"/>
          </w:tcPr>
          <w:p w14:paraId="3BCF7CB6" w14:textId="77777777" w:rsidR="00DA702B" w:rsidRPr="00DA702B" w:rsidRDefault="00DA702B" w:rsidP="00DA702B">
            <w:pPr>
              <w:rPr>
                <w:sz w:val="20"/>
                <w:szCs w:val="20"/>
              </w:rPr>
            </w:pPr>
          </w:p>
        </w:tc>
        <w:tc>
          <w:tcPr>
            <w:tcW w:w="2057" w:type="dxa"/>
          </w:tcPr>
          <w:p w14:paraId="21F02B6F" w14:textId="77777777" w:rsidR="00DA702B" w:rsidRPr="00DA702B" w:rsidRDefault="00DA702B" w:rsidP="00DA702B">
            <w:pPr>
              <w:rPr>
                <w:sz w:val="20"/>
                <w:szCs w:val="20"/>
              </w:rPr>
            </w:pPr>
          </w:p>
        </w:tc>
        <w:tc>
          <w:tcPr>
            <w:tcW w:w="2057" w:type="dxa"/>
          </w:tcPr>
          <w:p w14:paraId="15BF0895" w14:textId="77777777" w:rsidR="00DA702B" w:rsidRPr="00DA702B" w:rsidRDefault="00DA702B" w:rsidP="00DA702B">
            <w:pPr>
              <w:rPr>
                <w:sz w:val="20"/>
                <w:szCs w:val="20"/>
              </w:rPr>
            </w:pPr>
          </w:p>
        </w:tc>
        <w:tc>
          <w:tcPr>
            <w:tcW w:w="2057" w:type="dxa"/>
          </w:tcPr>
          <w:p w14:paraId="5CB90C00" w14:textId="77777777" w:rsidR="00DA702B" w:rsidRPr="00DA702B" w:rsidRDefault="00DA702B" w:rsidP="00DA702B">
            <w:pPr>
              <w:rPr>
                <w:sz w:val="20"/>
                <w:szCs w:val="20"/>
              </w:rPr>
            </w:pPr>
          </w:p>
        </w:tc>
        <w:tc>
          <w:tcPr>
            <w:tcW w:w="2057" w:type="dxa"/>
          </w:tcPr>
          <w:p w14:paraId="420E4DF7" w14:textId="77777777" w:rsidR="00DA702B" w:rsidRPr="00DA702B" w:rsidRDefault="00DA702B" w:rsidP="00DA702B">
            <w:pPr>
              <w:rPr>
                <w:sz w:val="20"/>
                <w:szCs w:val="20"/>
              </w:rPr>
            </w:pPr>
          </w:p>
        </w:tc>
      </w:tr>
      <w:tr w:rsidR="00DA702B" w:rsidRPr="00DA702B" w14:paraId="09FA77D1" w14:textId="77777777" w:rsidTr="00247007">
        <w:trPr>
          <w:cantSplit/>
          <w:trHeight w:val="346"/>
          <w:tblHeader/>
        </w:trPr>
        <w:tc>
          <w:tcPr>
            <w:tcW w:w="2057" w:type="dxa"/>
          </w:tcPr>
          <w:p w14:paraId="43B6BE7A" w14:textId="77777777" w:rsidR="00DA702B" w:rsidRPr="00DA702B" w:rsidRDefault="00DA702B" w:rsidP="00DA702B">
            <w:pPr>
              <w:rPr>
                <w:sz w:val="20"/>
                <w:szCs w:val="20"/>
              </w:rPr>
            </w:pPr>
          </w:p>
        </w:tc>
        <w:tc>
          <w:tcPr>
            <w:tcW w:w="2057" w:type="dxa"/>
          </w:tcPr>
          <w:p w14:paraId="54B62217" w14:textId="77777777" w:rsidR="00DA702B" w:rsidRPr="00DA702B" w:rsidRDefault="00DA702B" w:rsidP="00DA702B">
            <w:pPr>
              <w:rPr>
                <w:sz w:val="20"/>
                <w:szCs w:val="20"/>
              </w:rPr>
            </w:pPr>
          </w:p>
        </w:tc>
        <w:tc>
          <w:tcPr>
            <w:tcW w:w="2058" w:type="dxa"/>
          </w:tcPr>
          <w:p w14:paraId="6A46A90A" w14:textId="77777777" w:rsidR="00DA702B" w:rsidRPr="00DA702B" w:rsidRDefault="00DA702B" w:rsidP="00DA702B">
            <w:pPr>
              <w:rPr>
                <w:sz w:val="20"/>
                <w:szCs w:val="20"/>
              </w:rPr>
            </w:pPr>
          </w:p>
        </w:tc>
        <w:tc>
          <w:tcPr>
            <w:tcW w:w="2057" w:type="dxa"/>
          </w:tcPr>
          <w:p w14:paraId="33CFD8EC" w14:textId="77777777" w:rsidR="00DA702B" w:rsidRPr="00DA702B" w:rsidRDefault="00DA702B" w:rsidP="00DA702B">
            <w:pPr>
              <w:rPr>
                <w:sz w:val="20"/>
                <w:szCs w:val="20"/>
              </w:rPr>
            </w:pPr>
          </w:p>
        </w:tc>
        <w:tc>
          <w:tcPr>
            <w:tcW w:w="2057" w:type="dxa"/>
          </w:tcPr>
          <w:p w14:paraId="47C1ABFA" w14:textId="77777777" w:rsidR="00DA702B" w:rsidRPr="00DA702B" w:rsidRDefault="00DA702B" w:rsidP="00DA702B">
            <w:pPr>
              <w:rPr>
                <w:sz w:val="20"/>
                <w:szCs w:val="20"/>
              </w:rPr>
            </w:pPr>
          </w:p>
        </w:tc>
        <w:tc>
          <w:tcPr>
            <w:tcW w:w="2057" w:type="dxa"/>
          </w:tcPr>
          <w:p w14:paraId="6BEF7248" w14:textId="77777777" w:rsidR="00DA702B" w:rsidRPr="00DA702B" w:rsidRDefault="00DA702B" w:rsidP="00DA702B">
            <w:pPr>
              <w:rPr>
                <w:sz w:val="20"/>
                <w:szCs w:val="20"/>
              </w:rPr>
            </w:pPr>
          </w:p>
        </w:tc>
        <w:tc>
          <w:tcPr>
            <w:tcW w:w="2057" w:type="dxa"/>
          </w:tcPr>
          <w:p w14:paraId="5C00138A" w14:textId="77777777" w:rsidR="00DA702B" w:rsidRPr="00DA702B" w:rsidRDefault="00DA702B" w:rsidP="00DA702B">
            <w:pPr>
              <w:rPr>
                <w:sz w:val="20"/>
                <w:szCs w:val="20"/>
              </w:rPr>
            </w:pPr>
          </w:p>
        </w:tc>
      </w:tr>
      <w:tr w:rsidR="00DA702B" w:rsidRPr="00DA702B" w14:paraId="788F9350" w14:textId="77777777" w:rsidTr="00247007">
        <w:trPr>
          <w:cantSplit/>
          <w:trHeight w:val="346"/>
          <w:tblHeader/>
        </w:trPr>
        <w:tc>
          <w:tcPr>
            <w:tcW w:w="2057" w:type="dxa"/>
          </w:tcPr>
          <w:p w14:paraId="68D348DE" w14:textId="77777777" w:rsidR="00DA702B" w:rsidRPr="00DA702B" w:rsidRDefault="00DA702B" w:rsidP="00DA702B">
            <w:pPr>
              <w:rPr>
                <w:sz w:val="20"/>
                <w:szCs w:val="20"/>
              </w:rPr>
            </w:pPr>
          </w:p>
        </w:tc>
        <w:tc>
          <w:tcPr>
            <w:tcW w:w="2057" w:type="dxa"/>
          </w:tcPr>
          <w:p w14:paraId="0C9F527B" w14:textId="77777777" w:rsidR="00DA702B" w:rsidRPr="00DA702B" w:rsidRDefault="00DA702B" w:rsidP="00DA702B">
            <w:pPr>
              <w:rPr>
                <w:sz w:val="20"/>
                <w:szCs w:val="20"/>
              </w:rPr>
            </w:pPr>
          </w:p>
        </w:tc>
        <w:tc>
          <w:tcPr>
            <w:tcW w:w="2058" w:type="dxa"/>
          </w:tcPr>
          <w:p w14:paraId="572BE664" w14:textId="77777777" w:rsidR="00DA702B" w:rsidRPr="00DA702B" w:rsidRDefault="00DA702B" w:rsidP="00DA702B">
            <w:pPr>
              <w:rPr>
                <w:sz w:val="20"/>
                <w:szCs w:val="20"/>
              </w:rPr>
            </w:pPr>
          </w:p>
        </w:tc>
        <w:tc>
          <w:tcPr>
            <w:tcW w:w="2057" w:type="dxa"/>
          </w:tcPr>
          <w:p w14:paraId="4A325C86" w14:textId="77777777" w:rsidR="00DA702B" w:rsidRPr="00DA702B" w:rsidRDefault="00DA702B" w:rsidP="00DA702B">
            <w:pPr>
              <w:rPr>
                <w:sz w:val="20"/>
                <w:szCs w:val="20"/>
              </w:rPr>
            </w:pPr>
          </w:p>
        </w:tc>
        <w:tc>
          <w:tcPr>
            <w:tcW w:w="2057" w:type="dxa"/>
          </w:tcPr>
          <w:p w14:paraId="0914647D" w14:textId="77777777" w:rsidR="00DA702B" w:rsidRPr="00DA702B" w:rsidRDefault="00DA702B" w:rsidP="00DA702B">
            <w:pPr>
              <w:rPr>
                <w:sz w:val="20"/>
                <w:szCs w:val="20"/>
              </w:rPr>
            </w:pPr>
          </w:p>
        </w:tc>
        <w:tc>
          <w:tcPr>
            <w:tcW w:w="2057" w:type="dxa"/>
          </w:tcPr>
          <w:p w14:paraId="6E5FC0C9" w14:textId="77777777" w:rsidR="00DA702B" w:rsidRPr="00DA702B" w:rsidRDefault="00DA702B" w:rsidP="00DA702B">
            <w:pPr>
              <w:rPr>
                <w:sz w:val="20"/>
                <w:szCs w:val="20"/>
              </w:rPr>
            </w:pPr>
          </w:p>
        </w:tc>
        <w:tc>
          <w:tcPr>
            <w:tcW w:w="2057" w:type="dxa"/>
          </w:tcPr>
          <w:p w14:paraId="6A73D3C1" w14:textId="77777777" w:rsidR="00DA702B" w:rsidRPr="00DA702B" w:rsidRDefault="00DA702B" w:rsidP="00DA702B">
            <w:pPr>
              <w:rPr>
                <w:sz w:val="20"/>
                <w:szCs w:val="20"/>
              </w:rPr>
            </w:pPr>
          </w:p>
        </w:tc>
      </w:tr>
      <w:tr w:rsidR="00DA702B" w:rsidRPr="00DA702B" w14:paraId="6E36F169" w14:textId="77777777" w:rsidTr="00247007">
        <w:trPr>
          <w:cantSplit/>
          <w:trHeight w:val="346"/>
          <w:tblHeader/>
        </w:trPr>
        <w:tc>
          <w:tcPr>
            <w:tcW w:w="2057" w:type="dxa"/>
          </w:tcPr>
          <w:p w14:paraId="37135C19" w14:textId="77777777" w:rsidR="00DA702B" w:rsidRPr="00DA702B" w:rsidRDefault="00DA702B" w:rsidP="00DA702B">
            <w:pPr>
              <w:rPr>
                <w:sz w:val="20"/>
                <w:szCs w:val="20"/>
              </w:rPr>
            </w:pPr>
          </w:p>
        </w:tc>
        <w:tc>
          <w:tcPr>
            <w:tcW w:w="2057" w:type="dxa"/>
          </w:tcPr>
          <w:p w14:paraId="7CC1049E" w14:textId="77777777" w:rsidR="00DA702B" w:rsidRPr="00DA702B" w:rsidRDefault="00DA702B" w:rsidP="00DA702B">
            <w:pPr>
              <w:rPr>
                <w:sz w:val="20"/>
                <w:szCs w:val="20"/>
              </w:rPr>
            </w:pPr>
          </w:p>
        </w:tc>
        <w:tc>
          <w:tcPr>
            <w:tcW w:w="2058" w:type="dxa"/>
          </w:tcPr>
          <w:p w14:paraId="13DB23ED" w14:textId="77777777" w:rsidR="00DA702B" w:rsidRPr="00DA702B" w:rsidRDefault="00DA702B" w:rsidP="00DA702B">
            <w:pPr>
              <w:rPr>
                <w:sz w:val="20"/>
                <w:szCs w:val="20"/>
              </w:rPr>
            </w:pPr>
          </w:p>
        </w:tc>
        <w:tc>
          <w:tcPr>
            <w:tcW w:w="2057" w:type="dxa"/>
          </w:tcPr>
          <w:p w14:paraId="58FDFEC2" w14:textId="77777777" w:rsidR="00DA702B" w:rsidRPr="00DA702B" w:rsidRDefault="00DA702B" w:rsidP="00DA702B">
            <w:pPr>
              <w:rPr>
                <w:sz w:val="20"/>
                <w:szCs w:val="20"/>
              </w:rPr>
            </w:pPr>
          </w:p>
        </w:tc>
        <w:tc>
          <w:tcPr>
            <w:tcW w:w="2057" w:type="dxa"/>
          </w:tcPr>
          <w:p w14:paraId="23233324" w14:textId="77777777" w:rsidR="00DA702B" w:rsidRPr="00DA702B" w:rsidRDefault="00DA702B" w:rsidP="00DA702B">
            <w:pPr>
              <w:rPr>
                <w:sz w:val="20"/>
                <w:szCs w:val="20"/>
              </w:rPr>
            </w:pPr>
          </w:p>
        </w:tc>
        <w:tc>
          <w:tcPr>
            <w:tcW w:w="2057" w:type="dxa"/>
          </w:tcPr>
          <w:p w14:paraId="186DBDAE" w14:textId="77777777" w:rsidR="00DA702B" w:rsidRPr="00DA702B" w:rsidRDefault="00DA702B" w:rsidP="00DA702B">
            <w:pPr>
              <w:rPr>
                <w:sz w:val="20"/>
                <w:szCs w:val="20"/>
              </w:rPr>
            </w:pPr>
          </w:p>
        </w:tc>
        <w:tc>
          <w:tcPr>
            <w:tcW w:w="2057" w:type="dxa"/>
          </w:tcPr>
          <w:p w14:paraId="45126845" w14:textId="77777777" w:rsidR="00DA702B" w:rsidRPr="00DA702B" w:rsidRDefault="00DA702B" w:rsidP="00DA702B">
            <w:pPr>
              <w:rPr>
                <w:sz w:val="20"/>
                <w:szCs w:val="20"/>
              </w:rPr>
            </w:pPr>
          </w:p>
        </w:tc>
      </w:tr>
      <w:tr w:rsidR="00DA702B" w:rsidRPr="00DA702B" w14:paraId="3328CADC" w14:textId="77777777" w:rsidTr="00247007">
        <w:trPr>
          <w:cantSplit/>
          <w:trHeight w:val="346"/>
          <w:tblHeader/>
        </w:trPr>
        <w:tc>
          <w:tcPr>
            <w:tcW w:w="2057" w:type="dxa"/>
          </w:tcPr>
          <w:p w14:paraId="4CD83AE3" w14:textId="77777777" w:rsidR="00DA702B" w:rsidRPr="00DA702B" w:rsidRDefault="00DA702B" w:rsidP="00DA702B">
            <w:pPr>
              <w:rPr>
                <w:sz w:val="20"/>
                <w:szCs w:val="20"/>
              </w:rPr>
            </w:pPr>
          </w:p>
        </w:tc>
        <w:tc>
          <w:tcPr>
            <w:tcW w:w="2057" w:type="dxa"/>
          </w:tcPr>
          <w:p w14:paraId="1E57E61E" w14:textId="77777777" w:rsidR="00DA702B" w:rsidRPr="00DA702B" w:rsidRDefault="00DA702B" w:rsidP="00DA702B">
            <w:pPr>
              <w:rPr>
                <w:sz w:val="20"/>
                <w:szCs w:val="20"/>
              </w:rPr>
            </w:pPr>
          </w:p>
        </w:tc>
        <w:tc>
          <w:tcPr>
            <w:tcW w:w="2058" w:type="dxa"/>
          </w:tcPr>
          <w:p w14:paraId="2D23C399" w14:textId="77777777" w:rsidR="00DA702B" w:rsidRPr="00DA702B" w:rsidRDefault="00DA702B" w:rsidP="00DA702B">
            <w:pPr>
              <w:rPr>
                <w:sz w:val="20"/>
                <w:szCs w:val="20"/>
              </w:rPr>
            </w:pPr>
          </w:p>
        </w:tc>
        <w:tc>
          <w:tcPr>
            <w:tcW w:w="2057" w:type="dxa"/>
          </w:tcPr>
          <w:p w14:paraId="50138EFC" w14:textId="77777777" w:rsidR="00DA702B" w:rsidRPr="00DA702B" w:rsidRDefault="00DA702B" w:rsidP="00DA702B">
            <w:pPr>
              <w:rPr>
                <w:sz w:val="20"/>
                <w:szCs w:val="20"/>
              </w:rPr>
            </w:pPr>
          </w:p>
        </w:tc>
        <w:tc>
          <w:tcPr>
            <w:tcW w:w="2057" w:type="dxa"/>
          </w:tcPr>
          <w:p w14:paraId="1961418D" w14:textId="77777777" w:rsidR="00DA702B" w:rsidRPr="00DA702B" w:rsidRDefault="00DA702B" w:rsidP="00DA702B">
            <w:pPr>
              <w:rPr>
                <w:sz w:val="20"/>
                <w:szCs w:val="20"/>
              </w:rPr>
            </w:pPr>
          </w:p>
        </w:tc>
        <w:tc>
          <w:tcPr>
            <w:tcW w:w="2057" w:type="dxa"/>
          </w:tcPr>
          <w:p w14:paraId="431C7632" w14:textId="77777777" w:rsidR="00DA702B" w:rsidRPr="00DA702B" w:rsidRDefault="00DA702B" w:rsidP="00DA702B">
            <w:pPr>
              <w:rPr>
                <w:sz w:val="20"/>
                <w:szCs w:val="20"/>
              </w:rPr>
            </w:pPr>
          </w:p>
        </w:tc>
        <w:tc>
          <w:tcPr>
            <w:tcW w:w="2057" w:type="dxa"/>
          </w:tcPr>
          <w:p w14:paraId="35EF29F1" w14:textId="77777777" w:rsidR="00DA702B" w:rsidRPr="00DA702B" w:rsidRDefault="00DA702B" w:rsidP="00DA702B">
            <w:pPr>
              <w:rPr>
                <w:sz w:val="20"/>
                <w:szCs w:val="20"/>
              </w:rPr>
            </w:pPr>
          </w:p>
        </w:tc>
      </w:tr>
      <w:tr w:rsidR="00DA702B" w:rsidRPr="00DA702B" w14:paraId="0A8BB2A0" w14:textId="77777777" w:rsidTr="00247007">
        <w:trPr>
          <w:cantSplit/>
          <w:trHeight w:val="346"/>
          <w:tblHeader/>
        </w:trPr>
        <w:tc>
          <w:tcPr>
            <w:tcW w:w="2057" w:type="dxa"/>
          </w:tcPr>
          <w:p w14:paraId="3EFB1843" w14:textId="77777777" w:rsidR="00DA702B" w:rsidRPr="00DA702B" w:rsidRDefault="00DA702B" w:rsidP="00DA702B">
            <w:pPr>
              <w:rPr>
                <w:sz w:val="20"/>
                <w:szCs w:val="20"/>
              </w:rPr>
            </w:pPr>
          </w:p>
        </w:tc>
        <w:tc>
          <w:tcPr>
            <w:tcW w:w="2057" w:type="dxa"/>
          </w:tcPr>
          <w:p w14:paraId="41DEA0F9" w14:textId="77777777" w:rsidR="00DA702B" w:rsidRPr="00DA702B" w:rsidRDefault="00DA702B" w:rsidP="00DA702B">
            <w:pPr>
              <w:rPr>
                <w:sz w:val="20"/>
                <w:szCs w:val="20"/>
              </w:rPr>
            </w:pPr>
          </w:p>
        </w:tc>
        <w:tc>
          <w:tcPr>
            <w:tcW w:w="2058" w:type="dxa"/>
          </w:tcPr>
          <w:p w14:paraId="14D25A1C" w14:textId="77777777" w:rsidR="00DA702B" w:rsidRPr="00DA702B" w:rsidRDefault="00DA702B" w:rsidP="00DA702B">
            <w:pPr>
              <w:rPr>
                <w:sz w:val="20"/>
                <w:szCs w:val="20"/>
              </w:rPr>
            </w:pPr>
          </w:p>
        </w:tc>
        <w:tc>
          <w:tcPr>
            <w:tcW w:w="2057" w:type="dxa"/>
          </w:tcPr>
          <w:p w14:paraId="64D79BFE" w14:textId="77777777" w:rsidR="00DA702B" w:rsidRPr="00DA702B" w:rsidRDefault="00DA702B" w:rsidP="00DA702B">
            <w:pPr>
              <w:rPr>
                <w:sz w:val="20"/>
                <w:szCs w:val="20"/>
              </w:rPr>
            </w:pPr>
          </w:p>
        </w:tc>
        <w:tc>
          <w:tcPr>
            <w:tcW w:w="2057" w:type="dxa"/>
          </w:tcPr>
          <w:p w14:paraId="3E88457A" w14:textId="77777777" w:rsidR="00DA702B" w:rsidRPr="00DA702B" w:rsidRDefault="00DA702B" w:rsidP="00DA702B">
            <w:pPr>
              <w:rPr>
                <w:sz w:val="20"/>
                <w:szCs w:val="20"/>
              </w:rPr>
            </w:pPr>
          </w:p>
        </w:tc>
        <w:tc>
          <w:tcPr>
            <w:tcW w:w="2057" w:type="dxa"/>
          </w:tcPr>
          <w:p w14:paraId="0CDE29DF" w14:textId="77777777" w:rsidR="00DA702B" w:rsidRPr="00DA702B" w:rsidRDefault="00DA702B" w:rsidP="00DA702B">
            <w:pPr>
              <w:rPr>
                <w:sz w:val="20"/>
                <w:szCs w:val="20"/>
              </w:rPr>
            </w:pPr>
          </w:p>
        </w:tc>
        <w:tc>
          <w:tcPr>
            <w:tcW w:w="2057" w:type="dxa"/>
          </w:tcPr>
          <w:p w14:paraId="41F90D9A" w14:textId="77777777" w:rsidR="00DA702B" w:rsidRPr="00DA702B" w:rsidRDefault="00DA702B" w:rsidP="00DA702B">
            <w:pPr>
              <w:rPr>
                <w:sz w:val="20"/>
                <w:szCs w:val="20"/>
              </w:rPr>
            </w:pPr>
          </w:p>
        </w:tc>
      </w:tr>
      <w:tr w:rsidR="00DA702B" w:rsidRPr="00DA702B" w14:paraId="40CF150B" w14:textId="77777777" w:rsidTr="00247007">
        <w:trPr>
          <w:cantSplit/>
          <w:trHeight w:val="346"/>
          <w:tblHeader/>
        </w:trPr>
        <w:tc>
          <w:tcPr>
            <w:tcW w:w="2057" w:type="dxa"/>
          </w:tcPr>
          <w:p w14:paraId="2C506A42" w14:textId="77777777" w:rsidR="00DA702B" w:rsidRPr="00DA702B" w:rsidRDefault="00DA702B" w:rsidP="00DA702B">
            <w:pPr>
              <w:rPr>
                <w:sz w:val="20"/>
                <w:szCs w:val="20"/>
              </w:rPr>
            </w:pPr>
          </w:p>
        </w:tc>
        <w:tc>
          <w:tcPr>
            <w:tcW w:w="2057" w:type="dxa"/>
          </w:tcPr>
          <w:p w14:paraId="2409406B" w14:textId="77777777" w:rsidR="00DA702B" w:rsidRPr="00DA702B" w:rsidRDefault="00DA702B" w:rsidP="00DA702B">
            <w:pPr>
              <w:rPr>
                <w:sz w:val="20"/>
                <w:szCs w:val="20"/>
              </w:rPr>
            </w:pPr>
          </w:p>
        </w:tc>
        <w:tc>
          <w:tcPr>
            <w:tcW w:w="2058" w:type="dxa"/>
          </w:tcPr>
          <w:p w14:paraId="11F90591" w14:textId="77777777" w:rsidR="00DA702B" w:rsidRPr="00DA702B" w:rsidRDefault="00DA702B" w:rsidP="00DA702B">
            <w:pPr>
              <w:rPr>
                <w:sz w:val="20"/>
                <w:szCs w:val="20"/>
              </w:rPr>
            </w:pPr>
          </w:p>
        </w:tc>
        <w:tc>
          <w:tcPr>
            <w:tcW w:w="2057" w:type="dxa"/>
          </w:tcPr>
          <w:p w14:paraId="19574419" w14:textId="77777777" w:rsidR="00DA702B" w:rsidRPr="00DA702B" w:rsidRDefault="00DA702B" w:rsidP="00DA702B">
            <w:pPr>
              <w:rPr>
                <w:sz w:val="20"/>
                <w:szCs w:val="20"/>
              </w:rPr>
            </w:pPr>
          </w:p>
        </w:tc>
        <w:tc>
          <w:tcPr>
            <w:tcW w:w="2057" w:type="dxa"/>
          </w:tcPr>
          <w:p w14:paraId="43DC444E" w14:textId="77777777" w:rsidR="00DA702B" w:rsidRPr="00DA702B" w:rsidRDefault="00DA702B" w:rsidP="00DA702B">
            <w:pPr>
              <w:rPr>
                <w:sz w:val="20"/>
                <w:szCs w:val="20"/>
              </w:rPr>
            </w:pPr>
          </w:p>
        </w:tc>
        <w:tc>
          <w:tcPr>
            <w:tcW w:w="2057" w:type="dxa"/>
          </w:tcPr>
          <w:p w14:paraId="74353A47" w14:textId="77777777" w:rsidR="00DA702B" w:rsidRPr="00DA702B" w:rsidRDefault="00DA702B" w:rsidP="00DA702B">
            <w:pPr>
              <w:rPr>
                <w:sz w:val="20"/>
                <w:szCs w:val="20"/>
              </w:rPr>
            </w:pPr>
          </w:p>
        </w:tc>
        <w:tc>
          <w:tcPr>
            <w:tcW w:w="2057" w:type="dxa"/>
          </w:tcPr>
          <w:p w14:paraId="39099CBF" w14:textId="77777777" w:rsidR="00DA702B" w:rsidRPr="00DA702B" w:rsidRDefault="00DA702B" w:rsidP="00DA702B">
            <w:pPr>
              <w:rPr>
                <w:sz w:val="20"/>
                <w:szCs w:val="20"/>
              </w:rPr>
            </w:pPr>
          </w:p>
        </w:tc>
      </w:tr>
    </w:tbl>
    <w:p w14:paraId="63670FAD" w14:textId="7CEB1F3B" w:rsidR="00686C0B" w:rsidRDefault="00686C0B" w:rsidP="00DA702B">
      <w:pPr>
        <w:rPr>
          <w:sz w:val="20"/>
          <w:szCs w:val="20"/>
        </w:rPr>
      </w:pPr>
      <w:r>
        <w:rPr>
          <w:sz w:val="20"/>
          <w:szCs w:val="20"/>
        </w:rPr>
        <w:br w:type="page"/>
      </w:r>
    </w:p>
    <w:p w14:paraId="7DF65158" w14:textId="77777777" w:rsidR="00DA702B" w:rsidRPr="00DA702B" w:rsidRDefault="00DA702B" w:rsidP="00686C0B">
      <w:pPr>
        <w:widowControl w:val="0"/>
        <w:jc w:val="center"/>
        <w:rPr>
          <w:rFonts w:eastAsiaTheme="majorEastAsia"/>
          <w:b/>
          <w:bCs/>
        </w:rPr>
      </w:pPr>
      <w:r w:rsidRPr="00DA702B">
        <w:rPr>
          <w:rFonts w:eastAsiaTheme="majorEastAsia"/>
          <w:b/>
          <w:bCs/>
        </w:rPr>
        <w:lastRenderedPageBreak/>
        <w:t>Boiler/Steam Generator/Steam Generating Unit Attributes</w:t>
      </w:r>
    </w:p>
    <w:p w14:paraId="6D9B8FE8" w14:textId="77777777" w:rsidR="00DA702B" w:rsidRPr="00DA702B" w:rsidRDefault="00DA702B" w:rsidP="00686C0B">
      <w:pPr>
        <w:widowControl w:val="0"/>
        <w:jc w:val="center"/>
        <w:rPr>
          <w:rFonts w:eastAsiaTheme="majorEastAsia"/>
          <w:b/>
          <w:bCs/>
        </w:rPr>
      </w:pPr>
      <w:r w:rsidRPr="00DA702B">
        <w:rPr>
          <w:rFonts w:eastAsiaTheme="majorEastAsia"/>
          <w:b/>
          <w:bCs/>
        </w:rPr>
        <w:t>Form OP-UA6 (Page 36)</w:t>
      </w:r>
    </w:p>
    <w:p w14:paraId="03ECA9B3" w14:textId="77777777" w:rsidR="00DA702B" w:rsidRPr="00DA702B" w:rsidRDefault="00DA702B" w:rsidP="00686C0B">
      <w:pPr>
        <w:widowControl w:val="0"/>
        <w:jc w:val="center"/>
        <w:rPr>
          <w:rFonts w:eastAsiaTheme="majorEastAsia"/>
          <w:b/>
          <w:bCs/>
        </w:rPr>
      </w:pPr>
      <w:r w:rsidRPr="00DA702B">
        <w:rPr>
          <w:rFonts w:eastAsiaTheme="majorEastAsia"/>
          <w:b/>
          <w:bCs/>
        </w:rPr>
        <w:t>Federal Operating Permit Program</w:t>
      </w:r>
    </w:p>
    <w:p w14:paraId="2936F997" w14:textId="77777777" w:rsidR="00DA702B" w:rsidRPr="00DA702B" w:rsidRDefault="00DA702B" w:rsidP="00686C0B">
      <w:pPr>
        <w:widowControl w:val="0"/>
        <w:jc w:val="center"/>
        <w:rPr>
          <w:rFonts w:eastAsiaTheme="majorEastAsia"/>
          <w:b/>
          <w:bCs/>
        </w:rPr>
      </w:pPr>
      <w:bookmarkStart w:id="198" w:name="TBL_13i"/>
      <w:r w:rsidRPr="00DA702B">
        <w:rPr>
          <w:rFonts w:eastAsiaTheme="majorEastAsia"/>
          <w:b/>
          <w:bCs/>
        </w:rPr>
        <w:t>Table 13i</w:t>
      </w:r>
      <w:bookmarkEnd w:id="198"/>
      <w:r w:rsidRPr="00DA702B">
        <w:rPr>
          <w:rFonts w:eastAsiaTheme="majorEastAsia"/>
          <w:b/>
          <w:bCs/>
        </w:rPr>
        <w:t>:  Title 40 Code of Federal Regulations Part 63 (40 CFR Part 63)</w:t>
      </w:r>
    </w:p>
    <w:p w14:paraId="3D11ED39" w14:textId="77777777" w:rsidR="00DA702B" w:rsidRPr="00DA702B" w:rsidRDefault="00DA702B" w:rsidP="00686C0B">
      <w:pPr>
        <w:widowControl w:val="0"/>
        <w:jc w:val="center"/>
        <w:rPr>
          <w:rFonts w:eastAsiaTheme="majorEastAsia"/>
          <w:b/>
          <w:bCs/>
        </w:rPr>
      </w:pPr>
      <w:r w:rsidRPr="00DA702B">
        <w:rPr>
          <w:rFonts w:eastAsiaTheme="majorEastAsia"/>
          <w:b/>
          <w:bCs/>
        </w:rPr>
        <w:t>Subpart UUUUU:  Coal- and Oil-Fired Electric Utility Steam Generating Units</w:t>
      </w:r>
    </w:p>
    <w:p w14:paraId="73C6759A" w14:textId="77777777" w:rsidR="00DA702B" w:rsidRPr="00DA702B" w:rsidRDefault="00DA702B" w:rsidP="00686C0B">
      <w:pPr>
        <w:widowControl w:val="0"/>
        <w:jc w:val="center"/>
        <w:rPr>
          <w:b/>
          <w:bCs/>
        </w:rPr>
      </w:pPr>
      <w:r w:rsidRPr="00DA702B">
        <w:rPr>
          <w:b/>
          <w:bCs/>
        </w:rPr>
        <w:t>Texas Commission on Environmental Quality</w:t>
      </w:r>
    </w:p>
    <w:p w14:paraId="1F9A833E"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i:  Title 40 Code of Federal Regulations Part 63 (40 CFR Part 63)&#10;Subpart UUUUU:  Coal- and Oil-Fired Electric Utility Steam Generating Units&#10;"/>
      </w:tblPr>
      <w:tblGrid>
        <w:gridCol w:w="4800"/>
        <w:gridCol w:w="4800"/>
        <w:gridCol w:w="4800"/>
      </w:tblGrid>
      <w:tr w:rsidR="00DA702B" w:rsidRPr="00DA702B" w14:paraId="37214B88" w14:textId="77777777" w:rsidTr="00247007">
        <w:trPr>
          <w:cantSplit/>
          <w:tblHeader/>
        </w:trPr>
        <w:tc>
          <w:tcPr>
            <w:tcW w:w="4800" w:type="dxa"/>
            <w:shd w:val="clear" w:color="auto" w:fill="D9D9D9" w:themeFill="background1" w:themeFillShade="D9"/>
          </w:tcPr>
          <w:p w14:paraId="05A9A364"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7EDD9D7"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5ACAF4E1"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719617A4" w14:textId="77777777" w:rsidTr="00247007">
        <w:trPr>
          <w:cantSplit/>
          <w:tblHeader/>
        </w:trPr>
        <w:tc>
          <w:tcPr>
            <w:tcW w:w="4800" w:type="dxa"/>
          </w:tcPr>
          <w:p w14:paraId="135B7A8C" w14:textId="77777777" w:rsidR="00DA702B" w:rsidRPr="00DA702B" w:rsidRDefault="00DA702B" w:rsidP="00DA702B">
            <w:pPr>
              <w:rPr>
                <w:rFonts w:asciiTheme="majorHAnsi" w:hAnsiTheme="majorHAnsi" w:cstheme="majorHAnsi"/>
              </w:rPr>
            </w:pPr>
          </w:p>
        </w:tc>
        <w:tc>
          <w:tcPr>
            <w:tcW w:w="4800" w:type="dxa"/>
          </w:tcPr>
          <w:p w14:paraId="3779140B" w14:textId="77777777" w:rsidR="00DA702B" w:rsidRPr="00DA702B" w:rsidRDefault="00DA702B" w:rsidP="00DA702B">
            <w:pPr>
              <w:rPr>
                <w:rFonts w:asciiTheme="majorHAnsi" w:hAnsiTheme="majorHAnsi" w:cstheme="majorHAnsi"/>
              </w:rPr>
            </w:pPr>
          </w:p>
        </w:tc>
        <w:tc>
          <w:tcPr>
            <w:tcW w:w="4800" w:type="dxa"/>
          </w:tcPr>
          <w:p w14:paraId="3B02B2E7" w14:textId="77777777" w:rsidR="00DA702B" w:rsidRPr="00DA702B" w:rsidRDefault="00DA702B" w:rsidP="00DA702B">
            <w:pPr>
              <w:rPr>
                <w:rFonts w:asciiTheme="majorHAnsi" w:hAnsiTheme="majorHAnsi" w:cstheme="majorHAnsi"/>
              </w:rPr>
            </w:pPr>
          </w:p>
        </w:tc>
      </w:tr>
    </w:tbl>
    <w:p w14:paraId="2615D29C"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3i:  Title 40 Code of Federal Regulations Part 63 (40 CFR Part 63)&#10;Subpart UUUUU:  Coal- and Oil-Fired Electric Utility Steam Generating Units&#10;"/>
      </w:tblPr>
      <w:tblGrid>
        <w:gridCol w:w="1800"/>
        <w:gridCol w:w="1800"/>
        <w:gridCol w:w="1800"/>
        <w:gridCol w:w="1800"/>
        <w:gridCol w:w="1800"/>
        <w:gridCol w:w="1800"/>
        <w:gridCol w:w="1800"/>
        <w:gridCol w:w="1800"/>
      </w:tblGrid>
      <w:tr w:rsidR="00DA702B" w:rsidRPr="00DA702B" w14:paraId="77481327" w14:textId="77777777" w:rsidTr="00247007">
        <w:trPr>
          <w:cantSplit/>
          <w:trHeight w:val="346"/>
          <w:tblHeader/>
        </w:trPr>
        <w:tc>
          <w:tcPr>
            <w:tcW w:w="1800" w:type="dxa"/>
            <w:shd w:val="clear" w:color="auto" w:fill="D9D9D9" w:themeFill="background1" w:themeFillShade="D9"/>
            <w:vAlign w:val="center"/>
          </w:tcPr>
          <w:p w14:paraId="2E3D7108" w14:textId="77777777" w:rsidR="00DA702B" w:rsidRPr="00DA702B" w:rsidRDefault="00DA702B" w:rsidP="00DA702B">
            <w:pPr>
              <w:jc w:val="center"/>
            </w:pPr>
            <w:r w:rsidRPr="00DA702B">
              <w:rPr>
                <w:b/>
                <w:sz w:val="20"/>
                <w:szCs w:val="20"/>
              </w:rPr>
              <w:t>Unit ID No.</w:t>
            </w:r>
          </w:p>
        </w:tc>
        <w:tc>
          <w:tcPr>
            <w:tcW w:w="1800" w:type="dxa"/>
            <w:shd w:val="clear" w:color="auto" w:fill="D9D9D9" w:themeFill="background1" w:themeFillShade="D9"/>
            <w:vAlign w:val="center"/>
          </w:tcPr>
          <w:p w14:paraId="062608E4" w14:textId="77777777" w:rsidR="00DA702B" w:rsidRPr="00DA702B" w:rsidRDefault="00DA702B" w:rsidP="00DA702B">
            <w:pPr>
              <w:jc w:val="center"/>
            </w:pPr>
            <w:r w:rsidRPr="00DA702B">
              <w:rPr>
                <w:b/>
                <w:sz w:val="20"/>
                <w:szCs w:val="20"/>
              </w:rPr>
              <w:t>SOP Index No.</w:t>
            </w:r>
          </w:p>
        </w:tc>
        <w:tc>
          <w:tcPr>
            <w:tcW w:w="1800" w:type="dxa"/>
            <w:shd w:val="clear" w:color="auto" w:fill="D9D9D9" w:themeFill="background1" w:themeFillShade="D9"/>
            <w:vAlign w:val="center"/>
          </w:tcPr>
          <w:p w14:paraId="7C2FC327" w14:textId="77777777" w:rsidR="00DA702B" w:rsidRPr="00DA702B" w:rsidRDefault="00DA702B" w:rsidP="00DA702B">
            <w:pPr>
              <w:jc w:val="center"/>
            </w:pPr>
            <w:r w:rsidRPr="00DA702B">
              <w:rPr>
                <w:b/>
                <w:sz w:val="20"/>
                <w:szCs w:val="20"/>
              </w:rPr>
              <w:t>Compliance Demo</w:t>
            </w:r>
          </w:p>
        </w:tc>
        <w:tc>
          <w:tcPr>
            <w:tcW w:w="1800" w:type="dxa"/>
            <w:shd w:val="clear" w:color="auto" w:fill="D9D9D9" w:themeFill="background1" w:themeFillShade="D9"/>
            <w:vAlign w:val="center"/>
          </w:tcPr>
          <w:p w14:paraId="4F5EB570" w14:textId="77777777" w:rsidR="00DA702B" w:rsidRPr="00DA702B" w:rsidRDefault="00DA702B" w:rsidP="00DA702B">
            <w:pPr>
              <w:jc w:val="center"/>
            </w:pPr>
            <w:r w:rsidRPr="00DA702B">
              <w:rPr>
                <w:b/>
                <w:sz w:val="20"/>
                <w:szCs w:val="20"/>
              </w:rPr>
              <w:t>Stack Config</w:t>
            </w:r>
          </w:p>
        </w:tc>
        <w:tc>
          <w:tcPr>
            <w:tcW w:w="1800" w:type="dxa"/>
            <w:shd w:val="clear" w:color="auto" w:fill="D9D9D9" w:themeFill="background1" w:themeFillShade="D9"/>
            <w:vAlign w:val="center"/>
          </w:tcPr>
          <w:p w14:paraId="7F6376B4" w14:textId="77777777" w:rsidR="00DA702B" w:rsidRPr="00DA702B" w:rsidRDefault="00DA702B" w:rsidP="00DA702B">
            <w:pPr>
              <w:jc w:val="center"/>
            </w:pPr>
            <w:r w:rsidRPr="00DA702B">
              <w:rPr>
                <w:b/>
                <w:sz w:val="20"/>
                <w:szCs w:val="20"/>
              </w:rPr>
              <w:t>O</w:t>
            </w:r>
            <w:r w:rsidRPr="00DA702B">
              <w:rPr>
                <w:b/>
                <w:sz w:val="20"/>
                <w:szCs w:val="20"/>
                <w:vertAlign w:val="subscript"/>
              </w:rPr>
              <w:t>2</w:t>
            </w:r>
            <w:r w:rsidRPr="00DA702B">
              <w:rPr>
                <w:b/>
                <w:sz w:val="20"/>
                <w:szCs w:val="20"/>
              </w:rPr>
              <w:t>-CO</w:t>
            </w:r>
            <w:r w:rsidRPr="00DA702B">
              <w:rPr>
                <w:b/>
                <w:sz w:val="20"/>
                <w:szCs w:val="20"/>
                <w:vertAlign w:val="subscript"/>
              </w:rPr>
              <w:t>2</w:t>
            </w:r>
            <w:r w:rsidRPr="00DA702B">
              <w:rPr>
                <w:b/>
                <w:sz w:val="20"/>
                <w:szCs w:val="20"/>
              </w:rPr>
              <w:t xml:space="preserve"> CEMS</w:t>
            </w:r>
          </w:p>
        </w:tc>
        <w:tc>
          <w:tcPr>
            <w:tcW w:w="1800" w:type="dxa"/>
            <w:shd w:val="clear" w:color="auto" w:fill="D9D9D9" w:themeFill="background1" w:themeFillShade="D9"/>
            <w:vAlign w:val="center"/>
          </w:tcPr>
          <w:p w14:paraId="25CDE29C" w14:textId="77777777" w:rsidR="00DA702B" w:rsidRPr="00DA702B" w:rsidRDefault="00DA702B" w:rsidP="00DA702B">
            <w:pPr>
              <w:jc w:val="center"/>
            </w:pPr>
            <w:r w:rsidRPr="00DA702B">
              <w:rPr>
                <w:b/>
                <w:sz w:val="20"/>
                <w:szCs w:val="20"/>
              </w:rPr>
              <w:t>Flow Monitor</w:t>
            </w:r>
          </w:p>
        </w:tc>
        <w:tc>
          <w:tcPr>
            <w:tcW w:w="1800" w:type="dxa"/>
            <w:shd w:val="clear" w:color="auto" w:fill="D9D9D9" w:themeFill="background1" w:themeFillShade="D9"/>
            <w:vAlign w:val="center"/>
          </w:tcPr>
          <w:p w14:paraId="667B4107" w14:textId="77777777" w:rsidR="00DA702B" w:rsidRPr="00DA702B" w:rsidRDefault="00DA702B" w:rsidP="00DA702B">
            <w:pPr>
              <w:jc w:val="center"/>
            </w:pPr>
            <w:r w:rsidRPr="00DA702B">
              <w:rPr>
                <w:b/>
                <w:sz w:val="20"/>
                <w:szCs w:val="20"/>
              </w:rPr>
              <w:t>Gas Moisture</w:t>
            </w:r>
          </w:p>
        </w:tc>
        <w:tc>
          <w:tcPr>
            <w:tcW w:w="1800" w:type="dxa"/>
            <w:shd w:val="clear" w:color="auto" w:fill="D9D9D9" w:themeFill="background1" w:themeFillShade="D9"/>
            <w:vAlign w:val="center"/>
          </w:tcPr>
          <w:p w14:paraId="217A98E3" w14:textId="77777777" w:rsidR="00DA702B" w:rsidRPr="00DA702B" w:rsidRDefault="00DA702B" w:rsidP="00DA702B">
            <w:pPr>
              <w:jc w:val="center"/>
            </w:pPr>
            <w:r w:rsidRPr="00DA702B">
              <w:rPr>
                <w:b/>
                <w:sz w:val="20"/>
                <w:szCs w:val="20"/>
              </w:rPr>
              <w:t>Direct HAP</w:t>
            </w:r>
          </w:p>
        </w:tc>
      </w:tr>
      <w:tr w:rsidR="00DA702B" w:rsidRPr="00DA702B" w14:paraId="6BFDB408" w14:textId="77777777" w:rsidTr="00247007">
        <w:trPr>
          <w:cantSplit/>
          <w:trHeight w:val="346"/>
          <w:tblHeader/>
        </w:trPr>
        <w:tc>
          <w:tcPr>
            <w:tcW w:w="1800" w:type="dxa"/>
          </w:tcPr>
          <w:p w14:paraId="2313C571" w14:textId="77777777" w:rsidR="00DA702B" w:rsidRPr="00DA702B" w:rsidRDefault="00DA702B" w:rsidP="00DA702B"/>
        </w:tc>
        <w:tc>
          <w:tcPr>
            <w:tcW w:w="1800" w:type="dxa"/>
          </w:tcPr>
          <w:p w14:paraId="488A46B5" w14:textId="77777777" w:rsidR="00DA702B" w:rsidRPr="00DA702B" w:rsidRDefault="00DA702B" w:rsidP="00DA702B"/>
        </w:tc>
        <w:tc>
          <w:tcPr>
            <w:tcW w:w="1800" w:type="dxa"/>
          </w:tcPr>
          <w:p w14:paraId="7BC7729B" w14:textId="77777777" w:rsidR="00DA702B" w:rsidRPr="00DA702B" w:rsidRDefault="00DA702B" w:rsidP="00DA702B"/>
        </w:tc>
        <w:tc>
          <w:tcPr>
            <w:tcW w:w="1800" w:type="dxa"/>
          </w:tcPr>
          <w:p w14:paraId="2D8490E2" w14:textId="77777777" w:rsidR="00DA702B" w:rsidRPr="00DA702B" w:rsidRDefault="00DA702B" w:rsidP="00DA702B"/>
        </w:tc>
        <w:tc>
          <w:tcPr>
            <w:tcW w:w="1800" w:type="dxa"/>
          </w:tcPr>
          <w:p w14:paraId="51B6E938" w14:textId="77777777" w:rsidR="00DA702B" w:rsidRPr="00DA702B" w:rsidRDefault="00DA702B" w:rsidP="00DA702B"/>
        </w:tc>
        <w:tc>
          <w:tcPr>
            <w:tcW w:w="1800" w:type="dxa"/>
          </w:tcPr>
          <w:p w14:paraId="711DEF3E" w14:textId="77777777" w:rsidR="00DA702B" w:rsidRPr="00DA702B" w:rsidRDefault="00DA702B" w:rsidP="00DA702B"/>
        </w:tc>
        <w:tc>
          <w:tcPr>
            <w:tcW w:w="1800" w:type="dxa"/>
          </w:tcPr>
          <w:p w14:paraId="24701EED" w14:textId="77777777" w:rsidR="00DA702B" w:rsidRPr="00DA702B" w:rsidRDefault="00DA702B" w:rsidP="00DA702B"/>
        </w:tc>
        <w:tc>
          <w:tcPr>
            <w:tcW w:w="1800" w:type="dxa"/>
          </w:tcPr>
          <w:p w14:paraId="7C5F383F" w14:textId="77777777" w:rsidR="00DA702B" w:rsidRPr="00DA702B" w:rsidRDefault="00DA702B" w:rsidP="00DA702B"/>
        </w:tc>
      </w:tr>
      <w:tr w:rsidR="00DA702B" w:rsidRPr="00DA702B" w14:paraId="1645D74E" w14:textId="77777777" w:rsidTr="00247007">
        <w:trPr>
          <w:cantSplit/>
          <w:trHeight w:val="346"/>
          <w:tblHeader/>
        </w:trPr>
        <w:tc>
          <w:tcPr>
            <w:tcW w:w="1800" w:type="dxa"/>
          </w:tcPr>
          <w:p w14:paraId="7EF08D84" w14:textId="77777777" w:rsidR="00DA702B" w:rsidRPr="00DA702B" w:rsidRDefault="00DA702B" w:rsidP="00DA702B"/>
        </w:tc>
        <w:tc>
          <w:tcPr>
            <w:tcW w:w="1800" w:type="dxa"/>
          </w:tcPr>
          <w:p w14:paraId="6D71EF78" w14:textId="77777777" w:rsidR="00DA702B" w:rsidRPr="00DA702B" w:rsidRDefault="00DA702B" w:rsidP="00DA702B"/>
        </w:tc>
        <w:tc>
          <w:tcPr>
            <w:tcW w:w="1800" w:type="dxa"/>
          </w:tcPr>
          <w:p w14:paraId="46FCCBCD" w14:textId="77777777" w:rsidR="00DA702B" w:rsidRPr="00DA702B" w:rsidRDefault="00DA702B" w:rsidP="00DA702B"/>
        </w:tc>
        <w:tc>
          <w:tcPr>
            <w:tcW w:w="1800" w:type="dxa"/>
          </w:tcPr>
          <w:p w14:paraId="6B233F07" w14:textId="77777777" w:rsidR="00DA702B" w:rsidRPr="00DA702B" w:rsidRDefault="00DA702B" w:rsidP="00DA702B"/>
        </w:tc>
        <w:tc>
          <w:tcPr>
            <w:tcW w:w="1800" w:type="dxa"/>
          </w:tcPr>
          <w:p w14:paraId="4235DB4A" w14:textId="77777777" w:rsidR="00DA702B" w:rsidRPr="00DA702B" w:rsidRDefault="00DA702B" w:rsidP="00DA702B"/>
        </w:tc>
        <w:tc>
          <w:tcPr>
            <w:tcW w:w="1800" w:type="dxa"/>
          </w:tcPr>
          <w:p w14:paraId="272A8784" w14:textId="77777777" w:rsidR="00DA702B" w:rsidRPr="00DA702B" w:rsidRDefault="00DA702B" w:rsidP="00DA702B"/>
        </w:tc>
        <w:tc>
          <w:tcPr>
            <w:tcW w:w="1800" w:type="dxa"/>
          </w:tcPr>
          <w:p w14:paraId="259DA06E" w14:textId="77777777" w:rsidR="00DA702B" w:rsidRPr="00DA702B" w:rsidRDefault="00DA702B" w:rsidP="00DA702B"/>
        </w:tc>
        <w:tc>
          <w:tcPr>
            <w:tcW w:w="1800" w:type="dxa"/>
          </w:tcPr>
          <w:p w14:paraId="2B206EC2" w14:textId="77777777" w:rsidR="00DA702B" w:rsidRPr="00DA702B" w:rsidRDefault="00DA702B" w:rsidP="00DA702B"/>
        </w:tc>
      </w:tr>
      <w:tr w:rsidR="00DA702B" w:rsidRPr="00DA702B" w14:paraId="74A28457" w14:textId="77777777" w:rsidTr="00247007">
        <w:trPr>
          <w:cantSplit/>
          <w:trHeight w:val="346"/>
          <w:tblHeader/>
        </w:trPr>
        <w:tc>
          <w:tcPr>
            <w:tcW w:w="1800" w:type="dxa"/>
          </w:tcPr>
          <w:p w14:paraId="1061821D" w14:textId="77777777" w:rsidR="00DA702B" w:rsidRPr="00DA702B" w:rsidRDefault="00DA702B" w:rsidP="00DA702B"/>
        </w:tc>
        <w:tc>
          <w:tcPr>
            <w:tcW w:w="1800" w:type="dxa"/>
          </w:tcPr>
          <w:p w14:paraId="07C93D8C" w14:textId="77777777" w:rsidR="00DA702B" w:rsidRPr="00DA702B" w:rsidRDefault="00DA702B" w:rsidP="00DA702B"/>
        </w:tc>
        <w:tc>
          <w:tcPr>
            <w:tcW w:w="1800" w:type="dxa"/>
          </w:tcPr>
          <w:p w14:paraId="4E4AE160" w14:textId="77777777" w:rsidR="00DA702B" w:rsidRPr="00DA702B" w:rsidRDefault="00DA702B" w:rsidP="00DA702B"/>
        </w:tc>
        <w:tc>
          <w:tcPr>
            <w:tcW w:w="1800" w:type="dxa"/>
          </w:tcPr>
          <w:p w14:paraId="29B4FE96" w14:textId="77777777" w:rsidR="00DA702B" w:rsidRPr="00DA702B" w:rsidRDefault="00DA702B" w:rsidP="00DA702B"/>
        </w:tc>
        <w:tc>
          <w:tcPr>
            <w:tcW w:w="1800" w:type="dxa"/>
          </w:tcPr>
          <w:p w14:paraId="1F978AC0" w14:textId="77777777" w:rsidR="00DA702B" w:rsidRPr="00DA702B" w:rsidRDefault="00DA702B" w:rsidP="00DA702B"/>
        </w:tc>
        <w:tc>
          <w:tcPr>
            <w:tcW w:w="1800" w:type="dxa"/>
          </w:tcPr>
          <w:p w14:paraId="13B29B74" w14:textId="77777777" w:rsidR="00DA702B" w:rsidRPr="00DA702B" w:rsidRDefault="00DA702B" w:rsidP="00DA702B"/>
        </w:tc>
        <w:tc>
          <w:tcPr>
            <w:tcW w:w="1800" w:type="dxa"/>
          </w:tcPr>
          <w:p w14:paraId="4602715B" w14:textId="77777777" w:rsidR="00DA702B" w:rsidRPr="00DA702B" w:rsidRDefault="00DA702B" w:rsidP="00DA702B"/>
        </w:tc>
        <w:tc>
          <w:tcPr>
            <w:tcW w:w="1800" w:type="dxa"/>
          </w:tcPr>
          <w:p w14:paraId="66C37D15" w14:textId="77777777" w:rsidR="00DA702B" w:rsidRPr="00DA702B" w:rsidRDefault="00DA702B" w:rsidP="00DA702B"/>
        </w:tc>
      </w:tr>
      <w:tr w:rsidR="00DA702B" w:rsidRPr="00DA702B" w14:paraId="501F11F8" w14:textId="77777777" w:rsidTr="00247007">
        <w:trPr>
          <w:cantSplit/>
          <w:trHeight w:val="346"/>
          <w:tblHeader/>
        </w:trPr>
        <w:tc>
          <w:tcPr>
            <w:tcW w:w="1800" w:type="dxa"/>
          </w:tcPr>
          <w:p w14:paraId="19BBE529" w14:textId="77777777" w:rsidR="00DA702B" w:rsidRPr="00DA702B" w:rsidRDefault="00DA702B" w:rsidP="00DA702B"/>
        </w:tc>
        <w:tc>
          <w:tcPr>
            <w:tcW w:w="1800" w:type="dxa"/>
          </w:tcPr>
          <w:p w14:paraId="58530A91" w14:textId="77777777" w:rsidR="00DA702B" w:rsidRPr="00DA702B" w:rsidRDefault="00DA702B" w:rsidP="00DA702B"/>
        </w:tc>
        <w:tc>
          <w:tcPr>
            <w:tcW w:w="1800" w:type="dxa"/>
          </w:tcPr>
          <w:p w14:paraId="04C9511E" w14:textId="77777777" w:rsidR="00DA702B" w:rsidRPr="00DA702B" w:rsidRDefault="00DA702B" w:rsidP="00DA702B"/>
        </w:tc>
        <w:tc>
          <w:tcPr>
            <w:tcW w:w="1800" w:type="dxa"/>
          </w:tcPr>
          <w:p w14:paraId="3A39A9B7" w14:textId="77777777" w:rsidR="00DA702B" w:rsidRPr="00DA702B" w:rsidRDefault="00DA702B" w:rsidP="00DA702B"/>
        </w:tc>
        <w:tc>
          <w:tcPr>
            <w:tcW w:w="1800" w:type="dxa"/>
          </w:tcPr>
          <w:p w14:paraId="5130A5B3" w14:textId="77777777" w:rsidR="00DA702B" w:rsidRPr="00DA702B" w:rsidRDefault="00DA702B" w:rsidP="00DA702B"/>
        </w:tc>
        <w:tc>
          <w:tcPr>
            <w:tcW w:w="1800" w:type="dxa"/>
          </w:tcPr>
          <w:p w14:paraId="5251A429" w14:textId="77777777" w:rsidR="00DA702B" w:rsidRPr="00DA702B" w:rsidRDefault="00DA702B" w:rsidP="00DA702B"/>
        </w:tc>
        <w:tc>
          <w:tcPr>
            <w:tcW w:w="1800" w:type="dxa"/>
          </w:tcPr>
          <w:p w14:paraId="21139476" w14:textId="77777777" w:rsidR="00DA702B" w:rsidRPr="00DA702B" w:rsidRDefault="00DA702B" w:rsidP="00DA702B"/>
        </w:tc>
        <w:tc>
          <w:tcPr>
            <w:tcW w:w="1800" w:type="dxa"/>
          </w:tcPr>
          <w:p w14:paraId="073324FF" w14:textId="77777777" w:rsidR="00DA702B" w:rsidRPr="00DA702B" w:rsidRDefault="00DA702B" w:rsidP="00DA702B"/>
        </w:tc>
      </w:tr>
      <w:tr w:rsidR="00DA702B" w:rsidRPr="00DA702B" w14:paraId="110D8DBB" w14:textId="77777777" w:rsidTr="00247007">
        <w:trPr>
          <w:cantSplit/>
          <w:trHeight w:val="346"/>
          <w:tblHeader/>
        </w:trPr>
        <w:tc>
          <w:tcPr>
            <w:tcW w:w="1800" w:type="dxa"/>
          </w:tcPr>
          <w:p w14:paraId="53012DEF" w14:textId="77777777" w:rsidR="00DA702B" w:rsidRPr="00DA702B" w:rsidRDefault="00DA702B" w:rsidP="00DA702B"/>
        </w:tc>
        <w:tc>
          <w:tcPr>
            <w:tcW w:w="1800" w:type="dxa"/>
          </w:tcPr>
          <w:p w14:paraId="6F4C17AB" w14:textId="77777777" w:rsidR="00DA702B" w:rsidRPr="00DA702B" w:rsidRDefault="00DA702B" w:rsidP="00DA702B"/>
        </w:tc>
        <w:tc>
          <w:tcPr>
            <w:tcW w:w="1800" w:type="dxa"/>
          </w:tcPr>
          <w:p w14:paraId="5534DFE6" w14:textId="77777777" w:rsidR="00DA702B" w:rsidRPr="00DA702B" w:rsidRDefault="00DA702B" w:rsidP="00DA702B"/>
        </w:tc>
        <w:tc>
          <w:tcPr>
            <w:tcW w:w="1800" w:type="dxa"/>
          </w:tcPr>
          <w:p w14:paraId="687E603B" w14:textId="77777777" w:rsidR="00DA702B" w:rsidRPr="00DA702B" w:rsidRDefault="00DA702B" w:rsidP="00DA702B"/>
        </w:tc>
        <w:tc>
          <w:tcPr>
            <w:tcW w:w="1800" w:type="dxa"/>
          </w:tcPr>
          <w:p w14:paraId="533EA3EE" w14:textId="77777777" w:rsidR="00DA702B" w:rsidRPr="00DA702B" w:rsidRDefault="00DA702B" w:rsidP="00DA702B"/>
        </w:tc>
        <w:tc>
          <w:tcPr>
            <w:tcW w:w="1800" w:type="dxa"/>
          </w:tcPr>
          <w:p w14:paraId="2523BBE7" w14:textId="77777777" w:rsidR="00DA702B" w:rsidRPr="00DA702B" w:rsidRDefault="00DA702B" w:rsidP="00DA702B"/>
        </w:tc>
        <w:tc>
          <w:tcPr>
            <w:tcW w:w="1800" w:type="dxa"/>
          </w:tcPr>
          <w:p w14:paraId="66EC499C" w14:textId="77777777" w:rsidR="00DA702B" w:rsidRPr="00DA702B" w:rsidRDefault="00DA702B" w:rsidP="00DA702B"/>
        </w:tc>
        <w:tc>
          <w:tcPr>
            <w:tcW w:w="1800" w:type="dxa"/>
          </w:tcPr>
          <w:p w14:paraId="11D0C476" w14:textId="77777777" w:rsidR="00DA702B" w:rsidRPr="00DA702B" w:rsidRDefault="00DA702B" w:rsidP="00DA702B"/>
        </w:tc>
      </w:tr>
      <w:tr w:rsidR="00DA702B" w:rsidRPr="00DA702B" w14:paraId="471022F9" w14:textId="77777777" w:rsidTr="00247007">
        <w:trPr>
          <w:cantSplit/>
          <w:trHeight w:val="346"/>
          <w:tblHeader/>
        </w:trPr>
        <w:tc>
          <w:tcPr>
            <w:tcW w:w="1800" w:type="dxa"/>
          </w:tcPr>
          <w:p w14:paraId="5002EE83" w14:textId="77777777" w:rsidR="00DA702B" w:rsidRPr="00DA702B" w:rsidRDefault="00DA702B" w:rsidP="00DA702B"/>
        </w:tc>
        <w:tc>
          <w:tcPr>
            <w:tcW w:w="1800" w:type="dxa"/>
          </w:tcPr>
          <w:p w14:paraId="1B84FE8B" w14:textId="77777777" w:rsidR="00DA702B" w:rsidRPr="00DA702B" w:rsidRDefault="00DA702B" w:rsidP="00DA702B"/>
        </w:tc>
        <w:tc>
          <w:tcPr>
            <w:tcW w:w="1800" w:type="dxa"/>
          </w:tcPr>
          <w:p w14:paraId="5825E400" w14:textId="77777777" w:rsidR="00DA702B" w:rsidRPr="00DA702B" w:rsidRDefault="00DA702B" w:rsidP="00DA702B"/>
        </w:tc>
        <w:tc>
          <w:tcPr>
            <w:tcW w:w="1800" w:type="dxa"/>
          </w:tcPr>
          <w:p w14:paraId="40A8B51B" w14:textId="77777777" w:rsidR="00DA702B" w:rsidRPr="00DA702B" w:rsidRDefault="00DA702B" w:rsidP="00DA702B"/>
        </w:tc>
        <w:tc>
          <w:tcPr>
            <w:tcW w:w="1800" w:type="dxa"/>
          </w:tcPr>
          <w:p w14:paraId="2338B63C" w14:textId="77777777" w:rsidR="00DA702B" w:rsidRPr="00DA702B" w:rsidRDefault="00DA702B" w:rsidP="00DA702B"/>
        </w:tc>
        <w:tc>
          <w:tcPr>
            <w:tcW w:w="1800" w:type="dxa"/>
          </w:tcPr>
          <w:p w14:paraId="51B3E513" w14:textId="77777777" w:rsidR="00DA702B" w:rsidRPr="00DA702B" w:rsidRDefault="00DA702B" w:rsidP="00DA702B"/>
        </w:tc>
        <w:tc>
          <w:tcPr>
            <w:tcW w:w="1800" w:type="dxa"/>
          </w:tcPr>
          <w:p w14:paraId="7D67FC77" w14:textId="77777777" w:rsidR="00DA702B" w:rsidRPr="00DA702B" w:rsidRDefault="00DA702B" w:rsidP="00DA702B"/>
        </w:tc>
        <w:tc>
          <w:tcPr>
            <w:tcW w:w="1800" w:type="dxa"/>
          </w:tcPr>
          <w:p w14:paraId="194D5705" w14:textId="77777777" w:rsidR="00DA702B" w:rsidRPr="00DA702B" w:rsidRDefault="00DA702B" w:rsidP="00DA702B"/>
        </w:tc>
      </w:tr>
      <w:tr w:rsidR="00DA702B" w:rsidRPr="00DA702B" w14:paraId="52AE458D" w14:textId="77777777" w:rsidTr="00247007">
        <w:trPr>
          <w:cantSplit/>
          <w:trHeight w:val="346"/>
          <w:tblHeader/>
        </w:trPr>
        <w:tc>
          <w:tcPr>
            <w:tcW w:w="1800" w:type="dxa"/>
          </w:tcPr>
          <w:p w14:paraId="511A8139" w14:textId="77777777" w:rsidR="00DA702B" w:rsidRPr="00DA702B" w:rsidRDefault="00DA702B" w:rsidP="00DA702B"/>
        </w:tc>
        <w:tc>
          <w:tcPr>
            <w:tcW w:w="1800" w:type="dxa"/>
          </w:tcPr>
          <w:p w14:paraId="00DC4E96" w14:textId="77777777" w:rsidR="00DA702B" w:rsidRPr="00DA702B" w:rsidRDefault="00DA702B" w:rsidP="00DA702B"/>
        </w:tc>
        <w:tc>
          <w:tcPr>
            <w:tcW w:w="1800" w:type="dxa"/>
          </w:tcPr>
          <w:p w14:paraId="1EBF9308" w14:textId="77777777" w:rsidR="00DA702B" w:rsidRPr="00DA702B" w:rsidRDefault="00DA702B" w:rsidP="00DA702B"/>
        </w:tc>
        <w:tc>
          <w:tcPr>
            <w:tcW w:w="1800" w:type="dxa"/>
          </w:tcPr>
          <w:p w14:paraId="367858C6" w14:textId="77777777" w:rsidR="00DA702B" w:rsidRPr="00DA702B" w:rsidRDefault="00DA702B" w:rsidP="00DA702B"/>
        </w:tc>
        <w:tc>
          <w:tcPr>
            <w:tcW w:w="1800" w:type="dxa"/>
          </w:tcPr>
          <w:p w14:paraId="41F2721E" w14:textId="77777777" w:rsidR="00DA702B" w:rsidRPr="00DA702B" w:rsidRDefault="00DA702B" w:rsidP="00DA702B"/>
        </w:tc>
        <w:tc>
          <w:tcPr>
            <w:tcW w:w="1800" w:type="dxa"/>
          </w:tcPr>
          <w:p w14:paraId="0D10C450" w14:textId="77777777" w:rsidR="00DA702B" w:rsidRPr="00DA702B" w:rsidRDefault="00DA702B" w:rsidP="00DA702B"/>
        </w:tc>
        <w:tc>
          <w:tcPr>
            <w:tcW w:w="1800" w:type="dxa"/>
          </w:tcPr>
          <w:p w14:paraId="5747FB9D" w14:textId="77777777" w:rsidR="00DA702B" w:rsidRPr="00DA702B" w:rsidRDefault="00DA702B" w:rsidP="00DA702B"/>
        </w:tc>
        <w:tc>
          <w:tcPr>
            <w:tcW w:w="1800" w:type="dxa"/>
          </w:tcPr>
          <w:p w14:paraId="7F8CABF8" w14:textId="77777777" w:rsidR="00DA702B" w:rsidRPr="00DA702B" w:rsidRDefault="00DA702B" w:rsidP="00DA702B"/>
        </w:tc>
      </w:tr>
      <w:tr w:rsidR="00DA702B" w:rsidRPr="00DA702B" w14:paraId="7E1830D4" w14:textId="77777777" w:rsidTr="00247007">
        <w:trPr>
          <w:cantSplit/>
          <w:trHeight w:val="346"/>
          <w:tblHeader/>
        </w:trPr>
        <w:tc>
          <w:tcPr>
            <w:tcW w:w="1800" w:type="dxa"/>
          </w:tcPr>
          <w:p w14:paraId="02AF00D4" w14:textId="77777777" w:rsidR="00DA702B" w:rsidRPr="00DA702B" w:rsidRDefault="00DA702B" w:rsidP="00DA702B"/>
        </w:tc>
        <w:tc>
          <w:tcPr>
            <w:tcW w:w="1800" w:type="dxa"/>
          </w:tcPr>
          <w:p w14:paraId="0EBF66E3" w14:textId="77777777" w:rsidR="00DA702B" w:rsidRPr="00DA702B" w:rsidRDefault="00DA702B" w:rsidP="00DA702B"/>
        </w:tc>
        <w:tc>
          <w:tcPr>
            <w:tcW w:w="1800" w:type="dxa"/>
          </w:tcPr>
          <w:p w14:paraId="5FDAC9D6" w14:textId="77777777" w:rsidR="00DA702B" w:rsidRPr="00DA702B" w:rsidRDefault="00DA702B" w:rsidP="00DA702B"/>
        </w:tc>
        <w:tc>
          <w:tcPr>
            <w:tcW w:w="1800" w:type="dxa"/>
          </w:tcPr>
          <w:p w14:paraId="677E1080" w14:textId="77777777" w:rsidR="00DA702B" w:rsidRPr="00DA702B" w:rsidRDefault="00DA702B" w:rsidP="00DA702B"/>
        </w:tc>
        <w:tc>
          <w:tcPr>
            <w:tcW w:w="1800" w:type="dxa"/>
          </w:tcPr>
          <w:p w14:paraId="6A4BDEB5" w14:textId="77777777" w:rsidR="00DA702B" w:rsidRPr="00DA702B" w:rsidRDefault="00DA702B" w:rsidP="00DA702B"/>
        </w:tc>
        <w:tc>
          <w:tcPr>
            <w:tcW w:w="1800" w:type="dxa"/>
          </w:tcPr>
          <w:p w14:paraId="7BABA848" w14:textId="77777777" w:rsidR="00DA702B" w:rsidRPr="00DA702B" w:rsidRDefault="00DA702B" w:rsidP="00DA702B"/>
        </w:tc>
        <w:tc>
          <w:tcPr>
            <w:tcW w:w="1800" w:type="dxa"/>
          </w:tcPr>
          <w:p w14:paraId="0363CCE5" w14:textId="77777777" w:rsidR="00DA702B" w:rsidRPr="00DA702B" w:rsidRDefault="00DA702B" w:rsidP="00DA702B"/>
        </w:tc>
        <w:tc>
          <w:tcPr>
            <w:tcW w:w="1800" w:type="dxa"/>
          </w:tcPr>
          <w:p w14:paraId="26B80EB0" w14:textId="77777777" w:rsidR="00DA702B" w:rsidRPr="00DA702B" w:rsidRDefault="00DA702B" w:rsidP="00DA702B"/>
        </w:tc>
      </w:tr>
      <w:tr w:rsidR="00DA702B" w:rsidRPr="00DA702B" w14:paraId="544A0DE3" w14:textId="77777777" w:rsidTr="00247007">
        <w:trPr>
          <w:cantSplit/>
          <w:trHeight w:val="346"/>
          <w:tblHeader/>
        </w:trPr>
        <w:tc>
          <w:tcPr>
            <w:tcW w:w="1800" w:type="dxa"/>
          </w:tcPr>
          <w:p w14:paraId="01162C61" w14:textId="77777777" w:rsidR="00DA702B" w:rsidRPr="00DA702B" w:rsidRDefault="00DA702B" w:rsidP="00DA702B"/>
        </w:tc>
        <w:tc>
          <w:tcPr>
            <w:tcW w:w="1800" w:type="dxa"/>
          </w:tcPr>
          <w:p w14:paraId="4AB1465A" w14:textId="77777777" w:rsidR="00DA702B" w:rsidRPr="00DA702B" w:rsidRDefault="00DA702B" w:rsidP="00DA702B"/>
        </w:tc>
        <w:tc>
          <w:tcPr>
            <w:tcW w:w="1800" w:type="dxa"/>
          </w:tcPr>
          <w:p w14:paraId="0DE4BE9F" w14:textId="77777777" w:rsidR="00DA702B" w:rsidRPr="00DA702B" w:rsidRDefault="00DA702B" w:rsidP="00DA702B"/>
        </w:tc>
        <w:tc>
          <w:tcPr>
            <w:tcW w:w="1800" w:type="dxa"/>
          </w:tcPr>
          <w:p w14:paraId="1B718320" w14:textId="77777777" w:rsidR="00DA702B" w:rsidRPr="00DA702B" w:rsidRDefault="00DA702B" w:rsidP="00DA702B"/>
        </w:tc>
        <w:tc>
          <w:tcPr>
            <w:tcW w:w="1800" w:type="dxa"/>
          </w:tcPr>
          <w:p w14:paraId="6CC0204A" w14:textId="77777777" w:rsidR="00DA702B" w:rsidRPr="00DA702B" w:rsidRDefault="00DA702B" w:rsidP="00DA702B"/>
        </w:tc>
        <w:tc>
          <w:tcPr>
            <w:tcW w:w="1800" w:type="dxa"/>
          </w:tcPr>
          <w:p w14:paraId="21A3A388" w14:textId="77777777" w:rsidR="00DA702B" w:rsidRPr="00DA702B" w:rsidRDefault="00DA702B" w:rsidP="00DA702B"/>
        </w:tc>
        <w:tc>
          <w:tcPr>
            <w:tcW w:w="1800" w:type="dxa"/>
          </w:tcPr>
          <w:p w14:paraId="1DC55A92" w14:textId="77777777" w:rsidR="00DA702B" w:rsidRPr="00DA702B" w:rsidRDefault="00DA702B" w:rsidP="00DA702B"/>
        </w:tc>
        <w:tc>
          <w:tcPr>
            <w:tcW w:w="1800" w:type="dxa"/>
          </w:tcPr>
          <w:p w14:paraId="3730556D" w14:textId="77777777" w:rsidR="00DA702B" w:rsidRPr="00DA702B" w:rsidRDefault="00DA702B" w:rsidP="00DA702B"/>
        </w:tc>
      </w:tr>
      <w:tr w:rsidR="00DA702B" w:rsidRPr="00DA702B" w14:paraId="7E4B3A0B" w14:textId="77777777" w:rsidTr="00247007">
        <w:trPr>
          <w:cantSplit/>
          <w:trHeight w:val="346"/>
          <w:tblHeader/>
        </w:trPr>
        <w:tc>
          <w:tcPr>
            <w:tcW w:w="1800" w:type="dxa"/>
          </w:tcPr>
          <w:p w14:paraId="3803AEC2" w14:textId="77777777" w:rsidR="00DA702B" w:rsidRPr="00DA702B" w:rsidRDefault="00DA702B" w:rsidP="00DA702B"/>
        </w:tc>
        <w:tc>
          <w:tcPr>
            <w:tcW w:w="1800" w:type="dxa"/>
          </w:tcPr>
          <w:p w14:paraId="00541488" w14:textId="77777777" w:rsidR="00DA702B" w:rsidRPr="00DA702B" w:rsidRDefault="00DA702B" w:rsidP="00DA702B"/>
        </w:tc>
        <w:tc>
          <w:tcPr>
            <w:tcW w:w="1800" w:type="dxa"/>
          </w:tcPr>
          <w:p w14:paraId="34A466E5" w14:textId="77777777" w:rsidR="00DA702B" w:rsidRPr="00DA702B" w:rsidRDefault="00DA702B" w:rsidP="00DA702B"/>
        </w:tc>
        <w:tc>
          <w:tcPr>
            <w:tcW w:w="1800" w:type="dxa"/>
          </w:tcPr>
          <w:p w14:paraId="220C2F98" w14:textId="77777777" w:rsidR="00DA702B" w:rsidRPr="00DA702B" w:rsidRDefault="00DA702B" w:rsidP="00DA702B"/>
        </w:tc>
        <w:tc>
          <w:tcPr>
            <w:tcW w:w="1800" w:type="dxa"/>
          </w:tcPr>
          <w:p w14:paraId="488A9842" w14:textId="77777777" w:rsidR="00DA702B" w:rsidRPr="00DA702B" w:rsidRDefault="00DA702B" w:rsidP="00DA702B"/>
        </w:tc>
        <w:tc>
          <w:tcPr>
            <w:tcW w:w="1800" w:type="dxa"/>
          </w:tcPr>
          <w:p w14:paraId="0800051B" w14:textId="77777777" w:rsidR="00DA702B" w:rsidRPr="00DA702B" w:rsidRDefault="00DA702B" w:rsidP="00DA702B"/>
        </w:tc>
        <w:tc>
          <w:tcPr>
            <w:tcW w:w="1800" w:type="dxa"/>
          </w:tcPr>
          <w:p w14:paraId="03D08A38" w14:textId="77777777" w:rsidR="00DA702B" w:rsidRPr="00DA702B" w:rsidRDefault="00DA702B" w:rsidP="00DA702B"/>
        </w:tc>
        <w:tc>
          <w:tcPr>
            <w:tcW w:w="1800" w:type="dxa"/>
          </w:tcPr>
          <w:p w14:paraId="72533CAA" w14:textId="77777777" w:rsidR="00DA702B" w:rsidRPr="00DA702B" w:rsidRDefault="00DA702B" w:rsidP="00DA702B"/>
        </w:tc>
      </w:tr>
    </w:tbl>
    <w:p w14:paraId="1463547C" w14:textId="77777777" w:rsidR="00DA702B" w:rsidRPr="00DA702B" w:rsidRDefault="00DA702B" w:rsidP="00DA702B">
      <w:pPr>
        <w:rPr>
          <w:sz w:val="20"/>
          <w:szCs w:val="20"/>
        </w:rPr>
      </w:pPr>
      <w:r w:rsidRPr="00DA702B">
        <w:rPr>
          <w:sz w:val="20"/>
          <w:szCs w:val="20"/>
        </w:rPr>
        <w:br w:type="page"/>
      </w:r>
    </w:p>
    <w:p w14:paraId="41ACD909" w14:textId="77777777" w:rsidR="00DA702B" w:rsidRPr="00DA702B" w:rsidRDefault="00DA702B" w:rsidP="00686C0B">
      <w:pPr>
        <w:widowControl w:val="0"/>
        <w:jc w:val="center"/>
        <w:rPr>
          <w:rFonts w:eastAsiaTheme="majorEastAsia"/>
          <w:b/>
          <w:bCs/>
        </w:rPr>
      </w:pPr>
      <w:r w:rsidRPr="00DA702B">
        <w:rPr>
          <w:rFonts w:eastAsiaTheme="majorEastAsia"/>
          <w:b/>
          <w:bCs/>
        </w:rPr>
        <w:lastRenderedPageBreak/>
        <w:t>Boiler/Steam Generator/Steam Generating Unit Attributes</w:t>
      </w:r>
    </w:p>
    <w:p w14:paraId="1F0F0CC2" w14:textId="77777777" w:rsidR="00DA702B" w:rsidRPr="00DA702B" w:rsidRDefault="00DA702B" w:rsidP="00686C0B">
      <w:pPr>
        <w:widowControl w:val="0"/>
        <w:jc w:val="center"/>
        <w:rPr>
          <w:rFonts w:eastAsiaTheme="majorEastAsia"/>
          <w:b/>
          <w:bCs/>
        </w:rPr>
      </w:pPr>
      <w:r w:rsidRPr="00DA702B">
        <w:rPr>
          <w:rFonts w:eastAsiaTheme="majorEastAsia"/>
          <w:b/>
          <w:bCs/>
        </w:rPr>
        <w:t>Form OP-UA6 (Page 37)</w:t>
      </w:r>
    </w:p>
    <w:p w14:paraId="1F6923D4" w14:textId="77777777" w:rsidR="00DA702B" w:rsidRPr="00DA702B" w:rsidRDefault="00DA702B" w:rsidP="00686C0B">
      <w:pPr>
        <w:widowControl w:val="0"/>
        <w:jc w:val="center"/>
        <w:rPr>
          <w:rFonts w:eastAsiaTheme="majorEastAsia"/>
          <w:b/>
          <w:bCs/>
        </w:rPr>
      </w:pPr>
      <w:r w:rsidRPr="00DA702B">
        <w:rPr>
          <w:rFonts w:eastAsiaTheme="majorEastAsia"/>
          <w:b/>
          <w:bCs/>
        </w:rPr>
        <w:t>Federal Operating Permit Program</w:t>
      </w:r>
    </w:p>
    <w:p w14:paraId="1F903C15" w14:textId="77777777" w:rsidR="00DA702B" w:rsidRPr="00DA702B" w:rsidRDefault="00DA702B" w:rsidP="00686C0B">
      <w:pPr>
        <w:widowControl w:val="0"/>
        <w:jc w:val="center"/>
        <w:rPr>
          <w:rFonts w:eastAsiaTheme="majorEastAsia"/>
          <w:b/>
          <w:bCs/>
        </w:rPr>
      </w:pPr>
      <w:bookmarkStart w:id="199" w:name="TBL_14a"/>
      <w:r w:rsidRPr="00DA702B">
        <w:rPr>
          <w:rFonts w:eastAsiaTheme="majorEastAsia"/>
          <w:b/>
          <w:bCs/>
        </w:rPr>
        <w:t>Table 14a</w:t>
      </w:r>
      <w:bookmarkEnd w:id="199"/>
      <w:r w:rsidRPr="00DA702B">
        <w:rPr>
          <w:rFonts w:eastAsiaTheme="majorEastAsia"/>
          <w:b/>
          <w:bCs/>
        </w:rPr>
        <w:t>:  Title 40 Code of Federal Regulations Part 63 (40 CFR Part 63)</w:t>
      </w:r>
    </w:p>
    <w:p w14:paraId="7B5DB0B7" w14:textId="77777777" w:rsidR="00DA702B" w:rsidRPr="00DA702B" w:rsidRDefault="00DA702B" w:rsidP="00686C0B">
      <w:pPr>
        <w:widowControl w:val="0"/>
        <w:jc w:val="center"/>
        <w:rPr>
          <w:rFonts w:eastAsiaTheme="majorEastAsia"/>
          <w:b/>
          <w:bCs/>
        </w:rPr>
      </w:pPr>
      <w:r w:rsidRPr="00DA702B">
        <w:rPr>
          <w:rFonts w:eastAsiaTheme="majorEastAsia"/>
          <w:b/>
          <w:bCs/>
        </w:rPr>
        <w:t>Subpart DDDDD:  Industrial, Commercial, and Institutional Boilers</w:t>
      </w:r>
    </w:p>
    <w:p w14:paraId="54515A6F" w14:textId="77777777" w:rsidR="00DA702B" w:rsidRPr="00DA702B" w:rsidRDefault="00DA702B" w:rsidP="00686C0B">
      <w:pPr>
        <w:widowControl w:val="0"/>
        <w:jc w:val="center"/>
        <w:rPr>
          <w:b/>
          <w:bCs/>
        </w:rPr>
      </w:pPr>
      <w:r w:rsidRPr="00DA702B">
        <w:rPr>
          <w:b/>
          <w:bCs/>
        </w:rPr>
        <w:t>Texas Commission on Environmental Quality</w:t>
      </w:r>
    </w:p>
    <w:p w14:paraId="50073B33"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a:  Title 40 Code of Federal Regulations Part 63 (40 CFR Part 63)&#10;Subpart DDDDD:  Industrial, Commercial, and Institutional Boilers&#10;"/>
      </w:tblPr>
      <w:tblGrid>
        <w:gridCol w:w="4800"/>
        <w:gridCol w:w="4800"/>
        <w:gridCol w:w="4800"/>
      </w:tblGrid>
      <w:tr w:rsidR="00DA702B" w:rsidRPr="00DA702B" w14:paraId="25564732" w14:textId="77777777" w:rsidTr="00247007">
        <w:trPr>
          <w:cantSplit/>
          <w:tblHeader/>
        </w:trPr>
        <w:tc>
          <w:tcPr>
            <w:tcW w:w="4800" w:type="dxa"/>
            <w:shd w:val="clear" w:color="auto" w:fill="D9D9D9" w:themeFill="background1" w:themeFillShade="D9"/>
          </w:tcPr>
          <w:p w14:paraId="4076FC6D"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FBEC6D4"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44DE75B4"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03434D9C" w14:textId="77777777" w:rsidTr="00247007">
        <w:trPr>
          <w:cantSplit/>
          <w:tblHeader/>
        </w:trPr>
        <w:tc>
          <w:tcPr>
            <w:tcW w:w="4800" w:type="dxa"/>
          </w:tcPr>
          <w:p w14:paraId="79F6039B" w14:textId="77777777" w:rsidR="00DA702B" w:rsidRPr="00DA702B" w:rsidRDefault="00DA702B" w:rsidP="00DA702B">
            <w:pPr>
              <w:rPr>
                <w:rFonts w:asciiTheme="majorHAnsi" w:hAnsiTheme="majorHAnsi" w:cstheme="majorHAnsi"/>
              </w:rPr>
            </w:pPr>
          </w:p>
        </w:tc>
        <w:tc>
          <w:tcPr>
            <w:tcW w:w="4800" w:type="dxa"/>
          </w:tcPr>
          <w:p w14:paraId="6DF54538" w14:textId="77777777" w:rsidR="00DA702B" w:rsidRPr="00DA702B" w:rsidRDefault="00DA702B" w:rsidP="00DA702B">
            <w:pPr>
              <w:rPr>
                <w:rFonts w:asciiTheme="majorHAnsi" w:hAnsiTheme="majorHAnsi" w:cstheme="majorHAnsi"/>
              </w:rPr>
            </w:pPr>
          </w:p>
        </w:tc>
        <w:tc>
          <w:tcPr>
            <w:tcW w:w="4800" w:type="dxa"/>
          </w:tcPr>
          <w:p w14:paraId="756D758B" w14:textId="77777777" w:rsidR="00DA702B" w:rsidRPr="00DA702B" w:rsidRDefault="00DA702B" w:rsidP="00DA702B">
            <w:pPr>
              <w:rPr>
                <w:rFonts w:asciiTheme="majorHAnsi" w:hAnsiTheme="majorHAnsi" w:cstheme="majorHAnsi"/>
              </w:rPr>
            </w:pPr>
          </w:p>
        </w:tc>
      </w:tr>
    </w:tbl>
    <w:p w14:paraId="480513BE"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a:  Title 40 Code of Federal Regulations Part 63 (40 CFR Part 63)&#10;Subpart DDDDD:  Industrial, Commercial, and Institutional Boilers&#10;"/>
      </w:tblPr>
      <w:tblGrid>
        <w:gridCol w:w="2399"/>
        <w:gridCol w:w="2399"/>
        <w:gridCol w:w="2400"/>
        <w:gridCol w:w="2400"/>
        <w:gridCol w:w="2401"/>
        <w:gridCol w:w="2401"/>
      </w:tblGrid>
      <w:tr w:rsidR="00DA702B" w:rsidRPr="00DA702B" w14:paraId="76FB7CD0" w14:textId="77777777" w:rsidTr="00247007">
        <w:trPr>
          <w:cantSplit/>
          <w:trHeight w:val="346"/>
          <w:tblHeader/>
        </w:trPr>
        <w:tc>
          <w:tcPr>
            <w:tcW w:w="2399" w:type="dxa"/>
            <w:shd w:val="clear" w:color="auto" w:fill="D9D9D9" w:themeFill="background1" w:themeFillShade="D9"/>
            <w:vAlign w:val="center"/>
          </w:tcPr>
          <w:p w14:paraId="05D3311A" w14:textId="77777777" w:rsidR="00DA702B" w:rsidRPr="00DA702B" w:rsidRDefault="00DA702B" w:rsidP="00DA702B">
            <w:pPr>
              <w:jc w:val="center"/>
            </w:pPr>
            <w:r w:rsidRPr="00DA702B">
              <w:rPr>
                <w:b/>
                <w:sz w:val="20"/>
                <w:szCs w:val="20"/>
              </w:rPr>
              <w:t>Unit ID No.</w:t>
            </w:r>
          </w:p>
        </w:tc>
        <w:tc>
          <w:tcPr>
            <w:tcW w:w="2399" w:type="dxa"/>
            <w:shd w:val="clear" w:color="auto" w:fill="D9D9D9" w:themeFill="background1" w:themeFillShade="D9"/>
            <w:vAlign w:val="center"/>
          </w:tcPr>
          <w:p w14:paraId="120F6B18" w14:textId="77777777" w:rsidR="00DA702B" w:rsidRPr="00DA702B" w:rsidRDefault="00DA702B" w:rsidP="00DA702B">
            <w:pPr>
              <w:jc w:val="center"/>
            </w:pPr>
            <w:r w:rsidRPr="00DA702B">
              <w:rPr>
                <w:b/>
                <w:sz w:val="20"/>
                <w:szCs w:val="20"/>
              </w:rPr>
              <w:t>SOP/GOP Index No.</w:t>
            </w:r>
          </w:p>
        </w:tc>
        <w:tc>
          <w:tcPr>
            <w:tcW w:w="2400" w:type="dxa"/>
            <w:shd w:val="clear" w:color="auto" w:fill="D9D9D9" w:themeFill="background1" w:themeFillShade="D9"/>
            <w:vAlign w:val="center"/>
          </w:tcPr>
          <w:p w14:paraId="748C377B" w14:textId="77777777" w:rsidR="00DA702B" w:rsidRPr="00DA702B" w:rsidRDefault="00DA702B" w:rsidP="00DA702B">
            <w:pPr>
              <w:jc w:val="center"/>
            </w:pPr>
            <w:r w:rsidRPr="00DA702B">
              <w:rPr>
                <w:b/>
                <w:sz w:val="20"/>
                <w:szCs w:val="20"/>
              </w:rPr>
              <w:t>Commence</w:t>
            </w:r>
          </w:p>
        </w:tc>
        <w:tc>
          <w:tcPr>
            <w:tcW w:w="2400" w:type="dxa"/>
            <w:shd w:val="clear" w:color="auto" w:fill="D9D9D9" w:themeFill="background1" w:themeFillShade="D9"/>
            <w:vAlign w:val="center"/>
          </w:tcPr>
          <w:p w14:paraId="423959A0" w14:textId="77777777" w:rsidR="00DA702B" w:rsidRPr="00DA702B" w:rsidRDefault="00DA702B" w:rsidP="00DA702B">
            <w:pPr>
              <w:jc w:val="center"/>
            </w:pPr>
            <w:r w:rsidRPr="00DA702B">
              <w:rPr>
                <w:b/>
                <w:sz w:val="20"/>
                <w:szCs w:val="20"/>
              </w:rPr>
              <w:t>Table Applicability</w:t>
            </w:r>
          </w:p>
        </w:tc>
        <w:tc>
          <w:tcPr>
            <w:tcW w:w="2401" w:type="dxa"/>
            <w:shd w:val="clear" w:color="auto" w:fill="D9D9D9" w:themeFill="background1" w:themeFillShade="D9"/>
            <w:vAlign w:val="center"/>
          </w:tcPr>
          <w:p w14:paraId="2D30375A" w14:textId="77777777" w:rsidR="00DA702B" w:rsidRPr="00DA702B" w:rsidRDefault="00DA702B" w:rsidP="00DA702B">
            <w:pPr>
              <w:jc w:val="center"/>
            </w:pPr>
            <w:r w:rsidRPr="00DA702B">
              <w:rPr>
                <w:b/>
                <w:sz w:val="20"/>
                <w:szCs w:val="20"/>
              </w:rPr>
              <w:t>HCl Emission</w:t>
            </w:r>
          </w:p>
        </w:tc>
        <w:tc>
          <w:tcPr>
            <w:tcW w:w="2401" w:type="dxa"/>
            <w:shd w:val="clear" w:color="auto" w:fill="D9D9D9" w:themeFill="background1" w:themeFillShade="D9"/>
            <w:vAlign w:val="center"/>
          </w:tcPr>
          <w:p w14:paraId="2DC84493" w14:textId="77777777" w:rsidR="00DA702B" w:rsidRPr="00DA702B" w:rsidRDefault="00DA702B" w:rsidP="00DA702B">
            <w:pPr>
              <w:jc w:val="center"/>
            </w:pPr>
            <w:r w:rsidRPr="00DA702B">
              <w:rPr>
                <w:b/>
                <w:sz w:val="20"/>
                <w:szCs w:val="20"/>
              </w:rPr>
              <w:t>HCl-CMS</w:t>
            </w:r>
          </w:p>
        </w:tc>
      </w:tr>
      <w:tr w:rsidR="00DA702B" w:rsidRPr="00DA702B" w14:paraId="24F1C274" w14:textId="77777777" w:rsidTr="00247007">
        <w:trPr>
          <w:cantSplit/>
          <w:trHeight w:val="346"/>
          <w:tblHeader/>
        </w:trPr>
        <w:tc>
          <w:tcPr>
            <w:tcW w:w="2399" w:type="dxa"/>
          </w:tcPr>
          <w:p w14:paraId="28F0275B" w14:textId="77777777" w:rsidR="00DA702B" w:rsidRPr="00DA702B" w:rsidRDefault="00DA702B" w:rsidP="00DA702B"/>
        </w:tc>
        <w:tc>
          <w:tcPr>
            <w:tcW w:w="2399" w:type="dxa"/>
          </w:tcPr>
          <w:p w14:paraId="2022A833" w14:textId="77777777" w:rsidR="00DA702B" w:rsidRPr="00DA702B" w:rsidRDefault="00DA702B" w:rsidP="00DA702B"/>
        </w:tc>
        <w:tc>
          <w:tcPr>
            <w:tcW w:w="2400" w:type="dxa"/>
          </w:tcPr>
          <w:p w14:paraId="6C9B73B5" w14:textId="77777777" w:rsidR="00DA702B" w:rsidRPr="00DA702B" w:rsidRDefault="00DA702B" w:rsidP="00DA702B"/>
        </w:tc>
        <w:tc>
          <w:tcPr>
            <w:tcW w:w="2400" w:type="dxa"/>
          </w:tcPr>
          <w:p w14:paraId="22B2D606" w14:textId="77777777" w:rsidR="00DA702B" w:rsidRPr="00DA702B" w:rsidRDefault="00DA702B" w:rsidP="00DA702B"/>
        </w:tc>
        <w:tc>
          <w:tcPr>
            <w:tcW w:w="2401" w:type="dxa"/>
          </w:tcPr>
          <w:p w14:paraId="41C973FB" w14:textId="77777777" w:rsidR="00DA702B" w:rsidRPr="00DA702B" w:rsidRDefault="00DA702B" w:rsidP="00DA702B"/>
        </w:tc>
        <w:tc>
          <w:tcPr>
            <w:tcW w:w="2401" w:type="dxa"/>
          </w:tcPr>
          <w:p w14:paraId="687328D1" w14:textId="77777777" w:rsidR="00DA702B" w:rsidRPr="00DA702B" w:rsidRDefault="00DA702B" w:rsidP="00DA702B"/>
        </w:tc>
      </w:tr>
      <w:tr w:rsidR="00DA702B" w:rsidRPr="00DA702B" w14:paraId="363DCD7D" w14:textId="77777777" w:rsidTr="00247007">
        <w:trPr>
          <w:cantSplit/>
          <w:trHeight w:val="346"/>
          <w:tblHeader/>
        </w:trPr>
        <w:tc>
          <w:tcPr>
            <w:tcW w:w="2399" w:type="dxa"/>
          </w:tcPr>
          <w:p w14:paraId="69BD9E86" w14:textId="77777777" w:rsidR="00DA702B" w:rsidRPr="00DA702B" w:rsidRDefault="00DA702B" w:rsidP="00DA702B"/>
        </w:tc>
        <w:tc>
          <w:tcPr>
            <w:tcW w:w="2399" w:type="dxa"/>
          </w:tcPr>
          <w:p w14:paraId="2A777856" w14:textId="77777777" w:rsidR="00DA702B" w:rsidRPr="00DA702B" w:rsidRDefault="00DA702B" w:rsidP="00DA702B"/>
        </w:tc>
        <w:tc>
          <w:tcPr>
            <w:tcW w:w="2400" w:type="dxa"/>
          </w:tcPr>
          <w:p w14:paraId="4450462C" w14:textId="77777777" w:rsidR="00DA702B" w:rsidRPr="00DA702B" w:rsidRDefault="00DA702B" w:rsidP="00DA702B"/>
        </w:tc>
        <w:tc>
          <w:tcPr>
            <w:tcW w:w="2400" w:type="dxa"/>
          </w:tcPr>
          <w:p w14:paraId="56A0D209" w14:textId="77777777" w:rsidR="00DA702B" w:rsidRPr="00DA702B" w:rsidRDefault="00DA702B" w:rsidP="00DA702B"/>
        </w:tc>
        <w:tc>
          <w:tcPr>
            <w:tcW w:w="2401" w:type="dxa"/>
          </w:tcPr>
          <w:p w14:paraId="72A68B1E" w14:textId="77777777" w:rsidR="00DA702B" w:rsidRPr="00DA702B" w:rsidRDefault="00DA702B" w:rsidP="00DA702B"/>
        </w:tc>
        <w:tc>
          <w:tcPr>
            <w:tcW w:w="2401" w:type="dxa"/>
          </w:tcPr>
          <w:p w14:paraId="7A33F4A8" w14:textId="77777777" w:rsidR="00DA702B" w:rsidRPr="00DA702B" w:rsidRDefault="00DA702B" w:rsidP="00DA702B"/>
        </w:tc>
      </w:tr>
      <w:tr w:rsidR="00DA702B" w:rsidRPr="00DA702B" w14:paraId="6C98D553" w14:textId="77777777" w:rsidTr="00247007">
        <w:trPr>
          <w:cantSplit/>
          <w:trHeight w:val="346"/>
          <w:tblHeader/>
        </w:trPr>
        <w:tc>
          <w:tcPr>
            <w:tcW w:w="2399" w:type="dxa"/>
          </w:tcPr>
          <w:p w14:paraId="7C010302" w14:textId="77777777" w:rsidR="00DA702B" w:rsidRPr="00DA702B" w:rsidRDefault="00DA702B" w:rsidP="00DA702B"/>
        </w:tc>
        <w:tc>
          <w:tcPr>
            <w:tcW w:w="2399" w:type="dxa"/>
          </w:tcPr>
          <w:p w14:paraId="4DDD5252" w14:textId="77777777" w:rsidR="00DA702B" w:rsidRPr="00DA702B" w:rsidRDefault="00DA702B" w:rsidP="00DA702B"/>
        </w:tc>
        <w:tc>
          <w:tcPr>
            <w:tcW w:w="2400" w:type="dxa"/>
          </w:tcPr>
          <w:p w14:paraId="3EABF186" w14:textId="77777777" w:rsidR="00DA702B" w:rsidRPr="00DA702B" w:rsidRDefault="00DA702B" w:rsidP="00DA702B"/>
        </w:tc>
        <w:tc>
          <w:tcPr>
            <w:tcW w:w="2400" w:type="dxa"/>
          </w:tcPr>
          <w:p w14:paraId="655D846F" w14:textId="77777777" w:rsidR="00DA702B" w:rsidRPr="00DA702B" w:rsidRDefault="00DA702B" w:rsidP="00DA702B"/>
        </w:tc>
        <w:tc>
          <w:tcPr>
            <w:tcW w:w="2401" w:type="dxa"/>
          </w:tcPr>
          <w:p w14:paraId="4FAE7F99" w14:textId="77777777" w:rsidR="00DA702B" w:rsidRPr="00DA702B" w:rsidRDefault="00DA702B" w:rsidP="00DA702B"/>
        </w:tc>
        <w:tc>
          <w:tcPr>
            <w:tcW w:w="2401" w:type="dxa"/>
          </w:tcPr>
          <w:p w14:paraId="7461F249" w14:textId="77777777" w:rsidR="00DA702B" w:rsidRPr="00DA702B" w:rsidRDefault="00DA702B" w:rsidP="00DA702B"/>
        </w:tc>
      </w:tr>
      <w:tr w:rsidR="00DA702B" w:rsidRPr="00DA702B" w14:paraId="128B9642" w14:textId="77777777" w:rsidTr="00247007">
        <w:trPr>
          <w:cantSplit/>
          <w:trHeight w:val="346"/>
          <w:tblHeader/>
        </w:trPr>
        <w:tc>
          <w:tcPr>
            <w:tcW w:w="2399" w:type="dxa"/>
          </w:tcPr>
          <w:p w14:paraId="3E3CC644" w14:textId="77777777" w:rsidR="00DA702B" w:rsidRPr="00DA702B" w:rsidRDefault="00DA702B" w:rsidP="00DA702B"/>
        </w:tc>
        <w:tc>
          <w:tcPr>
            <w:tcW w:w="2399" w:type="dxa"/>
          </w:tcPr>
          <w:p w14:paraId="3C8EF4F2" w14:textId="77777777" w:rsidR="00DA702B" w:rsidRPr="00DA702B" w:rsidRDefault="00DA702B" w:rsidP="00DA702B"/>
        </w:tc>
        <w:tc>
          <w:tcPr>
            <w:tcW w:w="2400" w:type="dxa"/>
          </w:tcPr>
          <w:p w14:paraId="5357C460" w14:textId="77777777" w:rsidR="00DA702B" w:rsidRPr="00DA702B" w:rsidRDefault="00DA702B" w:rsidP="00DA702B"/>
        </w:tc>
        <w:tc>
          <w:tcPr>
            <w:tcW w:w="2400" w:type="dxa"/>
          </w:tcPr>
          <w:p w14:paraId="69157642" w14:textId="77777777" w:rsidR="00DA702B" w:rsidRPr="00DA702B" w:rsidRDefault="00DA702B" w:rsidP="00DA702B"/>
        </w:tc>
        <w:tc>
          <w:tcPr>
            <w:tcW w:w="2401" w:type="dxa"/>
          </w:tcPr>
          <w:p w14:paraId="7766A494" w14:textId="77777777" w:rsidR="00DA702B" w:rsidRPr="00DA702B" w:rsidRDefault="00DA702B" w:rsidP="00DA702B"/>
        </w:tc>
        <w:tc>
          <w:tcPr>
            <w:tcW w:w="2401" w:type="dxa"/>
          </w:tcPr>
          <w:p w14:paraId="37C4C378" w14:textId="77777777" w:rsidR="00DA702B" w:rsidRPr="00DA702B" w:rsidRDefault="00DA702B" w:rsidP="00DA702B"/>
        </w:tc>
      </w:tr>
      <w:tr w:rsidR="00DA702B" w:rsidRPr="00DA702B" w14:paraId="2E016204" w14:textId="77777777" w:rsidTr="00247007">
        <w:trPr>
          <w:cantSplit/>
          <w:trHeight w:val="346"/>
          <w:tblHeader/>
        </w:trPr>
        <w:tc>
          <w:tcPr>
            <w:tcW w:w="2399" w:type="dxa"/>
          </w:tcPr>
          <w:p w14:paraId="10101648" w14:textId="77777777" w:rsidR="00DA702B" w:rsidRPr="00DA702B" w:rsidRDefault="00DA702B" w:rsidP="00DA702B"/>
        </w:tc>
        <w:tc>
          <w:tcPr>
            <w:tcW w:w="2399" w:type="dxa"/>
          </w:tcPr>
          <w:p w14:paraId="54337364" w14:textId="77777777" w:rsidR="00DA702B" w:rsidRPr="00DA702B" w:rsidRDefault="00DA702B" w:rsidP="00DA702B"/>
        </w:tc>
        <w:tc>
          <w:tcPr>
            <w:tcW w:w="2400" w:type="dxa"/>
          </w:tcPr>
          <w:p w14:paraId="54DE95C0" w14:textId="77777777" w:rsidR="00DA702B" w:rsidRPr="00DA702B" w:rsidRDefault="00DA702B" w:rsidP="00DA702B"/>
        </w:tc>
        <w:tc>
          <w:tcPr>
            <w:tcW w:w="2400" w:type="dxa"/>
          </w:tcPr>
          <w:p w14:paraId="7A23B918" w14:textId="77777777" w:rsidR="00DA702B" w:rsidRPr="00DA702B" w:rsidRDefault="00DA702B" w:rsidP="00DA702B"/>
        </w:tc>
        <w:tc>
          <w:tcPr>
            <w:tcW w:w="2401" w:type="dxa"/>
          </w:tcPr>
          <w:p w14:paraId="4780BF76" w14:textId="77777777" w:rsidR="00DA702B" w:rsidRPr="00DA702B" w:rsidRDefault="00DA702B" w:rsidP="00DA702B"/>
        </w:tc>
        <w:tc>
          <w:tcPr>
            <w:tcW w:w="2401" w:type="dxa"/>
          </w:tcPr>
          <w:p w14:paraId="313DE184" w14:textId="77777777" w:rsidR="00DA702B" w:rsidRPr="00DA702B" w:rsidRDefault="00DA702B" w:rsidP="00DA702B"/>
        </w:tc>
      </w:tr>
      <w:tr w:rsidR="00DA702B" w:rsidRPr="00DA702B" w14:paraId="1228E0E7" w14:textId="77777777" w:rsidTr="00247007">
        <w:trPr>
          <w:cantSplit/>
          <w:trHeight w:val="346"/>
          <w:tblHeader/>
        </w:trPr>
        <w:tc>
          <w:tcPr>
            <w:tcW w:w="2399" w:type="dxa"/>
          </w:tcPr>
          <w:p w14:paraId="0619FDDC" w14:textId="77777777" w:rsidR="00DA702B" w:rsidRPr="00DA702B" w:rsidRDefault="00DA702B" w:rsidP="00DA702B"/>
        </w:tc>
        <w:tc>
          <w:tcPr>
            <w:tcW w:w="2399" w:type="dxa"/>
          </w:tcPr>
          <w:p w14:paraId="2E2CA28F" w14:textId="77777777" w:rsidR="00DA702B" w:rsidRPr="00DA702B" w:rsidRDefault="00DA702B" w:rsidP="00DA702B"/>
        </w:tc>
        <w:tc>
          <w:tcPr>
            <w:tcW w:w="2400" w:type="dxa"/>
          </w:tcPr>
          <w:p w14:paraId="0165264A" w14:textId="77777777" w:rsidR="00DA702B" w:rsidRPr="00DA702B" w:rsidRDefault="00DA702B" w:rsidP="00DA702B"/>
        </w:tc>
        <w:tc>
          <w:tcPr>
            <w:tcW w:w="2400" w:type="dxa"/>
          </w:tcPr>
          <w:p w14:paraId="207A8C4C" w14:textId="77777777" w:rsidR="00DA702B" w:rsidRPr="00DA702B" w:rsidRDefault="00DA702B" w:rsidP="00DA702B"/>
        </w:tc>
        <w:tc>
          <w:tcPr>
            <w:tcW w:w="2401" w:type="dxa"/>
          </w:tcPr>
          <w:p w14:paraId="186507EB" w14:textId="77777777" w:rsidR="00DA702B" w:rsidRPr="00DA702B" w:rsidRDefault="00DA702B" w:rsidP="00DA702B"/>
        </w:tc>
        <w:tc>
          <w:tcPr>
            <w:tcW w:w="2401" w:type="dxa"/>
          </w:tcPr>
          <w:p w14:paraId="76ED8C36" w14:textId="77777777" w:rsidR="00DA702B" w:rsidRPr="00DA702B" w:rsidRDefault="00DA702B" w:rsidP="00DA702B"/>
        </w:tc>
      </w:tr>
      <w:tr w:rsidR="00DA702B" w:rsidRPr="00DA702B" w14:paraId="75330CC7" w14:textId="77777777" w:rsidTr="00247007">
        <w:trPr>
          <w:cantSplit/>
          <w:trHeight w:val="346"/>
          <w:tblHeader/>
        </w:trPr>
        <w:tc>
          <w:tcPr>
            <w:tcW w:w="2399" w:type="dxa"/>
          </w:tcPr>
          <w:p w14:paraId="4548C1BA" w14:textId="77777777" w:rsidR="00DA702B" w:rsidRPr="00DA702B" w:rsidRDefault="00DA702B" w:rsidP="00DA702B"/>
        </w:tc>
        <w:tc>
          <w:tcPr>
            <w:tcW w:w="2399" w:type="dxa"/>
          </w:tcPr>
          <w:p w14:paraId="133CE52C" w14:textId="77777777" w:rsidR="00DA702B" w:rsidRPr="00DA702B" w:rsidRDefault="00DA702B" w:rsidP="00DA702B"/>
        </w:tc>
        <w:tc>
          <w:tcPr>
            <w:tcW w:w="2400" w:type="dxa"/>
          </w:tcPr>
          <w:p w14:paraId="22309257" w14:textId="77777777" w:rsidR="00DA702B" w:rsidRPr="00DA702B" w:rsidRDefault="00DA702B" w:rsidP="00DA702B"/>
        </w:tc>
        <w:tc>
          <w:tcPr>
            <w:tcW w:w="2400" w:type="dxa"/>
          </w:tcPr>
          <w:p w14:paraId="3C6AE6C7" w14:textId="77777777" w:rsidR="00DA702B" w:rsidRPr="00DA702B" w:rsidRDefault="00DA702B" w:rsidP="00DA702B"/>
        </w:tc>
        <w:tc>
          <w:tcPr>
            <w:tcW w:w="2401" w:type="dxa"/>
          </w:tcPr>
          <w:p w14:paraId="6C242B98" w14:textId="77777777" w:rsidR="00DA702B" w:rsidRPr="00DA702B" w:rsidRDefault="00DA702B" w:rsidP="00DA702B"/>
        </w:tc>
        <w:tc>
          <w:tcPr>
            <w:tcW w:w="2401" w:type="dxa"/>
          </w:tcPr>
          <w:p w14:paraId="42A9551D" w14:textId="77777777" w:rsidR="00DA702B" w:rsidRPr="00DA702B" w:rsidRDefault="00DA702B" w:rsidP="00DA702B"/>
        </w:tc>
      </w:tr>
      <w:tr w:rsidR="00DA702B" w:rsidRPr="00DA702B" w14:paraId="141D1945" w14:textId="77777777" w:rsidTr="00247007">
        <w:trPr>
          <w:cantSplit/>
          <w:trHeight w:val="346"/>
          <w:tblHeader/>
        </w:trPr>
        <w:tc>
          <w:tcPr>
            <w:tcW w:w="2399" w:type="dxa"/>
          </w:tcPr>
          <w:p w14:paraId="427E26ED" w14:textId="77777777" w:rsidR="00DA702B" w:rsidRPr="00DA702B" w:rsidRDefault="00DA702B" w:rsidP="00DA702B"/>
        </w:tc>
        <w:tc>
          <w:tcPr>
            <w:tcW w:w="2399" w:type="dxa"/>
          </w:tcPr>
          <w:p w14:paraId="7CA83D04" w14:textId="77777777" w:rsidR="00DA702B" w:rsidRPr="00DA702B" w:rsidRDefault="00DA702B" w:rsidP="00DA702B"/>
        </w:tc>
        <w:tc>
          <w:tcPr>
            <w:tcW w:w="2400" w:type="dxa"/>
          </w:tcPr>
          <w:p w14:paraId="5D39CA5F" w14:textId="77777777" w:rsidR="00DA702B" w:rsidRPr="00DA702B" w:rsidRDefault="00DA702B" w:rsidP="00DA702B"/>
        </w:tc>
        <w:tc>
          <w:tcPr>
            <w:tcW w:w="2400" w:type="dxa"/>
          </w:tcPr>
          <w:p w14:paraId="0D158B89" w14:textId="77777777" w:rsidR="00DA702B" w:rsidRPr="00DA702B" w:rsidRDefault="00DA702B" w:rsidP="00DA702B"/>
        </w:tc>
        <w:tc>
          <w:tcPr>
            <w:tcW w:w="2401" w:type="dxa"/>
          </w:tcPr>
          <w:p w14:paraId="0E96C543" w14:textId="77777777" w:rsidR="00DA702B" w:rsidRPr="00DA702B" w:rsidRDefault="00DA702B" w:rsidP="00DA702B"/>
        </w:tc>
        <w:tc>
          <w:tcPr>
            <w:tcW w:w="2401" w:type="dxa"/>
          </w:tcPr>
          <w:p w14:paraId="491A618C" w14:textId="77777777" w:rsidR="00DA702B" w:rsidRPr="00DA702B" w:rsidRDefault="00DA702B" w:rsidP="00DA702B"/>
        </w:tc>
      </w:tr>
      <w:tr w:rsidR="00DA702B" w:rsidRPr="00DA702B" w14:paraId="1A781753" w14:textId="77777777" w:rsidTr="00247007">
        <w:trPr>
          <w:cantSplit/>
          <w:trHeight w:val="346"/>
          <w:tblHeader/>
        </w:trPr>
        <w:tc>
          <w:tcPr>
            <w:tcW w:w="2399" w:type="dxa"/>
          </w:tcPr>
          <w:p w14:paraId="3B5F24A3" w14:textId="77777777" w:rsidR="00DA702B" w:rsidRPr="00DA702B" w:rsidRDefault="00DA702B" w:rsidP="00DA702B"/>
        </w:tc>
        <w:tc>
          <w:tcPr>
            <w:tcW w:w="2399" w:type="dxa"/>
          </w:tcPr>
          <w:p w14:paraId="4C0D6060" w14:textId="77777777" w:rsidR="00DA702B" w:rsidRPr="00DA702B" w:rsidRDefault="00DA702B" w:rsidP="00DA702B"/>
        </w:tc>
        <w:tc>
          <w:tcPr>
            <w:tcW w:w="2400" w:type="dxa"/>
          </w:tcPr>
          <w:p w14:paraId="38371094" w14:textId="77777777" w:rsidR="00DA702B" w:rsidRPr="00DA702B" w:rsidRDefault="00DA702B" w:rsidP="00DA702B"/>
        </w:tc>
        <w:tc>
          <w:tcPr>
            <w:tcW w:w="2400" w:type="dxa"/>
          </w:tcPr>
          <w:p w14:paraId="3383BF1B" w14:textId="77777777" w:rsidR="00DA702B" w:rsidRPr="00DA702B" w:rsidRDefault="00DA702B" w:rsidP="00DA702B"/>
        </w:tc>
        <w:tc>
          <w:tcPr>
            <w:tcW w:w="2401" w:type="dxa"/>
          </w:tcPr>
          <w:p w14:paraId="60473145" w14:textId="77777777" w:rsidR="00DA702B" w:rsidRPr="00DA702B" w:rsidRDefault="00DA702B" w:rsidP="00DA702B"/>
        </w:tc>
        <w:tc>
          <w:tcPr>
            <w:tcW w:w="2401" w:type="dxa"/>
          </w:tcPr>
          <w:p w14:paraId="263A0254" w14:textId="77777777" w:rsidR="00DA702B" w:rsidRPr="00DA702B" w:rsidRDefault="00DA702B" w:rsidP="00DA702B"/>
        </w:tc>
      </w:tr>
      <w:tr w:rsidR="00DA702B" w:rsidRPr="00DA702B" w14:paraId="61D04067" w14:textId="77777777" w:rsidTr="00247007">
        <w:trPr>
          <w:cantSplit/>
          <w:trHeight w:val="346"/>
          <w:tblHeader/>
        </w:trPr>
        <w:tc>
          <w:tcPr>
            <w:tcW w:w="2399" w:type="dxa"/>
          </w:tcPr>
          <w:p w14:paraId="0C239795" w14:textId="77777777" w:rsidR="00DA702B" w:rsidRPr="00DA702B" w:rsidRDefault="00DA702B" w:rsidP="00DA702B"/>
        </w:tc>
        <w:tc>
          <w:tcPr>
            <w:tcW w:w="2399" w:type="dxa"/>
          </w:tcPr>
          <w:p w14:paraId="4C7AED18" w14:textId="77777777" w:rsidR="00DA702B" w:rsidRPr="00DA702B" w:rsidRDefault="00DA702B" w:rsidP="00DA702B"/>
        </w:tc>
        <w:tc>
          <w:tcPr>
            <w:tcW w:w="2400" w:type="dxa"/>
          </w:tcPr>
          <w:p w14:paraId="22E693E0" w14:textId="77777777" w:rsidR="00DA702B" w:rsidRPr="00DA702B" w:rsidRDefault="00DA702B" w:rsidP="00DA702B"/>
        </w:tc>
        <w:tc>
          <w:tcPr>
            <w:tcW w:w="2400" w:type="dxa"/>
          </w:tcPr>
          <w:p w14:paraId="02C3D045" w14:textId="77777777" w:rsidR="00DA702B" w:rsidRPr="00DA702B" w:rsidRDefault="00DA702B" w:rsidP="00DA702B"/>
        </w:tc>
        <w:tc>
          <w:tcPr>
            <w:tcW w:w="2401" w:type="dxa"/>
          </w:tcPr>
          <w:p w14:paraId="2D199D04" w14:textId="77777777" w:rsidR="00DA702B" w:rsidRPr="00DA702B" w:rsidRDefault="00DA702B" w:rsidP="00DA702B"/>
        </w:tc>
        <w:tc>
          <w:tcPr>
            <w:tcW w:w="2401" w:type="dxa"/>
          </w:tcPr>
          <w:p w14:paraId="4AA973E7" w14:textId="77777777" w:rsidR="00DA702B" w:rsidRPr="00DA702B" w:rsidRDefault="00DA702B" w:rsidP="00DA702B"/>
        </w:tc>
      </w:tr>
    </w:tbl>
    <w:p w14:paraId="777626C9" w14:textId="77777777" w:rsidR="00DA702B" w:rsidRPr="00DA702B" w:rsidRDefault="00DA702B" w:rsidP="00DA702B">
      <w:pPr>
        <w:rPr>
          <w:b/>
          <w:bCs/>
        </w:rPr>
      </w:pPr>
      <w:r w:rsidRPr="00DA702B">
        <w:br w:type="page"/>
      </w:r>
    </w:p>
    <w:p w14:paraId="0ABAE9DB" w14:textId="77777777" w:rsidR="00DA702B" w:rsidRPr="00DA702B" w:rsidRDefault="00DA702B" w:rsidP="0096055E">
      <w:pPr>
        <w:widowControl w:val="0"/>
        <w:jc w:val="center"/>
        <w:rPr>
          <w:rFonts w:eastAsiaTheme="majorEastAsia"/>
          <w:b/>
          <w:bCs/>
        </w:rPr>
      </w:pPr>
      <w:r w:rsidRPr="00DA702B">
        <w:rPr>
          <w:rFonts w:eastAsiaTheme="majorEastAsia"/>
          <w:b/>
          <w:bCs/>
        </w:rPr>
        <w:lastRenderedPageBreak/>
        <w:t>Boiler/Steam Generator/Steam Generating Unit Attributes</w:t>
      </w:r>
    </w:p>
    <w:p w14:paraId="3FAA1B59" w14:textId="77777777" w:rsidR="00DA702B" w:rsidRPr="00DA702B" w:rsidRDefault="00DA702B" w:rsidP="0096055E">
      <w:pPr>
        <w:widowControl w:val="0"/>
        <w:jc w:val="center"/>
        <w:rPr>
          <w:rFonts w:eastAsiaTheme="majorEastAsia"/>
          <w:b/>
          <w:bCs/>
        </w:rPr>
      </w:pPr>
      <w:r w:rsidRPr="00DA702B">
        <w:rPr>
          <w:rFonts w:eastAsiaTheme="majorEastAsia"/>
          <w:b/>
          <w:bCs/>
        </w:rPr>
        <w:t>Form OP-UA6 (Page 38)</w:t>
      </w:r>
    </w:p>
    <w:p w14:paraId="7BE80649" w14:textId="77777777" w:rsidR="00DA702B" w:rsidRPr="00DA702B" w:rsidRDefault="00DA702B" w:rsidP="0096055E">
      <w:pPr>
        <w:widowControl w:val="0"/>
        <w:jc w:val="center"/>
        <w:rPr>
          <w:rFonts w:eastAsiaTheme="majorEastAsia"/>
          <w:b/>
          <w:bCs/>
        </w:rPr>
      </w:pPr>
      <w:r w:rsidRPr="00DA702B">
        <w:rPr>
          <w:rFonts w:eastAsiaTheme="majorEastAsia"/>
          <w:b/>
          <w:bCs/>
        </w:rPr>
        <w:t>Federal Operating Permit Program</w:t>
      </w:r>
    </w:p>
    <w:p w14:paraId="0F462060" w14:textId="77777777" w:rsidR="00DA702B" w:rsidRPr="00DA702B" w:rsidRDefault="00DA702B" w:rsidP="0096055E">
      <w:pPr>
        <w:widowControl w:val="0"/>
        <w:jc w:val="center"/>
        <w:rPr>
          <w:rFonts w:eastAsiaTheme="majorEastAsia"/>
          <w:b/>
          <w:bCs/>
        </w:rPr>
      </w:pPr>
      <w:bookmarkStart w:id="200" w:name="TBL_14b"/>
      <w:r w:rsidRPr="00DA702B">
        <w:rPr>
          <w:rFonts w:eastAsiaTheme="majorEastAsia"/>
          <w:b/>
          <w:bCs/>
        </w:rPr>
        <w:t>Table 14b</w:t>
      </w:r>
      <w:bookmarkEnd w:id="200"/>
      <w:r w:rsidRPr="00DA702B">
        <w:rPr>
          <w:rFonts w:eastAsiaTheme="majorEastAsia"/>
          <w:b/>
          <w:bCs/>
        </w:rPr>
        <w:t>:  Title 40 Code of Federal Regulations Part 63 (40 CFR Part 63)</w:t>
      </w:r>
    </w:p>
    <w:p w14:paraId="1054AE1D" w14:textId="77777777" w:rsidR="00DA702B" w:rsidRPr="00DA702B" w:rsidRDefault="00DA702B" w:rsidP="0096055E">
      <w:pPr>
        <w:widowControl w:val="0"/>
        <w:jc w:val="center"/>
        <w:rPr>
          <w:rFonts w:eastAsiaTheme="majorEastAsia"/>
          <w:b/>
          <w:bCs/>
        </w:rPr>
      </w:pPr>
      <w:r w:rsidRPr="00DA702B">
        <w:rPr>
          <w:rFonts w:eastAsiaTheme="majorEastAsia"/>
          <w:b/>
          <w:bCs/>
        </w:rPr>
        <w:t>Subpart DDDDD:  Industrial, Commercial, and Institutional Boilers</w:t>
      </w:r>
    </w:p>
    <w:p w14:paraId="1BA83A98" w14:textId="77777777" w:rsidR="00DA702B" w:rsidRPr="00DA702B" w:rsidRDefault="00DA702B" w:rsidP="0096055E">
      <w:pPr>
        <w:widowControl w:val="0"/>
        <w:jc w:val="center"/>
        <w:rPr>
          <w:b/>
          <w:bCs/>
        </w:rPr>
      </w:pPr>
      <w:r w:rsidRPr="00DA702B">
        <w:rPr>
          <w:b/>
          <w:bCs/>
        </w:rPr>
        <w:t>Texas Commission on Environmental Quality</w:t>
      </w:r>
    </w:p>
    <w:p w14:paraId="1FDCAB91" w14:textId="77777777" w:rsidR="00DA702B" w:rsidRPr="00DA702B" w:rsidRDefault="00DA702B" w:rsidP="00DA702B">
      <w:pPr>
        <w:spacing w:before="60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b:  Title 40 Code of Federal Regulations Part 63 (40 CFR Part 63)&#10;Subpart DDDDD:  Industrial, Commercial, and Institutional Boilers&#10;"/>
      </w:tblPr>
      <w:tblGrid>
        <w:gridCol w:w="4800"/>
        <w:gridCol w:w="4800"/>
        <w:gridCol w:w="4800"/>
      </w:tblGrid>
      <w:tr w:rsidR="00DA702B" w:rsidRPr="00DA702B" w14:paraId="2A1C45EB" w14:textId="77777777" w:rsidTr="00247007">
        <w:trPr>
          <w:cantSplit/>
          <w:tblHeader/>
        </w:trPr>
        <w:tc>
          <w:tcPr>
            <w:tcW w:w="4800" w:type="dxa"/>
            <w:shd w:val="clear" w:color="auto" w:fill="D9D9D9" w:themeFill="background1" w:themeFillShade="D9"/>
          </w:tcPr>
          <w:p w14:paraId="6FAEA50D"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19FED996"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60EE1EB1"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043F87FC" w14:textId="77777777" w:rsidTr="00247007">
        <w:trPr>
          <w:cantSplit/>
          <w:tblHeader/>
        </w:trPr>
        <w:tc>
          <w:tcPr>
            <w:tcW w:w="4800" w:type="dxa"/>
          </w:tcPr>
          <w:p w14:paraId="19B30524" w14:textId="77777777" w:rsidR="00DA702B" w:rsidRPr="00DA702B" w:rsidRDefault="00DA702B" w:rsidP="00DA702B">
            <w:pPr>
              <w:rPr>
                <w:rFonts w:asciiTheme="majorHAnsi" w:hAnsiTheme="majorHAnsi" w:cstheme="majorHAnsi"/>
              </w:rPr>
            </w:pPr>
          </w:p>
        </w:tc>
        <w:tc>
          <w:tcPr>
            <w:tcW w:w="4800" w:type="dxa"/>
          </w:tcPr>
          <w:p w14:paraId="03D8F579" w14:textId="77777777" w:rsidR="00DA702B" w:rsidRPr="00DA702B" w:rsidRDefault="00DA702B" w:rsidP="00DA702B">
            <w:pPr>
              <w:rPr>
                <w:rFonts w:asciiTheme="majorHAnsi" w:hAnsiTheme="majorHAnsi" w:cstheme="majorHAnsi"/>
              </w:rPr>
            </w:pPr>
          </w:p>
        </w:tc>
        <w:tc>
          <w:tcPr>
            <w:tcW w:w="4800" w:type="dxa"/>
          </w:tcPr>
          <w:p w14:paraId="354DC9B2" w14:textId="77777777" w:rsidR="00DA702B" w:rsidRPr="00DA702B" w:rsidRDefault="00DA702B" w:rsidP="00DA702B">
            <w:pPr>
              <w:rPr>
                <w:rFonts w:asciiTheme="majorHAnsi" w:hAnsiTheme="majorHAnsi" w:cstheme="majorHAnsi"/>
              </w:rPr>
            </w:pPr>
          </w:p>
        </w:tc>
      </w:tr>
    </w:tbl>
    <w:p w14:paraId="14508B9E"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4b:  Title 40 Code of Federal Regulations Part 63 (40 CFR Part 63)&#10;Subpart DDDDD:  Industrial, Commercial, and Institutional Boilers&#10;"/>
      </w:tblPr>
      <w:tblGrid>
        <w:gridCol w:w="2057"/>
        <w:gridCol w:w="2057"/>
        <w:gridCol w:w="2058"/>
        <w:gridCol w:w="2057"/>
        <w:gridCol w:w="2057"/>
        <w:gridCol w:w="2057"/>
        <w:gridCol w:w="2057"/>
      </w:tblGrid>
      <w:tr w:rsidR="00DA702B" w:rsidRPr="00DA702B" w14:paraId="0DF19A99" w14:textId="77777777" w:rsidTr="00247007">
        <w:trPr>
          <w:cantSplit/>
          <w:tblHeader/>
        </w:trPr>
        <w:tc>
          <w:tcPr>
            <w:tcW w:w="2057" w:type="dxa"/>
            <w:shd w:val="clear" w:color="auto" w:fill="D9D9D9" w:themeFill="background1" w:themeFillShade="D9"/>
            <w:vAlign w:val="center"/>
          </w:tcPr>
          <w:p w14:paraId="7108E14C" w14:textId="77777777" w:rsidR="00DA702B" w:rsidRPr="00DA702B" w:rsidRDefault="00DA702B" w:rsidP="00DA702B">
            <w:pPr>
              <w:jc w:val="center"/>
              <w:rPr>
                <w:b/>
                <w:bCs/>
                <w:sz w:val="20"/>
                <w:szCs w:val="20"/>
              </w:rPr>
            </w:pPr>
            <w:r w:rsidRPr="00DA702B">
              <w:rPr>
                <w:b/>
                <w:bCs/>
                <w:sz w:val="20"/>
                <w:szCs w:val="20"/>
              </w:rPr>
              <w:t>Unit ID No.</w:t>
            </w:r>
          </w:p>
        </w:tc>
        <w:tc>
          <w:tcPr>
            <w:tcW w:w="2057" w:type="dxa"/>
            <w:shd w:val="clear" w:color="auto" w:fill="D9D9D9" w:themeFill="background1" w:themeFillShade="D9"/>
            <w:vAlign w:val="center"/>
          </w:tcPr>
          <w:p w14:paraId="7CB80396" w14:textId="77777777" w:rsidR="00DA702B" w:rsidRPr="00DA702B" w:rsidRDefault="00DA702B" w:rsidP="00DA702B">
            <w:pPr>
              <w:jc w:val="center"/>
              <w:rPr>
                <w:b/>
                <w:bCs/>
                <w:sz w:val="20"/>
                <w:szCs w:val="20"/>
              </w:rPr>
            </w:pPr>
            <w:r w:rsidRPr="00DA702B">
              <w:rPr>
                <w:b/>
                <w:bCs/>
                <w:sz w:val="20"/>
                <w:szCs w:val="20"/>
              </w:rPr>
              <w:t>SOP/GOP Index No.</w:t>
            </w:r>
          </w:p>
        </w:tc>
        <w:tc>
          <w:tcPr>
            <w:tcW w:w="2058" w:type="dxa"/>
            <w:shd w:val="clear" w:color="auto" w:fill="D9D9D9" w:themeFill="background1" w:themeFillShade="D9"/>
            <w:vAlign w:val="center"/>
          </w:tcPr>
          <w:p w14:paraId="3A6E8FBF" w14:textId="77777777" w:rsidR="00DA702B" w:rsidRPr="00DA702B" w:rsidRDefault="00DA702B" w:rsidP="00DA702B">
            <w:pPr>
              <w:jc w:val="center"/>
              <w:rPr>
                <w:b/>
                <w:bCs/>
                <w:sz w:val="20"/>
                <w:szCs w:val="20"/>
              </w:rPr>
            </w:pPr>
            <w:r w:rsidRPr="00DA702B">
              <w:rPr>
                <w:b/>
                <w:bCs/>
                <w:sz w:val="20"/>
                <w:szCs w:val="20"/>
              </w:rPr>
              <w:t>HCl-CD</w:t>
            </w:r>
          </w:p>
        </w:tc>
        <w:tc>
          <w:tcPr>
            <w:tcW w:w="2057" w:type="dxa"/>
            <w:shd w:val="clear" w:color="auto" w:fill="D9D9D9" w:themeFill="background1" w:themeFillShade="D9"/>
            <w:vAlign w:val="center"/>
          </w:tcPr>
          <w:p w14:paraId="3E8D6EC6" w14:textId="77777777" w:rsidR="00DA702B" w:rsidRPr="00DA702B" w:rsidRDefault="00DA702B" w:rsidP="00DA702B">
            <w:pPr>
              <w:jc w:val="center"/>
              <w:rPr>
                <w:b/>
                <w:bCs/>
                <w:sz w:val="20"/>
                <w:szCs w:val="20"/>
              </w:rPr>
            </w:pPr>
            <w:r w:rsidRPr="00DA702B">
              <w:rPr>
                <w:b/>
                <w:bCs/>
                <w:sz w:val="20"/>
                <w:szCs w:val="20"/>
              </w:rPr>
              <w:t>HCl-Test</w:t>
            </w:r>
          </w:p>
        </w:tc>
        <w:tc>
          <w:tcPr>
            <w:tcW w:w="2057" w:type="dxa"/>
            <w:shd w:val="clear" w:color="auto" w:fill="D9D9D9" w:themeFill="background1" w:themeFillShade="D9"/>
            <w:vAlign w:val="center"/>
          </w:tcPr>
          <w:p w14:paraId="52DF7A58" w14:textId="77777777" w:rsidR="00DA702B" w:rsidRPr="00DA702B" w:rsidRDefault="00DA702B" w:rsidP="00DA702B">
            <w:pPr>
              <w:jc w:val="center"/>
              <w:rPr>
                <w:b/>
                <w:bCs/>
                <w:sz w:val="20"/>
                <w:szCs w:val="20"/>
              </w:rPr>
            </w:pPr>
            <w:r w:rsidRPr="00DA702B">
              <w:rPr>
                <w:b/>
                <w:bCs/>
                <w:sz w:val="20"/>
                <w:szCs w:val="20"/>
              </w:rPr>
              <w:t>HCl-FA</w:t>
            </w:r>
          </w:p>
        </w:tc>
        <w:tc>
          <w:tcPr>
            <w:tcW w:w="2057" w:type="dxa"/>
            <w:shd w:val="clear" w:color="auto" w:fill="D9D9D9" w:themeFill="background1" w:themeFillShade="D9"/>
            <w:vAlign w:val="center"/>
          </w:tcPr>
          <w:p w14:paraId="626568B2" w14:textId="77777777" w:rsidR="00DA702B" w:rsidRPr="00DA702B" w:rsidRDefault="00DA702B" w:rsidP="00DA702B">
            <w:pPr>
              <w:jc w:val="center"/>
              <w:rPr>
                <w:b/>
                <w:bCs/>
                <w:sz w:val="20"/>
                <w:szCs w:val="20"/>
              </w:rPr>
            </w:pPr>
            <w:r w:rsidRPr="00DA702B">
              <w:rPr>
                <w:b/>
                <w:bCs/>
                <w:sz w:val="20"/>
                <w:szCs w:val="20"/>
              </w:rPr>
              <w:t>HCl-FloMon</w:t>
            </w:r>
          </w:p>
        </w:tc>
        <w:tc>
          <w:tcPr>
            <w:tcW w:w="2057" w:type="dxa"/>
            <w:shd w:val="clear" w:color="auto" w:fill="D9D9D9" w:themeFill="background1" w:themeFillShade="D9"/>
            <w:vAlign w:val="center"/>
          </w:tcPr>
          <w:p w14:paraId="676E4FA0" w14:textId="77777777" w:rsidR="00DA702B" w:rsidRPr="00DA702B" w:rsidRDefault="00DA702B" w:rsidP="00DA702B">
            <w:pPr>
              <w:jc w:val="center"/>
              <w:rPr>
                <w:b/>
                <w:bCs/>
                <w:sz w:val="20"/>
                <w:szCs w:val="20"/>
              </w:rPr>
            </w:pPr>
            <w:r w:rsidRPr="00DA702B">
              <w:rPr>
                <w:b/>
                <w:bCs/>
                <w:sz w:val="20"/>
                <w:szCs w:val="20"/>
              </w:rPr>
              <w:t>HCl-pHMon</w:t>
            </w:r>
          </w:p>
        </w:tc>
      </w:tr>
      <w:tr w:rsidR="00DA702B" w:rsidRPr="00DA702B" w14:paraId="3F97A5A1" w14:textId="77777777" w:rsidTr="00247007">
        <w:trPr>
          <w:cantSplit/>
          <w:tblHeader/>
        </w:trPr>
        <w:tc>
          <w:tcPr>
            <w:tcW w:w="2057" w:type="dxa"/>
          </w:tcPr>
          <w:p w14:paraId="08C4A186" w14:textId="77777777" w:rsidR="00DA702B" w:rsidRPr="00DA702B" w:rsidRDefault="00DA702B" w:rsidP="00DA702B"/>
        </w:tc>
        <w:tc>
          <w:tcPr>
            <w:tcW w:w="2057" w:type="dxa"/>
          </w:tcPr>
          <w:p w14:paraId="7A753F28" w14:textId="77777777" w:rsidR="00DA702B" w:rsidRPr="00DA702B" w:rsidRDefault="00DA702B" w:rsidP="00DA702B"/>
        </w:tc>
        <w:tc>
          <w:tcPr>
            <w:tcW w:w="2058" w:type="dxa"/>
          </w:tcPr>
          <w:p w14:paraId="7F04EB8C" w14:textId="77777777" w:rsidR="00DA702B" w:rsidRPr="00DA702B" w:rsidRDefault="00DA702B" w:rsidP="00DA702B"/>
        </w:tc>
        <w:tc>
          <w:tcPr>
            <w:tcW w:w="2057" w:type="dxa"/>
          </w:tcPr>
          <w:p w14:paraId="7ACD4A2C" w14:textId="77777777" w:rsidR="00DA702B" w:rsidRPr="00DA702B" w:rsidRDefault="00DA702B" w:rsidP="00DA702B"/>
        </w:tc>
        <w:tc>
          <w:tcPr>
            <w:tcW w:w="2057" w:type="dxa"/>
          </w:tcPr>
          <w:p w14:paraId="30A384FA" w14:textId="77777777" w:rsidR="00DA702B" w:rsidRPr="00DA702B" w:rsidRDefault="00DA702B" w:rsidP="00DA702B"/>
        </w:tc>
        <w:tc>
          <w:tcPr>
            <w:tcW w:w="2057" w:type="dxa"/>
          </w:tcPr>
          <w:p w14:paraId="0C314291" w14:textId="77777777" w:rsidR="00DA702B" w:rsidRPr="00DA702B" w:rsidRDefault="00DA702B" w:rsidP="00DA702B"/>
        </w:tc>
        <w:tc>
          <w:tcPr>
            <w:tcW w:w="2057" w:type="dxa"/>
          </w:tcPr>
          <w:p w14:paraId="58D35CB0" w14:textId="77777777" w:rsidR="00DA702B" w:rsidRPr="00DA702B" w:rsidRDefault="00DA702B" w:rsidP="00DA702B"/>
        </w:tc>
      </w:tr>
      <w:tr w:rsidR="00DA702B" w:rsidRPr="00DA702B" w14:paraId="7B4D21EB" w14:textId="77777777" w:rsidTr="00247007">
        <w:trPr>
          <w:cantSplit/>
          <w:tblHeader/>
        </w:trPr>
        <w:tc>
          <w:tcPr>
            <w:tcW w:w="2057" w:type="dxa"/>
          </w:tcPr>
          <w:p w14:paraId="37B9D539" w14:textId="77777777" w:rsidR="00DA702B" w:rsidRPr="00DA702B" w:rsidRDefault="00DA702B" w:rsidP="00DA702B"/>
        </w:tc>
        <w:tc>
          <w:tcPr>
            <w:tcW w:w="2057" w:type="dxa"/>
          </w:tcPr>
          <w:p w14:paraId="6F35CD56" w14:textId="77777777" w:rsidR="00DA702B" w:rsidRPr="00DA702B" w:rsidRDefault="00DA702B" w:rsidP="00DA702B"/>
        </w:tc>
        <w:tc>
          <w:tcPr>
            <w:tcW w:w="2058" w:type="dxa"/>
          </w:tcPr>
          <w:p w14:paraId="7E135014" w14:textId="77777777" w:rsidR="00DA702B" w:rsidRPr="00DA702B" w:rsidRDefault="00DA702B" w:rsidP="00DA702B"/>
        </w:tc>
        <w:tc>
          <w:tcPr>
            <w:tcW w:w="2057" w:type="dxa"/>
          </w:tcPr>
          <w:p w14:paraId="45F40893" w14:textId="77777777" w:rsidR="00DA702B" w:rsidRPr="00DA702B" w:rsidRDefault="00DA702B" w:rsidP="00DA702B"/>
        </w:tc>
        <w:tc>
          <w:tcPr>
            <w:tcW w:w="2057" w:type="dxa"/>
          </w:tcPr>
          <w:p w14:paraId="3DF9CC3D" w14:textId="77777777" w:rsidR="00DA702B" w:rsidRPr="00DA702B" w:rsidRDefault="00DA702B" w:rsidP="00DA702B"/>
        </w:tc>
        <w:tc>
          <w:tcPr>
            <w:tcW w:w="2057" w:type="dxa"/>
          </w:tcPr>
          <w:p w14:paraId="331D1C06" w14:textId="77777777" w:rsidR="00DA702B" w:rsidRPr="00DA702B" w:rsidRDefault="00DA702B" w:rsidP="00DA702B"/>
        </w:tc>
        <w:tc>
          <w:tcPr>
            <w:tcW w:w="2057" w:type="dxa"/>
          </w:tcPr>
          <w:p w14:paraId="7EC8E02D" w14:textId="77777777" w:rsidR="00DA702B" w:rsidRPr="00DA702B" w:rsidRDefault="00DA702B" w:rsidP="00DA702B"/>
        </w:tc>
      </w:tr>
      <w:tr w:rsidR="00DA702B" w:rsidRPr="00DA702B" w14:paraId="00C2F808" w14:textId="77777777" w:rsidTr="00247007">
        <w:trPr>
          <w:cantSplit/>
          <w:tblHeader/>
        </w:trPr>
        <w:tc>
          <w:tcPr>
            <w:tcW w:w="2057" w:type="dxa"/>
          </w:tcPr>
          <w:p w14:paraId="591B3313" w14:textId="77777777" w:rsidR="00DA702B" w:rsidRPr="00DA702B" w:rsidRDefault="00DA702B" w:rsidP="00DA702B"/>
        </w:tc>
        <w:tc>
          <w:tcPr>
            <w:tcW w:w="2057" w:type="dxa"/>
          </w:tcPr>
          <w:p w14:paraId="03833FBD" w14:textId="77777777" w:rsidR="00DA702B" w:rsidRPr="00DA702B" w:rsidRDefault="00DA702B" w:rsidP="00DA702B"/>
        </w:tc>
        <w:tc>
          <w:tcPr>
            <w:tcW w:w="2058" w:type="dxa"/>
          </w:tcPr>
          <w:p w14:paraId="5D30F559" w14:textId="77777777" w:rsidR="00DA702B" w:rsidRPr="00DA702B" w:rsidRDefault="00DA702B" w:rsidP="00DA702B"/>
        </w:tc>
        <w:tc>
          <w:tcPr>
            <w:tcW w:w="2057" w:type="dxa"/>
          </w:tcPr>
          <w:p w14:paraId="3A41404F" w14:textId="77777777" w:rsidR="00DA702B" w:rsidRPr="00DA702B" w:rsidRDefault="00DA702B" w:rsidP="00DA702B"/>
        </w:tc>
        <w:tc>
          <w:tcPr>
            <w:tcW w:w="2057" w:type="dxa"/>
          </w:tcPr>
          <w:p w14:paraId="744CDC88" w14:textId="77777777" w:rsidR="00DA702B" w:rsidRPr="00DA702B" w:rsidRDefault="00DA702B" w:rsidP="00DA702B"/>
        </w:tc>
        <w:tc>
          <w:tcPr>
            <w:tcW w:w="2057" w:type="dxa"/>
          </w:tcPr>
          <w:p w14:paraId="43B53256" w14:textId="77777777" w:rsidR="00DA702B" w:rsidRPr="00DA702B" w:rsidRDefault="00DA702B" w:rsidP="00DA702B"/>
        </w:tc>
        <w:tc>
          <w:tcPr>
            <w:tcW w:w="2057" w:type="dxa"/>
          </w:tcPr>
          <w:p w14:paraId="1958DA7F" w14:textId="77777777" w:rsidR="00DA702B" w:rsidRPr="00DA702B" w:rsidRDefault="00DA702B" w:rsidP="00DA702B"/>
        </w:tc>
      </w:tr>
      <w:tr w:rsidR="00DA702B" w:rsidRPr="00DA702B" w14:paraId="02B4E71F" w14:textId="77777777" w:rsidTr="00247007">
        <w:trPr>
          <w:cantSplit/>
          <w:tblHeader/>
        </w:trPr>
        <w:tc>
          <w:tcPr>
            <w:tcW w:w="2057" w:type="dxa"/>
          </w:tcPr>
          <w:p w14:paraId="52B1FFBB" w14:textId="77777777" w:rsidR="00DA702B" w:rsidRPr="00DA702B" w:rsidRDefault="00DA702B" w:rsidP="00DA702B"/>
        </w:tc>
        <w:tc>
          <w:tcPr>
            <w:tcW w:w="2057" w:type="dxa"/>
          </w:tcPr>
          <w:p w14:paraId="11AC84F3" w14:textId="77777777" w:rsidR="00DA702B" w:rsidRPr="00DA702B" w:rsidRDefault="00DA702B" w:rsidP="00DA702B"/>
        </w:tc>
        <w:tc>
          <w:tcPr>
            <w:tcW w:w="2058" w:type="dxa"/>
          </w:tcPr>
          <w:p w14:paraId="22751F51" w14:textId="77777777" w:rsidR="00DA702B" w:rsidRPr="00DA702B" w:rsidRDefault="00DA702B" w:rsidP="00DA702B"/>
        </w:tc>
        <w:tc>
          <w:tcPr>
            <w:tcW w:w="2057" w:type="dxa"/>
          </w:tcPr>
          <w:p w14:paraId="023F3362" w14:textId="77777777" w:rsidR="00DA702B" w:rsidRPr="00DA702B" w:rsidRDefault="00DA702B" w:rsidP="00DA702B"/>
        </w:tc>
        <w:tc>
          <w:tcPr>
            <w:tcW w:w="2057" w:type="dxa"/>
          </w:tcPr>
          <w:p w14:paraId="4DA2D89E" w14:textId="77777777" w:rsidR="00DA702B" w:rsidRPr="00DA702B" w:rsidRDefault="00DA702B" w:rsidP="00DA702B"/>
        </w:tc>
        <w:tc>
          <w:tcPr>
            <w:tcW w:w="2057" w:type="dxa"/>
          </w:tcPr>
          <w:p w14:paraId="7B5D1112" w14:textId="77777777" w:rsidR="00DA702B" w:rsidRPr="00DA702B" w:rsidRDefault="00DA702B" w:rsidP="00DA702B"/>
        </w:tc>
        <w:tc>
          <w:tcPr>
            <w:tcW w:w="2057" w:type="dxa"/>
          </w:tcPr>
          <w:p w14:paraId="3C64D10E" w14:textId="77777777" w:rsidR="00DA702B" w:rsidRPr="00DA702B" w:rsidRDefault="00DA702B" w:rsidP="00DA702B"/>
        </w:tc>
      </w:tr>
      <w:tr w:rsidR="00DA702B" w:rsidRPr="00DA702B" w14:paraId="4098F958" w14:textId="77777777" w:rsidTr="00247007">
        <w:trPr>
          <w:cantSplit/>
          <w:tblHeader/>
        </w:trPr>
        <w:tc>
          <w:tcPr>
            <w:tcW w:w="2057" w:type="dxa"/>
          </w:tcPr>
          <w:p w14:paraId="71134C5A" w14:textId="77777777" w:rsidR="00DA702B" w:rsidRPr="00DA702B" w:rsidRDefault="00DA702B" w:rsidP="00DA702B"/>
        </w:tc>
        <w:tc>
          <w:tcPr>
            <w:tcW w:w="2057" w:type="dxa"/>
          </w:tcPr>
          <w:p w14:paraId="0C650C77" w14:textId="77777777" w:rsidR="00DA702B" w:rsidRPr="00DA702B" w:rsidRDefault="00DA702B" w:rsidP="00DA702B"/>
        </w:tc>
        <w:tc>
          <w:tcPr>
            <w:tcW w:w="2058" w:type="dxa"/>
          </w:tcPr>
          <w:p w14:paraId="1B9BEDB3" w14:textId="77777777" w:rsidR="00DA702B" w:rsidRPr="00DA702B" w:rsidRDefault="00DA702B" w:rsidP="00DA702B"/>
        </w:tc>
        <w:tc>
          <w:tcPr>
            <w:tcW w:w="2057" w:type="dxa"/>
          </w:tcPr>
          <w:p w14:paraId="47FAB5E8" w14:textId="77777777" w:rsidR="00DA702B" w:rsidRPr="00DA702B" w:rsidRDefault="00DA702B" w:rsidP="00DA702B"/>
        </w:tc>
        <w:tc>
          <w:tcPr>
            <w:tcW w:w="2057" w:type="dxa"/>
          </w:tcPr>
          <w:p w14:paraId="782162DD" w14:textId="77777777" w:rsidR="00DA702B" w:rsidRPr="00DA702B" w:rsidRDefault="00DA702B" w:rsidP="00DA702B"/>
        </w:tc>
        <w:tc>
          <w:tcPr>
            <w:tcW w:w="2057" w:type="dxa"/>
          </w:tcPr>
          <w:p w14:paraId="33DAB378" w14:textId="77777777" w:rsidR="00DA702B" w:rsidRPr="00DA702B" w:rsidRDefault="00DA702B" w:rsidP="00DA702B"/>
        </w:tc>
        <w:tc>
          <w:tcPr>
            <w:tcW w:w="2057" w:type="dxa"/>
          </w:tcPr>
          <w:p w14:paraId="6823CDBF" w14:textId="77777777" w:rsidR="00DA702B" w:rsidRPr="00DA702B" w:rsidRDefault="00DA702B" w:rsidP="00DA702B"/>
        </w:tc>
      </w:tr>
      <w:tr w:rsidR="00DA702B" w:rsidRPr="00DA702B" w14:paraId="613F51C5" w14:textId="77777777" w:rsidTr="00247007">
        <w:trPr>
          <w:cantSplit/>
          <w:tblHeader/>
        </w:trPr>
        <w:tc>
          <w:tcPr>
            <w:tcW w:w="2057" w:type="dxa"/>
          </w:tcPr>
          <w:p w14:paraId="47A28075" w14:textId="77777777" w:rsidR="00DA702B" w:rsidRPr="00DA702B" w:rsidRDefault="00DA702B" w:rsidP="00DA702B"/>
        </w:tc>
        <w:tc>
          <w:tcPr>
            <w:tcW w:w="2057" w:type="dxa"/>
          </w:tcPr>
          <w:p w14:paraId="4026DA07" w14:textId="77777777" w:rsidR="00DA702B" w:rsidRPr="00DA702B" w:rsidRDefault="00DA702B" w:rsidP="00DA702B"/>
        </w:tc>
        <w:tc>
          <w:tcPr>
            <w:tcW w:w="2058" w:type="dxa"/>
          </w:tcPr>
          <w:p w14:paraId="2D8709FF" w14:textId="77777777" w:rsidR="00DA702B" w:rsidRPr="00DA702B" w:rsidRDefault="00DA702B" w:rsidP="00DA702B"/>
        </w:tc>
        <w:tc>
          <w:tcPr>
            <w:tcW w:w="2057" w:type="dxa"/>
          </w:tcPr>
          <w:p w14:paraId="3097521B" w14:textId="77777777" w:rsidR="00DA702B" w:rsidRPr="00DA702B" w:rsidRDefault="00DA702B" w:rsidP="00DA702B"/>
        </w:tc>
        <w:tc>
          <w:tcPr>
            <w:tcW w:w="2057" w:type="dxa"/>
          </w:tcPr>
          <w:p w14:paraId="3835A0D0" w14:textId="77777777" w:rsidR="00DA702B" w:rsidRPr="00DA702B" w:rsidRDefault="00DA702B" w:rsidP="00DA702B"/>
        </w:tc>
        <w:tc>
          <w:tcPr>
            <w:tcW w:w="2057" w:type="dxa"/>
          </w:tcPr>
          <w:p w14:paraId="7C671E94" w14:textId="77777777" w:rsidR="00DA702B" w:rsidRPr="00DA702B" w:rsidRDefault="00DA702B" w:rsidP="00DA702B"/>
        </w:tc>
        <w:tc>
          <w:tcPr>
            <w:tcW w:w="2057" w:type="dxa"/>
          </w:tcPr>
          <w:p w14:paraId="1B0D1DDC" w14:textId="77777777" w:rsidR="00DA702B" w:rsidRPr="00DA702B" w:rsidRDefault="00DA702B" w:rsidP="00DA702B"/>
        </w:tc>
      </w:tr>
      <w:tr w:rsidR="00DA702B" w:rsidRPr="00DA702B" w14:paraId="4AB6A952" w14:textId="77777777" w:rsidTr="00247007">
        <w:trPr>
          <w:cantSplit/>
          <w:tblHeader/>
        </w:trPr>
        <w:tc>
          <w:tcPr>
            <w:tcW w:w="2057" w:type="dxa"/>
          </w:tcPr>
          <w:p w14:paraId="5530CC08" w14:textId="77777777" w:rsidR="00DA702B" w:rsidRPr="00DA702B" w:rsidRDefault="00DA702B" w:rsidP="00DA702B"/>
        </w:tc>
        <w:tc>
          <w:tcPr>
            <w:tcW w:w="2057" w:type="dxa"/>
          </w:tcPr>
          <w:p w14:paraId="4C102419" w14:textId="77777777" w:rsidR="00DA702B" w:rsidRPr="00DA702B" w:rsidRDefault="00DA702B" w:rsidP="00DA702B"/>
        </w:tc>
        <w:tc>
          <w:tcPr>
            <w:tcW w:w="2058" w:type="dxa"/>
          </w:tcPr>
          <w:p w14:paraId="2245C114" w14:textId="77777777" w:rsidR="00DA702B" w:rsidRPr="00DA702B" w:rsidRDefault="00DA702B" w:rsidP="00DA702B"/>
        </w:tc>
        <w:tc>
          <w:tcPr>
            <w:tcW w:w="2057" w:type="dxa"/>
          </w:tcPr>
          <w:p w14:paraId="690CE89E" w14:textId="77777777" w:rsidR="00DA702B" w:rsidRPr="00DA702B" w:rsidRDefault="00DA702B" w:rsidP="00DA702B"/>
        </w:tc>
        <w:tc>
          <w:tcPr>
            <w:tcW w:w="2057" w:type="dxa"/>
          </w:tcPr>
          <w:p w14:paraId="2F44D2C3" w14:textId="77777777" w:rsidR="00DA702B" w:rsidRPr="00DA702B" w:rsidRDefault="00DA702B" w:rsidP="00DA702B"/>
        </w:tc>
        <w:tc>
          <w:tcPr>
            <w:tcW w:w="2057" w:type="dxa"/>
          </w:tcPr>
          <w:p w14:paraId="7E5642C0" w14:textId="77777777" w:rsidR="00DA702B" w:rsidRPr="00DA702B" w:rsidRDefault="00DA702B" w:rsidP="00DA702B"/>
        </w:tc>
        <w:tc>
          <w:tcPr>
            <w:tcW w:w="2057" w:type="dxa"/>
          </w:tcPr>
          <w:p w14:paraId="4E4BBDA1" w14:textId="77777777" w:rsidR="00DA702B" w:rsidRPr="00DA702B" w:rsidRDefault="00DA702B" w:rsidP="00DA702B"/>
        </w:tc>
      </w:tr>
      <w:tr w:rsidR="00DA702B" w:rsidRPr="00DA702B" w14:paraId="15F22C15" w14:textId="77777777" w:rsidTr="00247007">
        <w:trPr>
          <w:cantSplit/>
          <w:tblHeader/>
        </w:trPr>
        <w:tc>
          <w:tcPr>
            <w:tcW w:w="2057" w:type="dxa"/>
          </w:tcPr>
          <w:p w14:paraId="5C8A94D7" w14:textId="77777777" w:rsidR="00DA702B" w:rsidRPr="00DA702B" w:rsidRDefault="00DA702B" w:rsidP="00DA702B"/>
        </w:tc>
        <w:tc>
          <w:tcPr>
            <w:tcW w:w="2057" w:type="dxa"/>
          </w:tcPr>
          <w:p w14:paraId="4B7CE514" w14:textId="77777777" w:rsidR="00DA702B" w:rsidRPr="00DA702B" w:rsidRDefault="00DA702B" w:rsidP="00DA702B"/>
        </w:tc>
        <w:tc>
          <w:tcPr>
            <w:tcW w:w="2058" w:type="dxa"/>
          </w:tcPr>
          <w:p w14:paraId="116D1C77" w14:textId="77777777" w:rsidR="00DA702B" w:rsidRPr="00DA702B" w:rsidRDefault="00DA702B" w:rsidP="00DA702B"/>
        </w:tc>
        <w:tc>
          <w:tcPr>
            <w:tcW w:w="2057" w:type="dxa"/>
          </w:tcPr>
          <w:p w14:paraId="21E9BFCC" w14:textId="77777777" w:rsidR="00DA702B" w:rsidRPr="00DA702B" w:rsidRDefault="00DA702B" w:rsidP="00DA702B"/>
        </w:tc>
        <w:tc>
          <w:tcPr>
            <w:tcW w:w="2057" w:type="dxa"/>
          </w:tcPr>
          <w:p w14:paraId="1F6FC24A" w14:textId="77777777" w:rsidR="00DA702B" w:rsidRPr="00DA702B" w:rsidRDefault="00DA702B" w:rsidP="00DA702B"/>
        </w:tc>
        <w:tc>
          <w:tcPr>
            <w:tcW w:w="2057" w:type="dxa"/>
          </w:tcPr>
          <w:p w14:paraId="1D7D47CF" w14:textId="77777777" w:rsidR="00DA702B" w:rsidRPr="00DA702B" w:rsidRDefault="00DA702B" w:rsidP="00DA702B"/>
        </w:tc>
        <w:tc>
          <w:tcPr>
            <w:tcW w:w="2057" w:type="dxa"/>
          </w:tcPr>
          <w:p w14:paraId="6A388924" w14:textId="77777777" w:rsidR="00DA702B" w:rsidRPr="00DA702B" w:rsidRDefault="00DA702B" w:rsidP="00DA702B"/>
        </w:tc>
      </w:tr>
      <w:tr w:rsidR="00DA702B" w:rsidRPr="00DA702B" w14:paraId="460DF722" w14:textId="77777777" w:rsidTr="00247007">
        <w:trPr>
          <w:cantSplit/>
          <w:tblHeader/>
        </w:trPr>
        <w:tc>
          <w:tcPr>
            <w:tcW w:w="2057" w:type="dxa"/>
          </w:tcPr>
          <w:p w14:paraId="0691DABA" w14:textId="77777777" w:rsidR="00DA702B" w:rsidRPr="00DA702B" w:rsidRDefault="00DA702B" w:rsidP="00DA702B"/>
        </w:tc>
        <w:tc>
          <w:tcPr>
            <w:tcW w:w="2057" w:type="dxa"/>
          </w:tcPr>
          <w:p w14:paraId="2480D4C8" w14:textId="77777777" w:rsidR="00DA702B" w:rsidRPr="00DA702B" w:rsidRDefault="00DA702B" w:rsidP="00DA702B"/>
        </w:tc>
        <w:tc>
          <w:tcPr>
            <w:tcW w:w="2058" w:type="dxa"/>
          </w:tcPr>
          <w:p w14:paraId="7D6FD3DF" w14:textId="77777777" w:rsidR="00DA702B" w:rsidRPr="00DA702B" w:rsidRDefault="00DA702B" w:rsidP="00DA702B"/>
        </w:tc>
        <w:tc>
          <w:tcPr>
            <w:tcW w:w="2057" w:type="dxa"/>
          </w:tcPr>
          <w:p w14:paraId="461FFC56" w14:textId="77777777" w:rsidR="00DA702B" w:rsidRPr="00DA702B" w:rsidRDefault="00DA702B" w:rsidP="00DA702B"/>
        </w:tc>
        <w:tc>
          <w:tcPr>
            <w:tcW w:w="2057" w:type="dxa"/>
          </w:tcPr>
          <w:p w14:paraId="54203F7D" w14:textId="77777777" w:rsidR="00DA702B" w:rsidRPr="00DA702B" w:rsidRDefault="00DA702B" w:rsidP="00DA702B"/>
        </w:tc>
        <w:tc>
          <w:tcPr>
            <w:tcW w:w="2057" w:type="dxa"/>
          </w:tcPr>
          <w:p w14:paraId="74308CDA" w14:textId="77777777" w:rsidR="00DA702B" w:rsidRPr="00DA702B" w:rsidRDefault="00DA702B" w:rsidP="00DA702B"/>
        </w:tc>
        <w:tc>
          <w:tcPr>
            <w:tcW w:w="2057" w:type="dxa"/>
          </w:tcPr>
          <w:p w14:paraId="05987D5C" w14:textId="77777777" w:rsidR="00DA702B" w:rsidRPr="00DA702B" w:rsidRDefault="00DA702B" w:rsidP="00DA702B"/>
        </w:tc>
      </w:tr>
      <w:tr w:rsidR="00DA702B" w:rsidRPr="00DA702B" w14:paraId="612EDF92" w14:textId="77777777" w:rsidTr="00247007">
        <w:trPr>
          <w:cantSplit/>
          <w:tblHeader/>
        </w:trPr>
        <w:tc>
          <w:tcPr>
            <w:tcW w:w="2057" w:type="dxa"/>
          </w:tcPr>
          <w:p w14:paraId="20CE9C7C" w14:textId="77777777" w:rsidR="00DA702B" w:rsidRPr="00DA702B" w:rsidRDefault="00DA702B" w:rsidP="00DA702B"/>
        </w:tc>
        <w:tc>
          <w:tcPr>
            <w:tcW w:w="2057" w:type="dxa"/>
          </w:tcPr>
          <w:p w14:paraId="3155FF50" w14:textId="77777777" w:rsidR="00DA702B" w:rsidRPr="00DA702B" w:rsidRDefault="00DA702B" w:rsidP="00DA702B"/>
        </w:tc>
        <w:tc>
          <w:tcPr>
            <w:tcW w:w="2058" w:type="dxa"/>
          </w:tcPr>
          <w:p w14:paraId="4B3077BA" w14:textId="77777777" w:rsidR="00DA702B" w:rsidRPr="00DA702B" w:rsidRDefault="00DA702B" w:rsidP="00DA702B"/>
        </w:tc>
        <w:tc>
          <w:tcPr>
            <w:tcW w:w="2057" w:type="dxa"/>
          </w:tcPr>
          <w:p w14:paraId="1D6E0858" w14:textId="77777777" w:rsidR="00DA702B" w:rsidRPr="00DA702B" w:rsidRDefault="00DA702B" w:rsidP="00DA702B"/>
        </w:tc>
        <w:tc>
          <w:tcPr>
            <w:tcW w:w="2057" w:type="dxa"/>
          </w:tcPr>
          <w:p w14:paraId="2142CF6B" w14:textId="77777777" w:rsidR="00DA702B" w:rsidRPr="00DA702B" w:rsidRDefault="00DA702B" w:rsidP="00DA702B"/>
        </w:tc>
        <w:tc>
          <w:tcPr>
            <w:tcW w:w="2057" w:type="dxa"/>
          </w:tcPr>
          <w:p w14:paraId="1B1BFF3C" w14:textId="77777777" w:rsidR="00DA702B" w:rsidRPr="00DA702B" w:rsidRDefault="00DA702B" w:rsidP="00DA702B"/>
        </w:tc>
        <w:tc>
          <w:tcPr>
            <w:tcW w:w="2057" w:type="dxa"/>
          </w:tcPr>
          <w:p w14:paraId="1C1B5F97" w14:textId="77777777" w:rsidR="00DA702B" w:rsidRPr="00DA702B" w:rsidRDefault="00DA702B" w:rsidP="00DA702B"/>
        </w:tc>
      </w:tr>
    </w:tbl>
    <w:p w14:paraId="6C41DF95" w14:textId="77777777" w:rsidR="00DA702B" w:rsidRPr="00DA702B" w:rsidRDefault="00DA702B" w:rsidP="00DA702B">
      <w:pPr>
        <w:rPr>
          <w:sz w:val="20"/>
          <w:szCs w:val="20"/>
        </w:rPr>
      </w:pPr>
      <w:r w:rsidRPr="00DA702B">
        <w:rPr>
          <w:sz w:val="20"/>
          <w:szCs w:val="20"/>
        </w:rPr>
        <w:br w:type="page"/>
      </w:r>
    </w:p>
    <w:p w14:paraId="362B4E91" w14:textId="77777777" w:rsidR="00DA702B" w:rsidRPr="00DA702B" w:rsidRDefault="00DA702B" w:rsidP="008B7D89">
      <w:pPr>
        <w:widowControl w:val="0"/>
        <w:jc w:val="center"/>
        <w:rPr>
          <w:rFonts w:eastAsiaTheme="majorEastAsia"/>
          <w:b/>
          <w:bCs/>
        </w:rPr>
      </w:pPr>
      <w:r w:rsidRPr="00DA702B">
        <w:rPr>
          <w:rFonts w:eastAsiaTheme="majorEastAsia"/>
          <w:b/>
          <w:bCs/>
        </w:rPr>
        <w:lastRenderedPageBreak/>
        <w:t>Boiler/Steam Generator/Steam Generating Unit Attributes</w:t>
      </w:r>
    </w:p>
    <w:p w14:paraId="3671D8D5" w14:textId="77777777" w:rsidR="00DA702B" w:rsidRPr="00DA702B" w:rsidRDefault="00DA702B" w:rsidP="008B7D89">
      <w:pPr>
        <w:widowControl w:val="0"/>
        <w:jc w:val="center"/>
        <w:rPr>
          <w:rFonts w:eastAsiaTheme="majorEastAsia"/>
          <w:b/>
          <w:bCs/>
        </w:rPr>
      </w:pPr>
      <w:r w:rsidRPr="00DA702B">
        <w:rPr>
          <w:rFonts w:eastAsiaTheme="majorEastAsia"/>
          <w:b/>
          <w:bCs/>
        </w:rPr>
        <w:t>Form OP-UA6 (Page 39)</w:t>
      </w:r>
    </w:p>
    <w:p w14:paraId="48983A25" w14:textId="77777777" w:rsidR="00DA702B" w:rsidRPr="00DA702B" w:rsidRDefault="00DA702B" w:rsidP="008B7D89">
      <w:pPr>
        <w:widowControl w:val="0"/>
        <w:jc w:val="center"/>
        <w:rPr>
          <w:rFonts w:eastAsiaTheme="majorEastAsia"/>
          <w:b/>
          <w:bCs/>
        </w:rPr>
      </w:pPr>
      <w:r w:rsidRPr="00DA702B">
        <w:rPr>
          <w:rFonts w:eastAsiaTheme="majorEastAsia"/>
          <w:b/>
          <w:bCs/>
        </w:rPr>
        <w:t>Federal Operating Permit Program</w:t>
      </w:r>
    </w:p>
    <w:p w14:paraId="12FB8452" w14:textId="77777777" w:rsidR="00DA702B" w:rsidRPr="00DA702B" w:rsidRDefault="00DA702B" w:rsidP="008B7D89">
      <w:pPr>
        <w:widowControl w:val="0"/>
        <w:jc w:val="center"/>
        <w:rPr>
          <w:rFonts w:eastAsiaTheme="majorEastAsia"/>
          <w:b/>
          <w:bCs/>
        </w:rPr>
      </w:pPr>
      <w:bookmarkStart w:id="201" w:name="TBL_14c"/>
      <w:r w:rsidRPr="00DA702B">
        <w:rPr>
          <w:rFonts w:eastAsiaTheme="majorEastAsia"/>
          <w:b/>
          <w:bCs/>
        </w:rPr>
        <w:t>Table 14c</w:t>
      </w:r>
      <w:bookmarkEnd w:id="201"/>
      <w:r w:rsidRPr="00DA702B">
        <w:rPr>
          <w:rFonts w:eastAsiaTheme="majorEastAsia"/>
          <w:b/>
          <w:bCs/>
        </w:rPr>
        <w:t>:  Title 40 Code of Federal Regulations Part 63 (40 CFR Part 63)</w:t>
      </w:r>
    </w:p>
    <w:p w14:paraId="56100053" w14:textId="77777777" w:rsidR="00DA702B" w:rsidRPr="00DA702B" w:rsidRDefault="00DA702B" w:rsidP="008B7D89">
      <w:pPr>
        <w:widowControl w:val="0"/>
        <w:jc w:val="center"/>
        <w:rPr>
          <w:rFonts w:eastAsiaTheme="majorEastAsia"/>
          <w:b/>
          <w:bCs/>
        </w:rPr>
      </w:pPr>
      <w:r w:rsidRPr="00DA702B">
        <w:rPr>
          <w:rFonts w:eastAsiaTheme="majorEastAsia"/>
          <w:b/>
          <w:bCs/>
        </w:rPr>
        <w:t>Subpart DDDDD:  Industrial, Commercial, and Institutional Boilers</w:t>
      </w:r>
    </w:p>
    <w:p w14:paraId="3EE95561" w14:textId="77777777" w:rsidR="00DA702B" w:rsidRPr="00DA702B" w:rsidRDefault="00DA702B" w:rsidP="001F3611">
      <w:pPr>
        <w:widowControl w:val="0"/>
        <w:spacing w:after="360"/>
        <w:jc w:val="center"/>
        <w:rPr>
          <w:b/>
          <w:bCs/>
        </w:rPr>
      </w:pPr>
      <w:r w:rsidRPr="00DA702B">
        <w:rPr>
          <w:b/>
          <w:bCs/>
        </w:rPr>
        <w:t>Texas Commission on Environmental Quality</w:t>
      </w:r>
    </w:p>
    <w:p w14:paraId="187D534A" w14:textId="77777777" w:rsidR="00DA702B" w:rsidRPr="00DA702B" w:rsidRDefault="00DA702B" w:rsidP="00DA702B">
      <w:pPr>
        <w:spacing w:before="480"/>
        <w:contextualSpacing/>
        <w:rPr>
          <w:b/>
          <w:bCs/>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c:  Title 40 Code of Federal Regulations Part 63 (40 CFR Part 63)&#10;Subpart DDDDD:  Industrial, Commercial, and Institutional Boilers&#10;"/>
      </w:tblPr>
      <w:tblGrid>
        <w:gridCol w:w="4800"/>
        <w:gridCol w:w="4800"/>
        <w:gridCol w:w="4800"/>
      </w:tblGrid>
      <w:tr w:rsidR="00DA702B" w:rsidRPr="00DA702B" w14:paraId="3307B6EF" w14:textId="77777777" w:rsidTr="00247007">
        <w:trPr>
          <w:cantSplit/>
          <w:tblHeader/>
        </w:trPr>
        <w:tc>
          <w:tcPr>
            <w:tcW w:w="4800" w:type="dxa"/>
            <w:shd w:val="clear" w:color="auto" w:fill="D9D9D9" w:themeFill="background1" w:themeFillShade="D9"/>
          </w:tcPr>
          <w:p w14:paraId="1AF10AB0"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C33BC62"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57CEC927"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6EE1ADF6" w14:textId="77777777" w:rsidTr="00247007">
        <w:trPr>
          <w:cantSplit/>
          <w:tblHeader/>
        </w:trPr>
        <w:tc>
          <w:tcPr>
            <w:tcW w:w="4800" w:type="dxa"/>
          </w:tcPr>
          <w:p w14:paraId="4A01B987" w14:textId="77777777" w:rsidR="00DA702B" w:rsidRPr="00DA702B" w:rsidRDefault="00DA702B" w:rsidP="00DA702B">
            <w:pPr>
              <w:rPr>
                <w:rFonts w:asciiTheme="majorHAnsi" w:hAnsiTheme="majorHAnsi" w:cstheme="majorHAnsi"/>
              </w:rPr>
            </w:pPr>
          </w:p>
        </w:tc>
        <w:tc>
          <w:tcPr>
            <w:tcW w:w="4800" w:type="dxa"/>
          </w:tcPr>
          <w:p w14:paraId="3F374D8E" w14:textId="77777777" w:rsidR="00DA702B" w:rsidRPr="00DA702B" w:rsidRDefault="00DA702B" w:rsidP="00DA702B">
            <w:pPr>
              <w:rPr>
                <w:rFonts w:asciiTheme="majorHAnsi" w:hAnsiTheme="majorHAnsi" w:cstheme="majorHAnsi"/>
              </w:rPr>
            </w:pPr>
          </w:p>
        </w:tc>
        <w:tc>
          <w:tcPr>
            <w:tcW w:w="4800" w:type="dxa"/>
          </w:tcPr>
          <w:p w14:paraId="47A70E70" w14:textId="77777777" w:rsidR="00DA702B" w:rsidRPr="00DA702B" w:rsidRDefault="00DA702B" w:rsidP="00DA702B">
            <w:pPr>
              <w:rPr>
                <w:rFonts w:asciiTheme="majorHAnsi" w:hAnsiTheme="majorHAnsi" w:cstheme="majorHAnsi"/>
              </w:rPr>
            </w:pPr>
          </w:p>
        </w:tc>
      </w:tr>
    </w:tbl>
    <w:p w14:paraId="62DB96F3" w14:textId="77777777" w:rsidR="00DA702B" w:rsidRPr="00DA702B" w:rsidRDefault="00DA702B" w:rsidP="00DA702B">
      <w:pPr>
        <w:contextualSpacing/>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4c:  Title 40 Code of Federal Regulations Part 63 (40 CFR Part 63)&#10;Subpart DDDDD:  Industrial, Commercial, and Institutional Boilers&#10;"/>
      </w:tblPr>
      <w:tblGrid>
        <w:gridCol w:w="1800"/>
        <w:gridCol w:w="1800"/>
        <w:gridCol w:w="1800"/>
        <w:gridCol w:w="1800"/>
        <w:gridCol w:w="1800"/>
        <w:gridCol w:w="1800"/>
        <w:gridCol w:w="1800"/>
        <w:gridCol w:w="1800"/>
      </w:tblGrid>
      <w:tr w:rsidR="00DA702B" w:rsidRPr="00DA702B" w14:paraId="3C0996C2" w14:textId="77777777" w:rsidTr="00247007">
        <w:trPr>
          <w:cantSplit/>
          <w:tblHeader/>
        </w:trPr>
        <w:tc>
          <w:tcPr>
            <w:tcW w:w="1800" w:type="dxa"/>
            <w:shd w:val="clear" w:color="auto" w:fill="D9D9D9" w:themeFill="background1" w:themeFillShade="D9"/>
            <w:vAlign w:val="center"/>
          </w:tcPr>
          <w:p w14:paraId="1D3AC75D" w14:textId="77777777" w:rsidR="00DA702B" w:rsidRPr="00DA702B" w:rsidRDefault="00DA702B" w:rsidP="00DA702B">
            <w:pPr>
              <w:contextualSpacing/>
              <w:jc w:val="center"/>
              <w:rPr>
                <w:b/>
                <w:bCs/>
                <w:sz w:val="20"/>
                <w:szCs w:val="20"/>
              </w:rPr>
            </w:pPr>
            <w:r w:rsidRPr="00DA702B">
              <w:rPr>
                <w:b/>
                <w:bCs/>
                <w:sz w:val="20"/>
                <w:szCs w:val="20"/>
              </w:rPr>
              <w:t>Unit ID No.</w:t>
            </w:r>
          </w:p>
        </w:tc>
        <w:tc>
          <w:tcPr>
            <w:tcW w:w="1800" w:type="dxa"/>
            <w:shd w:val="clear" w:color="auto" w:fill="D9D9D9" w:themeFill="background1" w:themeFillShade="D9"/>
            <w:vAlign w:val="center"/>
          </w:tcPr>
          <w:p w14:paraId="72FF0184" w14:textId="77777777" w:rsidR="00DA702B" w:rsidRPr="00DA702B" w:rsidRDefault="00DA702B" w:rsidP="00DA702B">
            <w:pPr>
              <w:contextualSpacing/>
              <w:jc w:val="center"/>
              <w:rPr>
                <w:b/>
                <w:bCs/>
                <w:sz w:val="20"/>
                <w:szCs w:val="20"/>
              </w:rPr>
            </w:pPr>
            <w:r w:rsidRPr="00DA702B">
              <w:rPr>
                <w:b/>
                <w:bCs/>
                <w:sz w:val="20"/>
                <w:szCs w:val="20"/>
              </w:rPr>
              <w:t xml:space="preserve">SOP/GOP </w:t>
            </w:r>
          </w:p>
          <w:p w14:paraId="3BEA10C7" w14:textId="77777777" w:rsidR="00DA702B" w:rsidRPr="00DA702B" w:rsidRDefault="00DA702B" w:rsidP="00DA702B">
            <w:pPr>
              <w:contextualSpacing/>
              <w:jc w:val="center"/>
              <w:rPr>
                <w:b/>
                <w:bCs/>
                <w:sz w:val="20"/>
                <w:szCs w:val="20"/>
              </w:rPr>
            </w:pPr>
            <w:r w:rsidRPr="00DA702B">
              <w:rPr>
                <w:b/>
                <w:bCs/>
                <w:sz w:val="20"/>
                <w:szCs w:val="20"/>
              </w:rPr>
              <w:t>Index No.</w:t>
            </w:r>
          </w:p>
        </w:tc>
        <w:tc>
          <w:tcPr>
            <w:tcW w:w="1800" w:type="dxa"/>
            <w:shd w:val="clear" w:color="auto" w:fill="D9D9D9" w:themeFill="background1" w:themeFillShade="D9"/>
            <w:vAlign w:val="center"/>
          </w:tcPr>
          <w:p w14:paraId="1D926475" w14:textId="77777777" w:rsidR="00DA702B" w:rsidRPr="00DA702B" w:rsidRDefault="00DA702B" w:rsidP="00DA702B">
            <w:pPr>
              <w:contextualSpacing/>
              <w:jc w:val="center"/>
              <w:rPr>
                <w:b/>
                <w:bCs/>
                <w:sz w:val="20"/>
                <w:szCs w:val="20"/>
              </w:rPr>
            </w:pPr>
            <w:r w:rsidRPr="00DA702B">
              <w:rPr>
                <w:b/>
                <w:bCs/>
                <w:sz w:val="20"/>
                <w:szCs w:val="20"/>
              </w:rPr>
              <w:t>Hg Emission</w:t>
            </w:r>
          </w:p>
        </w:tc>
        <w:tc>
          <w:tcPr>
            <w:tcW w:w="1800" w:type="dxa"/>
            <w:shd w:val="clear" w:color="auto" w:fill="D9D9D9" w:themeFill="background1" w:themeFillShade="D9"/>
            <w:vAlign w:val="center"/>
          </w:tcPr>
          <w:p w14:paraId="14249EE5" w14:textId="77777777" w:rsidR="00DA702B" w:rsidRPr="00DA702B" w:rsidRDefault="00DA702B" w:rsidP="00DA702B">
            <w:pPr>
              <w:contextualSpacing/>
              <w:jc w:val="center"/>
              <w:rPr>
                <w:b/>
                <w:bCs/>
                <w:sz w:val="20"/>
                <w:szCs w:val="20"/>
              </w:rPr>
            </w:pPr>
            <w:r w:rsidRPr="00DA702B">
              <w:rPr>
                <w:b/>
                <w:bCs/>
                <w:sz w:val="20"/>
                <w:szCs w:val="20"/>
              </w:rPr>
              <w:t>Hg-InjRate</w:t>
            </w:r>
          </w:p>
        </w:tc>
        <w:tc>
          <w:tcPr>
            <w:tcW w:w="1800" w:type="dxa"/>
            <w:shd w:val="clear" w:color="auto" w:fill="D9D9D9" w:themeFill="background1" w:themeFillShade="D9"/>
            <w:vAlign w:val="center"/>
          </w:tcPr>
          <w:p w14:paraId="5BF0681E" w14:textId="77777777" w:rsidR="00DA702B" w:rsidRPr="00DA702B" w:rsidRDefault="00DA702B" w:rsidP="00DA702B">
            <w:pPr>
              <w:contextualSpacing/>
              <w:jc w:val="center"/>
              <w:rPr>
                <w:b/>
                <w:bCs/>
                <w:sz w:val="20"/>
                <w:szCs w:val="20"/>
              </w:rPr>
            </w:pPr>
            <w:r w:rsidRPr="00DA702B">
              <w:rPr>
                <w:b/>
                <w:bCs/>
                <w:sz w:val="20"/>
                <w:szCs w:val="20"/>
              </w:rPr>
              <w:t>Hg-CMS</w:t>
            </w:r>
          </w:p>
        </w:tc>
        <w:tc>
          <w:tcPr>
            <w:tcW w:w="1800" w:type="dxa"/>
            <w:shd w:val="clear" w:color="auto" w:fill="D9D9D9" w:themeFill="background1" w:themeFillShade="D9"/>
            <w:vAlign w:val="center"/>
          </w:tcPr>
          <w:p w14:paraId="30D73831" w14:textId="77777777" w:rsidR="00DA702B" w:rsidRPr="00DA702B" w:rsidRDefault="00DA702B" w:rsidP="00DA702B">
            <w:pPr>
              <w:contextualSpacing/>
              <w:jc w:val="center"/>
              <w:rPr>
                <w:b/>
                <w:bCs/>
                <w:sz w:val="20"/>
                <w:szCs w:val="20"/>
              </w:rPr>
            </w:pPr>
            <w:r w:rsidRPr="00DA702B">
              <w:rPr>
                <w:b/>
                <w:bCs/>
                <w:sz w:val="20"/>
                <w:szCs w:val="20"/>
              </w:rPr>
              <w:t>Hg-CD</w:t>
            </w:r>
          </w:p>
        </w:tc>
        <w:tc>
          <w:tcPr>
            <w:tcW w:w="1800" w:type="dxa"/>
            <w:shd w:val="clear" w:color="auto" w:fill="D9D9D9" w:themeFill="background1" w:themeFillShade="D9"/>
            <w:vAlign w:val="center"/>
          </w:tcPr>
          <w:p w14:paraId="4B937BDA" w14:textId="77777777" w:rsidR="00DA702B" w:rsidRPr="00DA702B" w:rsidRDefault="00DA702B" w:rsidP="00DA702B">
            <w:pPr>
              <w:contextualSpacing/>
              <w:jc w:val="center"/>
              <w:rPr>
                <w:b/>
                <w:bCs/>
                <w:sz w:val="20"/>
                <w:szCs w:val="20"/>
              </w:rPr>
            </w:pPr>
            <w:r w:rsidRPr="00DA702B">
              <w:rPr>
                <w:b/>
                <w:bCs/>
                <w:sz w:val="20"/>
                <w:szCs w:val="20"/>
              </w:rPr>
              <w:t>Hg-Test</w:t>
            </w:r>
          </w:p>
        </w:tc>
        <w:tc>
          <w:tcPr>
            <w:tcW w:w="1800" w:type="dxa"/>
            <w:shd w:val="clear" w:color="auto" w:fill="D9D9D9" w:themeFill="background1" w:themeFillShade="D9"/>
            <w:vAlign w:val="center"/>
          </w:tcPr>
          <w:p w14:paraId="7403420B" w14:textId="77777777" w:rsidR="00DA702B" w:rsidRPr="00DA702B" w:rsidRDefault="00DA702B" w:rsidP="00DA702B">
            <w:pPr>
              <w:contextualSpacing/>
              <w:jc w:val="center"/>
              <w:rPr>
                <w:b/>
                <w:bCs/>
                <w:sz w:val="20"/>
                <w:szCs w:val="20"/>
              </w:rPr>
            </w:pPr>
            <w:r w:rsidRPr="00DA702B">
              <w:rPr>
                <w:b/>
                <w:bCs/>
                <w:sz w:val="20"/>
                <w:szCs w:val="20"/>
              </w:rPr>
              <w:t>Hg-FA</w:t>
            </w:r>
          </w:p>
        </w:tc>
      </w:tr>
      <w:tr w:rsidR="00DA702B" w:rsidRPr="00DA702B" w14:paraId="0B91F759" w14:textId="77777777" w:rsidTr="00247007">
        <w:trPr>
          <w:cantSplit/>
          <w:trHeight w:val="346"/>
          <w:tblHeader/>
        </w:trPr>
        <w:tc>
          <w:tcPr>
            <w:tcW w:w="1800" w:type="dxa"/>
          </w:tcPr>
          <w:p w14:paraId="56E96691" w14:textId="77777777" w:rsidR="00DA702B" w:rsidRPr="00DA702B" w:rsidRDefault="00DA702B" w:rsidP="00DA702B">
            <w:pPr>
              <w:contextualSpacing/>
            </w:pPr>
          </w:p>
        </w:tc>
        <w:tc>
          <w:tcPr>
            <w:tcW w:w="1800" w:type="dxa"/>
          </w:tcPr>
          <w:p w14:paraId="5310BD90" w14:textId="77777777" w:rsidR="00DA702B" w:rsidRPr="00DA702B" w:rsidRDefault="00DA702B" w:rsidP="00DA702B">
            <w:pPr>
              <w:contextualSpacing/>
            </w:pPr>
          </w:p>
        </w:tc>
        <w:tc>
          <w:tcPr>
            <w:tcW w:w="1800" w:type="dxa"/>
          </w:tcPr>
          <w:p w14:paraId="444524F0" w14:textId="77777777" w:rsidR="00DA702B" w:rsidRPr="00DA702B" w:rsidRDefault="00DA702B" w:rsidP="00DA702B">
            <w:pPr>
              <w:contextualSpacing/>
            </w:pPr>
          </w:p>
        </w:tc>
        <w:tc>
          <w:tcPr>
            <w:tcW w:w="1800" w:type="dxa"/>
          </w:tcPr>
          <w:p w14:paraId="2BA6ED0C" w14:textId="77777777" w:rsidR="00DA702B" w:rsidRPr="00DA702B" w:rsidRDefault="00DA702B" w:rsidP="00DA702B">
            <w:pPr>
              <w:contextualSpacing/>
            </w:pPr>
          </w:p>
        </w:tc>
        <w:tc>
          <w:tcPr>
            <w:tcW w:w="1800" w:type="dxa"/>
          </w:tcPr>
          <w:p w14:paraId="3DE0A161" w14:textId="77777777" w:rsidR="00DA702B" w:rsidRPr="00DA702B" w:rsidRDefault="00DA702B" w:rsidP="00DA702B">
            <w:pPr>
              <w:contextualSpacing/>
            </w:pPr>
          </w:p>
        </w:tc>
        <w:tc>
          <w:tcPr>
            <w:tcW w:w="1800" w:type="dxa"/>
          </w:tcPr>
          <w:p w14:paraId="6D9BCCAB" w14:textId="77777777" w:rsidR="00DA702B" w:rsidRPr="00DA702B" w:rsidRDefault="00DA702B" w:rsidP="00DA702B">
            <w:pPr>
              <w:contextualSpacing/>
            </w:pPr>
          </w:p>
        </w:tc>
        <w:tc>
          <w:tcPr>
            <w:tcW w:w="1800" w:type="dxa"/>
          </w:tcPr>
          <w:p w14:paraId="0D07B270" w14:textId="77777777" w:rsidR="00DA702B" w:rsidRPr="00DA702B" w:rsidRDefault="00DA702B" w:rsidP="00DA702B">
            <w:pPr>
              <w:contextualSpacing/>
            </w:pPr>
          </w:p>
        </w:tc>
        <w:tc>
          <w:tcPr>
            <w:tcW w:w="1800" w:type="dxa"/>
          </w:tcPr>
          <w:p w14:paraId="7B551EF8" w14:textId="77777777" w:rsidR="00DA702B" w:rsidRPr="00DA702B" w:rsidRDefault="00DA702B" w:rsidP="00DA702B">
            <w:pPr>
              <w:contextualSpacing/>
            </w:pPr>
          </w:p>
        </w:tc>
      </w:tr>
      <w:tr w:rsidR="00DA702B" w:rsidRPr="00DA702B" w14:paraId="1F0B480C" w14:textId="77777777" w:rsidTr="00247007">
        <w:trPr>
          <w:cantSplit/>
          <w:trHeight w:val="346"/>
          <w:tblHeader/>
        </w:trPr>
        <w:tc>
          <w:tcPr>
            <w:tcW w:w="1800" w:type="dxa"/>
          </w:tcPr>
          <w:p w14:paraId="79CAD07E" w14:textId="77777777" w:rsidR="00DA702B" w:rsidRPr="00DA702B" w:rsidRDefault="00DA702B" w:rsidP="00DA702B">
            <w:pPr>
              <w:contextualSpacing/>
            </w:pPr>
          </w:p>
        </w:tc>
        <w:tc>
          <w:tcPr>
            <w:tcW w:w="1800" w:type="dxa"/>
          </w:tcPr>
          <w:p w14:paraId="74AD76B1" w14:textId="77777777" w:rsidR="00DA702B" w:rsidRPr="00DA702B" w:rsidRDefault="00DA702B" w:rsidP="00DA702B">
            <w:pPr>
              <w:contextualSpacing/>
            </w:pPr>
          </w:p>
        </w:tc>
        <w:tc>
          <w:tcPr>
            <w:tcW w:w="1800" w:type="dxa"/>
          </w:tcPr>
          <w:p w14:paraId="3DAF6D7F" w14:textId="77777777" w:rsidR="00DA702B" w:rsidRPr="00DA702B" w:rsidRDefault="00DA702B" w:rsidP="00DA702B">
            <w:pPr>
              <w:contextualSpacing/>
            </w:pPr>
          </w:p>
        </w:tc>
        <w:tc>
          <w:tcPr>
            <w:tcW w:w="1800" w:type="dxa"/>
          </w:tcPr>
          <w:p w14:paraId="0E086B18" w14:textId="77777777" w:rsidR="00DA702B" w:rsidRPr="00DA702B" w:rsidRDefault="00DA702B" w:rsidP="00DA702B">
            <w:pPr>
              <w:contextualSpacing/>
            </w:pPr>
          </w:p>
        </w:tc>
        <w:tc>
          <w:tcPr>
            <w:tcW w:w="1800" w:type="dxa"/>
          </w:tcPr>
          <w:p w14:paraId="740135E8" w14:textId="77777777" w:rsidR="00DA702B" w:rsidRPr="00DA702B" w:rsidRDefault="00DA702B" w:rsidP="00DA702B">
            <w:pPr>
              <w:contextualSpacing/>
            </w:pPr>
          </w:p>
        </w:tc>
        <w:tc>
          <w:tcPr>
            <w:tcW w:w="1800" w:type="dxa"/>
          </w:tcPr>
          <w:p w14:paraId="6D7DFC57" w14:textId="77777777" w:rsidR="00DA702B" w:rsidRPr="00DA702B" w:rsidRDefault="00DA702B" w:rsidP="00DA702B">
            <w:pPr>
              <w:contextualSpacing/>
            </w:pPr>
          </w:p>
        </w:tc>
        <w:tc>
          <w:tcPr>
            <w:tcW w:w="1800" w:type="dxa"/>
          </w:tcPr>
          <w:p w14:paraId="15468793" w14:textId="77777777" w:rsidR="00DA702B" w:rsidRPr="00DA702B" w:rsidRDefault="00DA702B" w:rsidP="00DA702B">
            <w:pPr>
              <w:contextualSpacing/>
            </w:pPr>
          </w:p>
        </w:tc>
        <w:tc>
          <w:tcPr>
            <w:tcW w:w="1800" w:type="dxa"/>
          </w:tcPr>
          <w:p w14:paraId="4DCBD084" w14:textId="77777777" w:rsidR="00DA702B" w:rsidRPr="00DA702B" w:rsidRDefault="00DA702B" w:rsidP="00DA702B">
            <w:pPr>
              <w:contextualSpacing/>
            </w:pPr>
          </w:p>
        </w:tc>
      </w:tr>
      <w:tr w:rsidR="00DA702B" w:rsidRPr="00DA702B" w14:paraId="451F65FE" w14:textId="77777777" w:rsidTr="00247007">
        <w:trPr>
          <w:cantSplit/>
          <w:trHeight w:val="346"/>
          <w:tblHeader/>
        </w:trPr>
        <w:tc>
          <w:tcPr>
            <w:tcW w:w="1800" w:type="dxa"/>
          </w:tcPr>
          <w:p w14:paraId="0ED7C403" w14:textId="77777777" w:rsidR="00DA702B" w:rsidRPr="00DA702B" w:rsidRDefault="00DA702B" w:rsidP="00DA702B">
            <w:pPr>
              <w:contextualSpacing/>
            </w:pPr>
          </w:p>
        </w:tc>
        <w:tc>
          <w:tcPr>
            <w:tcW w:w="1800" w:type="dxa"/>
          </w:tcPr>
          <w:p w14:paraId="06875DCB" w14:textId="77777777" w:rsidR="00DA702B" w:rsidRPr="00DA702B" w:rsidRDefault="00DA702B" w:rsidP="00DA702B">
            <w:pPr>
              <w:contextualSpacing/>
            </w:pPr>
          </w:p>
        </w:tc>
        <w:tc>
          <w:tcPr>
            <w:tcW w:w="1800" w:type="dxa"/>
          </w:tcPr>
          <w:p w14:paraId="1225D8CA" w14:textId="77777777" w:rsidR="00DA702B" w:rsidRPr="00DA702B" w:rsidRDefault="00DA702B" w:rsidP="00DA702B">
            <w:pPr>
              <w:contextualSpacing/>
            </w:pPr>
          </w:p>
        </w:tc>
        <w:tc>
          <w:tcPr>
            <w:tcW w:w="1800" w:type="dxa"/>
          </w:tcPr>
          <w:p w14:paraId="50FA7F05" w14:textId="77777777" w:rsidR="00DA702B" w:rsidRPr="00DA702B" w:rsidRDefault="00DA702B" w:rsidP="00DA702B">
            <w:pPr>
              <w:contextualSpacing/>
            </w:pPr>
          </w:p>
        </w:tc>
        <w:tc>
          <w:tcPr>
            <w:tcW w:w="1800" w:type="dxa"/>
          </w:tcPr>
          <w:p w14:paraId="34E7C127" w14:textId="77777777" w:rsidR="00DA702B" w:rsidRPr="00DA702B" w:rsidRDefault="00DA702B" w:rsidP="00DA702B">
            <w:pPr>
              <w:contextualSpacing/>
            </w:pPr>
          </w:p>
        </w:tc>
        <w:tc>
          <w:tcPr>
            <w:tcW w:w="1800" w:type="dxa"/>
          </w:tcPr>
          <w:p w14:paraId="39E9C2F2" w14:textId="77777777" w:rsidR="00DA702B" w:rsidRPr="00DA702B" w:rsidRDefault="00DA702B" w:rsidP="00DA702B">
            <w:pPr>
              <w:contextualSpacing/>
            </w:pPr>
          </w:p>
        </w:tc>
        <w:tc>
          <w:tcPr>
            <w:tcW w:w="1800" w:type="dxa"/>
          </w:tcPr>
          <w:p w14:paraId="57E88638" w14:textId="77777777" w:rsidR="00DA702B" w:rsidRPr="00DA702B" w:rsidRDefault="00DA702B" w:rsidP="00DA702B">
            <w:pPr>
              <w:contextualSpacing/>
            </w:pPr>
          </w:p>
        </w:tc>
        <w:tc>
          <w:tcPr>
            <w:tcW w:w="1800" w:type="dxa"/>
          </w:tcPr>
          <w:p w14:paraId="0E71F70D" w14:textId="77777777" w:rsidR="00DA702B" w:rsidRPr="00DA702B" w:rsidRDefault="00DA702B" w:rsidP="00DA702B">
            <w:pPr>
              <w:contextualSpacing/>
            </w:pPr>
          </w:p>
        </w:tc>
      </w:tr>
      <w:tr w:rsidR="00DA702B" w:rsidRPr="00DA702B" w14:paraId="758B3100" w14:textId="77777777" w:rsidTr="00247007">
        <w:trPr>
          <w:cantSplit/>
          <w:trHeight w:val="346"/>
          <w:tblHeader/>
        </w:trPr>
        <w:tc>
          <w:tcPr>
            <w:tcW w:w="1800" w:type="dxa"/>
          </w:tcPr>
          <w:p w14:paraId="6098AAEC" w14:textId="77777777" w:rsidR="00DA702B" w:rsidRPr="00DA702B" w:rsidRDefault="00DA702B" w:rsidP="00DA702B">
            <w:pPr>
              <w:contextualSpacing/>
            </w:pPr>
          </w:p>
        </w:tc>
        <w:tc>
          <w:tcPr>
            <w:tcW w:w="1800" w:type="dxa"/>
          </w:tcPr>
          <w:p w14:paraId="5BE1FDEB" w14:textId="77777777" w:rsidR="00DA702B" w:rsidRPr="00DA702B" w:rsidRDefault="00DA702B" w:rsidP="00DA702B">
            <w:pPr>
              <w:contextualSpacing/>
            </w:pPr>
          </w:p>
        </w:tc>
        <w:tc>
          <w:tcPr>
            <w:tcW w:w="1800" w:type="dxa"/>
          </w:tcPr>
          <w:p w14:paraId="07D70694" w14:textId="77777777" w:rsidR="00DA702B" w:rsidRPr="00DA702B" w:rsidRDefault="00DA702B" w:rsidP="00DA702B">
            <w:pPr>
              <w:contextualSpacing/>
            </w:pPr>
          </w:p>
        </w:tc>
        <w:tc>
          <w:tcPr>
            <w:tcW w:w="1800" w:type="dxa"/>
          </w:tcPr>
          <w:p w14:paraId="5F2405F3" w14:textId="77777777" w:rsidR="00DA702B" w:rsidRPr="00DA702B" w:rsidRDefault="00DA702B" w:rsidP="00DA702B">
            <w:pPr>
              <w:contextualSpacing/>
            </w:pPr>
          </w:p>
        </w:tc>
        <w:tc>
          <w:tcPr>
            <w:tcW w:w="1800" w:type="dxa"/>
          </w:tcPr>
          <w:p w14:paraId="04051F3C" w14:textId="77777777" w:rsidR="00DA702B" w:rsidRPr="00DA702B" w:rsidRDefault="00DA702B" w:rsidP="00DA702B">
            <w:pPr>
              <w:contextualSpacing/>
            </w:pPr>
          </w:p>
        </w:tc>
        <w:tc>
          <w:tcPr>
            <w:tcW w:w="1800" w:type="dxa"/>
          </w:tcPr>
          <w:p w14:paraId="538C001C" w14:textId="77777777" w:rsidR="00DA702B" w:rsidRPr="00DA702B" w:rsidRDefault="00DA702B" w:rsidP="00DA702B">
            <w:pPr>
              <w:contextualSpacing/>
            </w:pPr>
          </w:p>
        </w:tc>
        <w:tc>
          <w:tcPr>
            <w:tcW w:w="1800" w:type="dxa"/>
          </w:tcPr>
          <w:p w14:paraId="3CED1EAB" w14:textId="77777777" w:rsidR="00DA702B" w:rsidRPr="00DA702B" w:rsidRDefault="00DA702B" w:rsidP="00DA702B">
            <w:pPr>
              <w:contextualSpacing/>
            </w:pPr>
          </w:p>
        </w:tc>
        <w:tc>
          <w:tcPr>
            <w:tcW w:w="1800" w:type="dxa"/>
          </w:tcPr>
          <w:p w14:paraId="6FBE608F" w14:textId="77777777" w:rsidR="00DA702B" w:rsidRPr="00DA702B" w:rsidRDefault="00DA702B" w:rsidP="00DA702B">
            <w:pPr>
              <w:contextualSpacing/>
            </w:pPr>
          </w:p>
        </w:tc>
      </w:tr>
      <w:tr w:rsidR="00DA702B" w:rsidRPr="00DA702B" w14:paraId="2204D642" w14:textId="77777777" w:rsidTr="00247007">
        <w:trPr>
          <w:cantSplit/>
          <w:trHeight w:val="346"/>
          <w:tblHeader/>
        </w:trPr>
        <w:tc>
          <w:tcPr>
            <w:tcW w:w="1800" w:type="dxa"/>
          </w:tcPr>
          <w:p w14:paraId="77E3D24B" w14:textId="77777777" w:rsidR="00DA702B" w:rsidRPr="00DA702B" w:rsidRDefault="00DA702B" w:rsidP="00DA702B">
            <w:pPr>
              <w:contextualSpacing/>
            </w:pPr>
          </w:p>
        </w:tc>
        <w:tc>
          <w:tcPr>
            <w:tcW w:w="1800" w:type="dxa"/>
          </w:tcPr>
          <w:p w14:paraId="7A078CD7" w14:textId="77777777" w:rsidR="00DA702B" w:rsidRPr="00DA702B" w:rsidRDefault="00DA702B" w:rsidP="00DA702B">
            <w:pPr>
              <w:contextualSpacing/>
            </w:pPr>
          </w:p>
        </w:tc>
        <w:tc>
          <w:tcPr>
            <w:tcW w:w="1800" w:type="dxa"/>
          </w:tcPr>
          <w:p w14:paraId="0EB30F37" w14:textId="77777777" w:rsidR="00DA702B" w:rsidRPr="00DA702B" w:rsidRDefault="00DA702B" w:rsidP="00DA702B">
            <w:pPr>
              <w:contextualSpacing/>
            </w:pPr>
          </w:p>
        </w:tc>
        <w:tc>
          <w:tcPr>
            <w:tcW w:w="1800" w:type="dxa"/>
          </w:tcPr>
          <w:p w14:paraId="065B753E" w14:textId="77777777" w:rsidR="00DA702B" w:rsidRPr="00DA702B" w:rsidRDefault="00DA702B" w:rsidP="00DA702B">
            <w:pPr>
              <w:contextualSpacing/>
            </w:pPr>
          </w:p>
        </w:tc>
        <w:tc>
          <w:tcPr>
            <w:tcW w:w="1800" w:type="dxa"/>
          </w:tcPr>
          <w:p w14:paraId="7DAD9134" w14:textId="77777777" w:rsidR="00DA702B" w:rsidRPr="00DA702B" w:rsidRDefault="00DA702B" w:rsidP="00DA702B">
            <w:pPr>
              <w:contextualSpacing/>
            </w:pPr>
          </w:p>
        </w:tc>
        <w:tc>
          <w:tcPr>
            <w:tcW w:w="1800" w:type="dxa"/>
          </w:tcPr>
          <w:p w14:paraId="06A87540" w14:textId="77777777" w:rsidR="00DA702B" w:rsidRPr="00DA702B" w:rsidRDefault="00DA702B" w:rsidP="00DA702B">
            <w:pPr>
              <w:contextualSpacing/>
            </w:pPr>
          </w:p>
        </w:tc>
        <w:tc>
          <w:tcPr>
            <w:tcW w:w="1800" w:type="dxa"/>
          </w:tcPr>
          <w:p w14:paraId="07A6C762" w14:textId="77777777" w:rsidR="00DA702B" w:rsidRPr="00DA702B" w:rsidRDefault="00DA702B" w:rsidP="00DA702B">
            <w:pPr>
              <w:contextualSpacing/>
            </w:pPr>
          </w:p>
        </w:tc>
        <w:tc>
          <w:tcPr>
            <w:tcW w:w="1800" w:type="dxa"/>
          </w:tcPr>
          <w:p w14:paraId="243BB7BF" w14:textId="77777777" w:rsidR="00DA702B" w:rsidRPr="00DA702B" w:rsidRDefault="00DA702B" w:rsidP="00DA702B">
            <w:pPr>
              <w:contextualSpacing/>
            </w:pPr>
          </w:p>
        </w:tc>
      </w:tr>
      <w:tr w:rsidR="00DA702B" w:rsidRPr="00DA702B" w14:paraId="481A86D5" w14:textId="77777777" w:rsidTr="00247007">
        <w:trPr>
          <w:cantSplit/>
          <w:trHeight w:val="346"/>
          <w:tblHeader/>
        </w:trPr>
        <w:tc>
          <w:tcPr>
            <w:tcW w:w="1800" w:type="dxa"/>
          </w:tcPr>
          <w:p w14:paraId="2E9C5A79" w14:textId="77777777" w:rsidR="00DA702B" w:rsidRPr="00DA702B" w:rsidRDefault="00DA702B" w:rsidP="00DA702B">
            <w:pPr>
              <w:contextualSpacing/>
            </w:pPr>
          </w:p>
        </w:tc>
        <w:tc>
          <w:tcPr>
            <w:tcW w:w="1800" w:type="dxa"/>
          </w:tcPr>
          <w:p w14:paraId="3F47AC26" w14:textId="77777777" w:rsidR="00DA702B" w:rsidRPr="00DA702B" w:rsidRDefault="00DA702B" w:rsidP="00DA702B">
            <w:pPr>
              <w:contextualSpacing/>
            </w:pPr>
          </w:p>
        </w:tc>
        <w:tc>
          <w:tcPr>
            <w:tcW w:w="1800" w:type="dxa"/>
          </w:tcPr>
          <w:p w14:paraId="3BA3FFA1" w14:textId="77777777" w:rsidR="00DA702B" w:rsidRPr="00DA702B" w:rsidRDefault="00DA702B" w:rsidP="00DA702B">
            <w:pPr>
              <w:contextualSpacing/>
            </w:pPr>
          </w:p>
        </w:tc>
        <w:tc>
          <w:tcPr>
            <w:tcW w:w="1800" w:type="dxa"/>
          </w:tcPr>
          <w:p w14:paraId="1D928474" w14:textId="77777777" w:rsidR="00DA702B" w:rsidRPr="00DA702B" w:rsidRDefault="00DA702B" w:rsidP="00DA702B">
            <w:pPr>
              <w:contextualSpacing/>
            </w:pPr>
          </w:p>
        </w:tc>
        <w:tc>
          <w:tcPr>
            <w:tcW w:w="1800" w:type="dxa"/>
          </w:tcPr>
          <w:p w14:paraId="18F01C20" w14:textId="77777777" w:rsidR="00DA702B" w:rsidRPr="00DA702B" w:rsidRDefault="00DA702B" w:rsidP="00DA702B">
            <w:pPr>
              <w:contextualSpacing/>
            </w:pPr>
          </w:p>
        </w:tc>
        <w:tc>
          <w:tcPr>
            <w:tcW w:w="1800" w:type="dxa"/>
          </w:tcPr>
          <w:p w14:paraId="4E73C420" w14:textId="77777777" w:rsidR="00DA702B" w:rsidRPr="00DA702B" w:rsidRDefault="00DA702B" w:rsidP="00DA702B">
            <w:pPr>
              <w:contextualSpacing/>
            </w:pPr>
          </w:p>
        </w:tc>
        <w:tc>
          <w:tcPr>
            <w:tcW w:w="1800" w:type="dxa"/>
          </w:tcPr>
          <w:p w14:paraId="4A37EAEC" w14:textId="77777777" w:rsidR="00DA702B" w:rsidRPr="00DA702B" w:rsidRDefault="00DA702B" w:rsidP="00DA702B">
            <w:pPr>
              <w:contextualSpacing/>
            </w:pPr>
          </w:p>
        </w:tc>
        <w:tc>
          <w:tcPr>
            <w:tcW w:w="1800" w:type="dxa"/>
          </w:tcPr>
          <w:p w14:paraId="5E3C3DC5" w14:textId="77777777" w:rsidR="00DA702B" w:rsidRPr="00DA702B" w:rsidRDefault="00DA702B" w:rsidP="00DA702B">
            <w:pPr>
              <w:contextualSpacing/>
            </w:pPr>
          </w:p>
        </w:tc>
      </w:tr>
      <w:tr w:rsidR="00DA702B" w:rsidRPr="00DA702B" w14:paraId="7A0517B8" w14:textId="77777777" w:rsidTr="00247007">
        <w:trPr>
          <w:cantSplit/>
          <w:trHeight w:val="346"/>
          <w:tblHeader/>
        </w:trPr>
        <w:tc>
          <w:tcPr>
            <w:tcW w:w="1800" w:type="dxa"/>
          </w:tcPr>
          <w:p w14:paraId="3CB3722B" w14:textId="77777777" w:rsidR="00DA702B" w:rsidRPr="00DA702B" w:rsidRDefault="00DA702B" w:rsidP="00DA702B">
            <w:pPr>
              <w:contextualSpacing/>
            </w:pPr>
          </w:p>
        </w:tc>
        <w:tc>
          <w:tcPr>
            <w:tcW w:w="1800" w:type="dxa"/>
          </w:tcPr>
          <w:p w14:paraId="4B2FBED3" w14:textId="77777777" w:rsidR="00DA702B" w:rsidRPr="00DA702B" w:rsidRDefault="00DA702B" w:rsidP="00DA702B">
            <w:pPr>
              <w:contextualSpacing/>
            </w:pPr>
          </w:p>
        </w:tc>
        <w:tc>
          <w:tcPr>
            <w:tcW w:w="1800" w:type="dxa"/>
          </w:tcPr>
          <w:p w14:paraId="01B89161" w14:textId="77777777" w:rsidR="00DA702B" w:rsidRPr="00DA702B" w:rsidRDefault="00DA702B" w:rsidP="00DA702B">
            <w:pPr>
              <w:contextualSpacing/>
            </w:pPr>
          </w:p>
        </w:tc>
        <w:tc>
          <w:tcPr>
            <w:tcW w:w="1800" w:type="dxa"/>
          </w:tcPr>
          <w:p w14:paraId="20ADD8DB" w14:textId="77777777" w:rsidR="00DA702B" w:rsidRPr="00DA702B" w:rsidRDefault="00DA702B" w:rsidP="00DA702B">
            <w:pPr>
              <w:contextualSpacing/>
            </w:pPr>
          </w:p>
        </w:tc>
        <w:tc>
          <w:tcPr>
            <w:tcW w:w="1800" w:type="dxa"/>
          </w:tcPr>
          <w:p w14:paraId="48652041" w14:textId="77777777" w:rsidR="00DA702B" w:rsidRPr="00DA702B" w:rsidRDefault="00DA702B" w:rsidP="00DA702B">
            <w:pPr>
              <w:contextualSpacing/>
            </w:pPr>
          </w:p>
        </w:tc>
        <w:tc>
          <w:tcPr>
            <w:tcW w:w="1800" w:type="dxa"/>
          </w:tcPr>
          <w:p w14:paraId="6A932E29" w14:textId="77777777" w:rsidR="00DA702B" w:rsidRPr="00DA702B" w:rsidRDefault="00DA702B" w:rsidP="00DA702B">
            <w:pPr>
              <w:contextualSpacing/>
            </w:pPr>
          </w:p>
        </w:tc>
        <w:tc>
          <w:tcPr>
            <w:tcW w:w="1800" w:type="dxa"/>
          </w:tcPr>
          <w:p w14:paraId="2B5EBEDA" w14:textId="77777777" w:rsidR="00DA702B" w:rsidRPr="00DA702B" w:rsidRDefault="00DA702B" w:rsidP="00DA702B">
            <w:pPr>
              <w:contextualSpacing/>
            </w:pPr>
          </w:p>
        </w:tc>
        <w:tc>
          <w:tcPr>
            <w:tcW w:w="1800" w:type="dxa"/>
          </w:tcPr>
          <w:p w14:paraId="6CCC7082" w14:textId="77777777" w:rsidR="00DA702B" w:rsidRPr="00DA702B" w:rsidRDefault="00DA702B" w:rsidP="00DA702B">
            <w:pPr>
              <w:contextualSpacing/>
            </w:pPr>
          </w:p>
        </w:tc>
      </w:tr>
      <w:tr w:rsidR="00DA702B" w:rsidRPr="00DA702B" w14:paraId="36E8755A" w14:textId="77777777" w:rsidTr="00247007">
        <w:trPr>
          <w:cantSplit/>
          <w:trHeight w:val="346"/>
          <w:tblHeader/>
        </w:trPr>
        <w:tc>
          <w:tcPr>
            <w:tcW w:w="1800" w:type="dxa"/>
          </w:tcPr>
          <w:p w14:paraId="306BEEA6" w14:textId="77777777" w:rsidR="00DA702B" w:rsidRPr="00DA702B" w:rsidRDefault="00DA702B" w:rsidP="00DA702B">
            <w:pPr>
              <w:contextualSpacing/>
            </w:pPr>
          </w:p>
        </w:tc>
        <w:tc>
          <w:tcPr>
            <w:tcW w:w="1800" w:type="dxa"/>
          </w:tcPr>
          <w:p w14:paraId="37AF1313" w14:textId="77777777" w:rsidR="00DA702B" w:rsidRPr="00DA702B" w:rsidRDefault="00DA702B" w:rsidP="00DA702B">
            <w:pPr>
              <w:contextualSpacing/>
            </w:pPr>
          </w:p>
        </w:tc>
        <w:tc>
          <w:tcPr>
            <w:tcW w:w="1800" w:type="dxa"/>
          </w:tcPr>
          <w:p w14:paraId="527B7F4A" w14:textId="77777777" w:rsidR="00DA702B" w:rsidRPr="00DA702B" w:rsidRDefault="00DA702B" w:rsidP="00DA702B">
            <w:pPr>
              <w:contextualSpacing/>
            </w:pPr>
          </w:p>
        </w:tc>
        <w:tc>
          <w:tcPr>
            <w:tcW w:w="1800" w:type="dxa"/>
          </w:tcPr>
          <w:p w14:paraId="66CF2D58" w14:textId="77777777" w:rsidR="00DA702B" w:rsidRPr="00DA702B" w:rsidRDefault="00DA702B" w:rsidP="00DA702B">
            <w:pPr>
              <w:contextualSpacing/>
            </w:pPr>
          </w:p>
        </w:tc>
        <w:tc>
          <w:tcPr>
            <w:tcW w:w="1800" w:type="dxa"/>
          </w:tcPr>
          <w:p w14:paraId="350B85A7" w14:textId="77777777" w:rsidR="00DA702B" w:rsidRPr="00DA702B" w:rsidRDefault="00DA702B" w:rsidP="00DA702B">
            <w:pPr>
              <w:contextualSpacing/>
            </w:pPr>
          </w:p>
        </w:tc>
        <w:tc>
          <w:tcPr>
            <w:tcW w:w="1800" w:type="dxa"/>
          </w:tcPr>
          <w:p w14:paraId="161314BD" w14:textId="77777777" w:rsidR="00DA702B" w:rsidRPr="00DA702B" w:rsidRDefault="00DA702B" w:rsidP="00DA702B">
            <w:pPr>
              <w:contextualSpacing/>
            </w:pPr>
          </w:p>
        </w:tc>
        <w:tc>
          <w:tcPr>
            <w:tcW w:w="1800" w:type="dxa"/>
          </w:tcPr>
          <w:p w14:paraId="750F4B8E" w14:textId="77777777" w:rsidR="00DA702B" w:rsidRPr="00DA702B" w:rsidRDefault="00DA702B" w:rsidP="00DA702B">
            <w:pPr>
              <w:contextualSpacing/>
            </w:pPr>
          </w:p>
        </w:tc>
        <w:tc>
          <w:tcPr>
            <w:tcW w:w="1800" w:type="dxa"/>
          </w:tcPr>
          <w:p w14:paraId="66D28FED" w14:textId="77777777" w:rsidR="00DA702B" w:rsidRPr="00DA702B" w:rsidRDefault="00DA702B" w:rsidP="00DA702B">
            <w:pPr>
              <w:contextualSpacing/>
            </w:pPr>
          </w:p>
        </w:tc>
      </w:tr>
      <w:tr w:rsidR="00DA702B" w:rsidRPr="00DA702B" w14:paraId="1F3288FD" w14:textId="77777777" w:rsidTr="00247007">
        <w:trPr>
          <w:cantSplit/>
          <w:trHeight w:val="346"/>
          <w:tblHeader/>
        </w:trPr>
        <w:tc>
          <w:tcPr>
            <w:tcW w:w="1800" w:type="dxa"/>
          </w:tcPr>
          <w:p w14:paraId="0EEADA03" w14:textId="77777777" w:rsidR="00DA702B" w:rsidRPr="00DA702B" w:rsidRDefault="00DA702B" w:rsidP="00DA702B">
            <w:pPr>
              <w:contextualSpacing/>
            </w:pPr>
          </w:p>
        </w:tc>
        <w:tc>
          <w:tcPr>
            <w:tcW w:w="1800" w:type="dxa"/>
          </w:tcPr>
          <w:p w14:paraId="62BA502C" w14:textId="77777777" w:rsidR="00DA702B" w:rsidRPr="00DA702B" w:rsidRDefault="00DA702B" w:rsidP="00DA702B">
            <w:pPr>
              <w:contextualSpacing/>
            </w:pPr>
          </w:p>
        </w:tc>
        <w:tc>
          <w:tcPr>
            <w:tcW w:w="1800" w:type="dxa"/>
          </w:tcPr>
          <w:p w14:paraId="20A292D6" w14:textId="77777777" w:rsidR="00DA702B" w:rsidRPr="00DA702B" w:rsidRDefault="00DA702B" w:rsidP="00DA702B">
            <w:pPr>
              <w:contextualSpacing/>
            </w:pPr>
          </w:p>
        </w:tc>
        <w:tc>
          <w:tcPr>
            <w:tcW w:w="1800" w:type="dxa"/>
          </w:tcPr>
          <w:p w14:paraId="17E7CFF8" w14:textId="77777777" w:rsidR="00DA702B" w:rsidRPr="00DA702B" w:rsidRDefault="00DA702B" w:rsidP="00DA702B">
            <w:pPr>
              <w:contextualSpacing/>
            </w:pPr>
          </w:p>
        </w:tc>
        <w:tc>
          <w:tcPr>
            <w:tcW w:w="1800" w:type="dxa"/>
          </w:tcPr>
          <w:p w14:paraId="332227B9" w14:textId="77777777" w:rsidR="00DA702B" w:rsidRPr="00DA702B" w:rsidRDefault="00DA702B" w:rsidP="00DA702B">
            <w:pPr>
              <w:contextualSpacing/>
            </w:pPr>
          </w:p>
        </w:tc>
        <w:tc>
          <w:tcPr>
            <w:tcW w:w="1800" w:type="dxa"/>
          </w:tcPr>
          <w:p w14:paraId="405ABAC0" w14:textId="77777777" w:rsidR="00DA702B" w:rsidRPr="00DA702B" w:rsidRDefault="00DA702B" w:rsidP="00DA702B">
            <w:pPr>
              <w:contextualSpacing/>
            </w:pPr>
          </w:p>
        </w:tc>
        <w:tc>
          <w:tcPr>
            <w:tcW w:w="1800" w:type="dxa"/>
          </w:tcPr>
          <w:p w14:paraId="73BB29B8" w14:textId="77777777" w:rsidR="00DA702B" w:rsidRPr="00DA702B" w:rsidRDefault="00DA702B" w:rsidP="00DA702B">
            <w:pPr>
              <w:contextualSpacing/>
            </w:pPr>
          </w:p>
        </w:tc>
        <w:tc>
          <w:tcPr>
            <w:tcW w:w="1800" w:type="dxa"/>
          </w:tcPr>
          <w:p w14:paraId="6E3C6D1B" w14:textId="77777777" w:rsidR="00DA702B" w:rsidRPr="00DA702B" w:rsidRDefault="00DA702B" w:rsidP="00DA702B">
            <w:pPr>
              <w:contextualSpacing/>
            </w:pPr>
          </w:p>
        </w:tc>
      </w:tr>
      <w:tr w:rsidR="00DA702B" w:rsidRPr="00DA702B" w14:paraId="3576BB02" w14:textId="77777777" w:rsidTr="00247007">
        <w:trPr>
          <w:cantSplit/>
          <w:trHeight w:val="346"/>
          <w:tblHeader/>
        </w:trPr>
        <w:tc>
          <w:tcPr>
            <w:tcW w:w="1800" w:type="dxa"/>
          </w:tcPr>
          <w:p w14:paraId="70BE2634" w14:textId="77777777" w:rsidR="00DA702B" w:rsidRPr="00DA702B" w:rsidRDefault="00DA702B" w:rsidP="00DA702B">
            <w:pPr>
              <w:contextualSpacing/>
            </w:pPr>
          </w:p>
        </w:tc>
        <w:tc>
          <w:tcPr>
            <w:tcW w:w="1800" w:type="dxa"/>
          </w:tcPr>
          <w:p w14:paraId="49CC7FFE" w14:textId="77777777" w:rsidR="00DA702B" w:rsidRPr="00DA702B" w:rsidRDefault="00DA702B" w:rsidP="00DA702B">
            <w:pPr>
              <w:contextualSpacing/>
            </w:pPr>
          </w:p>
        </w:tc>
        <w:tc>
          <w:tcPr>
            <w:tcW w:w="1800" w:type="dxa"/>
          </w:tcPr>
          <w:p w14:paraId="45570AB7" w14:textId="77777777" w:rsidR="00DA702B" w:rsidRPr="00DA702B" w:rsidRDefault="00DA702B" w:rsidP="00DA702B">
            <w:pPr>
              <w:contextualSpacing/>
            </w:pPr>
          </w:p>
        </w:tc>
        <w:tc>
          <w:tcPr>
            <w:tcW w:w="1800" w:type="dxa"/>
          </w:tcPr>
          <w:p w14:paraId="3742E759" w14:textId="77777777" w:rsidR="00DA702B" w:rsidRPr="00DA702B" w:rsidRDefault="00DA702B" w:rsidP="00DA702B">
            <w:pPr>
              <w:contextualSpacing/>
            </w:pPr>
          </w:p>
        </w:tc>
        <w:tc>
          <w:tcPr>
            <w:tcW w:w="1800" w:type="dxa"/>
          </w:tcPr>
          <w:p w14:paraId="1CB20525" w14:textId="77777777" w:rsidR="00DA702B" w:rsidRPr="00DA702B" w:rsidRDefault="00DA702B" w:rsidP="00DA702B">
            <w:pPr>
              <w:contextualSpacing/>
            </w:pPr>
          </w:p>
        </w:tc>
        <w:tc>
          <w:tcPr>
            <w:tcW w:w="1800" w:type="dxa"/>
          </w:tcPr>
          <w:p w14:paraId="747C1EAD" w14:textId="77777777" w:rsidR="00DA702B" w:rsidRPr="00DA702B" w:rsidRDefault="00DA702B" w:rsidP="00DA702B">
            <w:pPr>
              <w:contextualSpacing/>
            </w:pPr>
          </w:p>
        </w:tc>
        <w:tc>
          <w:tcPr>
            <w:tcW w:w="1800" w:type="dxa"/>
          </w:tcPr>
          <w:p w14:paraId="58B1C291" w14:textId="77777777" w:rsidR="00DA702B" w:rsidRPr="00DA702B" w:rsidRDefault="00DA702B" w:rsidP="00DA702B">
            <w:pPr>
              <w:contextualSpacing/>
            </w:pPr>
          </w:p>
        </w:tc>
        <w:tc>
          <w:tcPr>
            <w:tcW w:w="1800" w:type="dxa"/>
          </w:tcPr>
          <w:p w14:paraId="368207EC" w14:textId="77777777" w:rsidR="00DA702B" w:rsidRPr="00DA702B" w:rsidRDefault="00DA702B" w:rsidP="00DA702B">
            <w:pPr>
              <w:contextualSpacing/>
            </w:pPr>
          </w:p>
        </w:tc>
      </w:tr>
    </w:tbl>
    <w:p w14:paraId="26F10023" w14:textId="77777777" w:rsidR="00DA702B" w:rsidRPr="00DA702B" w:rsidRDefault="00DA702B" w:rsidP="00DA702B">
      <w:pPr>
        <w:rPr>
          <w:sz w:val="20"/>
          <w:szCs w:val="20"/>
        </w:rPr>
      </w:pPr>
      <w:r w:rsidRPr="00DA702B">
        <w:rPr>
          <w:sz w:val="20"/>
          <w:szCs w:val="20"/>
        </w:rPr>
        <w:br w:type="page"/>
      </w:r>
    </w:p>
    <w:p w14:paraId="069F1257" w14:textId="77777777" w:rsidR="00DA702B" w:rsidRPr="00DA702B" w:rsidRDefault="00DA702B" w:rsidP="001360AF">
      <w:pPr>
        <w:widowControl w:val="0"/>
        <w:jc w:val="center"/>
        <w:rPr>
          <w:rFonts w:eastAsiaTheme="majorEastAsia"/>
          <w:b/>
          <w:bCs/>
        </w:rPr>
      </w:pPr>
      <w:r w:rsidRPr="00DA702B">
        <w:rPr>
          <w:rFonts w:eastAsiaTheme="majorEastAsia"/>
          <w:b/>
          <w:bCs/>
        </w:rPr>
        <w:lastRenderedPageBreak/>
        <w:t>Boiler/Steam Generator/Steam Generating Unit Attributes</w:t>
      </w:r>
    </w:p>
    <w:p w14:paraId="1F8F3BFE" w14:textId="77777777" w:rsidR="00DA702B" w:rsidRPr="00DA702B" w:rsidRDefault="00DA702B" w:rsidP="001360AF">
      <w:pPr>
        <w:widowControl w:val="0"/>
        <w:jc w:val="center"/>
        <w:rPr>
          <w:rFonts w:eastAsiaTheme="majorEastAsia"/>
          <w:b/>
          <w:bCs/>
        </w:rPr>
      </w:pPr>
      <w:r w:rsidRPr="00DA702B">
        <w:rPr>
          <w:rFonts w:eastAsiaTheme="majorEastAsia"/>
          <w:b/>
          <w:bCs/>
        </w:rPr>
        <w:t>Form OP-UA6 (Page 40)</w:t>
      </w:r>
    </w:p>
    <w:p w14:paraId="54FD5571" w14:textId="77777777" w:rsidR="00DA702B" w:rsidRPr="00DA702B" w:rsidRDefault="00DA702B" w:rsidP="001360AF">
      <w:pPr>
        <w:widowControl w:val="0"/>
        <w:jc w:val="center"/>
        <w:rPr>
          <w:rFonts w:eastAsiaTheme="majorEastAsia"/>
          <w:b/>
          <w:bCs/>
        </w:rPr>
      </w:pPr>
      <w:r w:rsidRPr="00DA702B">
        <w:rPr>
          <w:rFonts w:eastAsiaTheme="majorEastAsia"/>
          <w:b/>
          <w:bCs/>
        </w:rPr>
        <w:t>Federal Operating Permit Program</w:t>
      </w:r>
    </w:p>
    <w:p w14:paraId="15C3A58C" w14:textId="77777777" w:rsidR="00DA702B" w:rsidRPr="00DA702B" w:rsidRDefault="00DA702B" w:rsidP="001360AF">
      <w:pPr>
        <w:widowControl w:val="0"/>
        <w:jc w:val="center"/>
        <w:rPr>
          <w:rFonts w:eastAsiaTheme="majorEastAsia"/>
          <w:b/>
          <w:bCs/>
        </w:rPr>
      </w:pPr>
      <w:bookmarkStart w:id="202" w:name="TBL_14d"/>
      <w:r w:rsidRPr="00DA702B">
        <w:rPr>
          <w:rFonts w:eastAsiaTheme="majorEastAsia"/>
          <w:b/>
          <w:bCs/>
        </w:rPr>
        <w:t>Table 14d</w:t>
      </w:r>
      <w:bookmarkEnd w:id="202"/>
      <w:r w:rsidRPr="00DA702B">
        <w:rPr>
          <w:rFonts w:eastAsiaTheme="majorEastAsia"/>
          <w:b/>
          <w:bCs/>
        </w:rPr>
        <w:t>:  Title 40 Code of Federal Regulations Part 63 (40 CFR Part 63)</w:t>
      </w:r>
    </w:p>
    <w:p w14:paraId="0DB2A901" w14:textId="77777777" w:rsidR="00DA702B" w:rsidRPr="00DA702B" w:rsidRDefault="00DA702B" w:rsidP="001360AF">
      <w:pPr>
        <w:widowControl w:val="0"/>
        <w:jc w:val="center"/>
        <w:rPr>
          <w:rFonts w:eastAsiaTheme="majorEastAsia"/>
          <w:b/>
          <w:bCs/>
        </w:rPr>
      </w:pPr>
      <w:r w:rsidRPr="00DA702B">
        <w:rPr>
          <w:rFonts w:eastAsiaTheme="majorEastAsia"/>
          <w:b/>
          <w:bCs/>
        </w:rPr>
        <w:t>Subpart DDDDD:  Industrial, Commercial, and Institutional Boilers</w:t>
      </w:r>
    </w:p>
    <w:p w14:paraId="1A0A473C" w14:textId="77777777" w:rsidR="00DA702B" w:rsidRPr="00DA702B" w:rsidRDefault="00DA702B" w:rsidP="001360AF">
      <w:pPr>
        <w:widowControl w:val="0"/>
        <w:jc w:val="center"/>
        <w:rPr>
          <w:b/>
          <w:bCs/>
        </w:rPr>
      </w:pPr>
      <w:r w:rsidRPr="00DA702B">
        <w:rPr>
          <w:b/>
          <w:bCs/>
        </w:rPr>
        <w:t>Texas Commission on Environmental Quality</w:t>
      </w:r>
    </w:p>
    <w:p w14:paraId="175B814C"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d:  Title 40 Code of Federal Regulations Part 63 (40 CFR Part 63)&#10;Subpart DDDDD:  Industrial, Commercial, and Institutional Boilers&#10;"/>
      </w:tblPr>
      <w:tblGrid>
        <w:gridCol w:w="4800"/>
        <w:gridCol w:w="4800"/>
        <w:gridCol w:w="4800"/>
      </w:tblGrid>
      <w:tr w:rsidR="00DA702B" w:rsidRPr="00DA702B" w14:paraId="78DD4B91" w14:textId="77777777" w:rsidTr="00247007">
        <w:trPr>
          <w:cantSplit/>
          <w:tblHeader/>
        </w:trPr>
        <w:tc>
          <w:tcPr>
            <w:tcW w:w="4800" w:type="dxa"/>
            <w:shd w:val="clear" w:color="auto" w:fill="D9D9D9" w:themeFill="background1" w:themeFillShade="D9"/>
          </w:tcPr>
          <w:p w14:paraId="2C7BF270"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A108483"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56B8568D"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4C5B8ACB" w14:textId="77777777" w:rsidTr="00247007">
        <w:trPr>
          <w:cantSplit/>
          <w:tblHeader/>
        </w:trPr>
        <w:tc>
          <w:tcPr>
            <w:tcW w:w="4800" w:type="dxa"/>
          </w:tcPr>
          <w:p w14:paraId="5CA8EC8A" w14:textId="77777777" w:rsidR="00DA702B" w:rsidRPr="00DA702B" w:rsidRDefault="00DA702B" w:rsidP="00DA702B">
            <w:pPr>
              <w:rPr>
                <w:rFonts w:asciiTheme="majorHAnsi" w:hAnsiTheme="majorHAnsi" w:cstheme="majorHAnsi"/>
              </w:rPr>
            </w:pPr>
          </w:p>
        </w:tc>
        <w:tc>
          <w:tcPr>
            <w:tcW w:w="4800" w:type="dxa"/>
          </w:tcPr>
          <w:p w14:paraId="57875581" w14:textId="77777777" w:rsidR="00DA702B" w:rsidRPr="00DA702B" w:rsidRDefault="00DA702B" w:rsidP="00DA702B">
            <w:pPr>
              <w:rPr>
                <w:rFonts w:asciiTheme="majorHAnsi" w:hAnsiTheme="majorHAnsi" w:cstheme="majorHAnsi"/>
              </w:rPr>
            </w:pPr>
          </w:p>
        </w:tc>
        <w:tc>
          <w:tcPr>
            <w:tcW w:w="4800" w:type="dxa"/>
          </w:tcPr>
          <w:p w14:paraId="7DE81ADD" w14:textId="77777777" w:rsidR="00DA702B" w:rsidRPr="00DA702B" w:rsidRDefault="00DA702B" w:rsidP="00DA702B">
            <w:pPr>
              <w:rPr>
                <w:rFonts w:asciiTheme="majorHAnsi" w:hAnsiTheme="majorHAnsi" w:cstheme="majorHAnsi"/>
              </w:rPr>
            </w:pPr>
          </w:p>
        </w:tc>
      </w:tr>
    </w:tbl>
    <w:p w14:paraId="6EE866FC"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d:  Title 40 Code of Federal Regulations Part 63 (40 CFR Part 63)&#10;Subpart DDDDD:  Industrial, Commercial, and Institutional Boilers&#10;"/>
      </w:tblPr>
      <w:tblGrid>
        <w:gridCol w:w="2057"/>
        <w:gridCol w:w="2057"/>
        <w:gridCol w:w="2058"/>
        <w:gridCol w:w="2057"/>
        <w:gridCol w:w="2057"/>
        <w:gridCol w:w="2057"/>
        <w:gridCol w:w="2057"/>
      </w:tblGrid>
      <w:tr w:rsidR="00DA702B" w:rsidRPr="00DA702B" w14:paraId="2605AB8F" w14:textId="77777777" w:rsidTr="00247007">
        <w:trPr>
          <w:cantSplit/>
          <w:trHeight w:val="346"/>
          <w:tblHeader/>
        </w:trPr>
        <w:tc>
          <w:tcPr>
            <w:tcW w:w="2057" w:type="dxa"/>
            <w:shd w:val="clear" w:color="auto" w:fill="D9D9D9" w:themeFill="background1" w:themeFillShade="D9"/>
            <w:vAlign w:val="center"/>
          </w:tcPr>
          <w:p w14:paraId="64C3B832" w14:textId="77777777" w:rsidR="00DA702B" w:rsidRPr="00DA702B" w:rsidRDefault="00DA702B" w:rsidP="00DA702B">
            <w:pPr>
              <w:jc w:val="center"/>
              <w:rPr>
                <w:b/>
                <w:bCs/>
                <w:sz w:val="20"/>
                <w:szCs w:val="20"/>
              </w:rPr>
            </w:pPr>
            <w:r w:rsidRPr="00DA702B">
              <w:rPr>
                <w:b/>
                <w:bCs/>
                <w:sz w:val="20"/>
                <w:szCs w:val="20"/>
              </w:rPr>
              <w:t>Unit ID No.</w:t>
            </w:r>
          </w:p>
        </w:tc>
        <w:tc>
          <w:tcPr>
            <w:tcW w:w="2057" w:type="dxa"/>
            <w:shd w:val="clear" w:color="auto" w:fill="D9D9D9" w:themeFill="background1" w:themeFillShade="D9"/>
            <w:vAlign w:val="center"/>
          </w:tcPr>
          <w:p w14:paraId="437E50AC" w14:textId="77777777" w:rsidR="00DA702B" w:rsidRPr="00DA702B" w:rsidRDefault="00DA702B" w:rsidP="00DA702B">
            <w:pPr>
              <w:jc w:val="center"/>
              <w:rPr>
                <w:b/>
                <w:bCs/>
                <w:sz w:val="20"/>
                <w:szCs w:val="20"/>
              </w:rPr>
            </w:pPr>
            <w:r w:rsidRPr="00DA702B">
              <w:rPr>
                <w:b/>
                <w:bCs/>
                <w:sz w:val="20"/>
                <w:szCs w:val="20"/>
              </w:rPr>
              <w:t>SOP/GOP Index No.</w:t>
            </w:r>
          </w:p>
        </w:tc>
        <w:tc>
          <w:tcPr>
            <w:tcW w:w="2058" w:type="dxa"/>
            <w:shd w:val="clear" w:color="auto" w:fill="D9D9D9" w:themeFill="background1" w:themeFillShade="D9"/>
            <w:vAlign w:val="center"/>
          </w:tcPr>
          <w:p w14:paraId="5FE9AFA6" w14:textId="77777777" w:rsidR="00DA702B" w:rsidRPr="00DA702B" w:rsidRDefault="00DA702B" w:rsidP="00DA702B">
            <w:pPr>
              <w:jc w:val="center"/>
              <w:rPr>
                <w:b/>
                <w:bCs/>
                <w:sz w:val="20"/>
                <w:szCs w:val="20"/>
              </w:rPr>
            </w:pPr>
            <w:r w:rsidRPr="00DA702B">
              <w:rPr>
                <w:b/>
                <w:bCs/>
                <w:sz w:val="20"/>
                <w:szCs w:val="20"/>
              </w:rPr>
              <w:t>BM Subcategory</w:t>
            </w:r>
          </w:p>
        </w:tc>
        <w:tc>
          <w:tcPr>
            <w:tcW w:w="2057" w:type="dxa"/>
            <w:shd w:val="clear" w:color="auto" w:fill="D9D9D9" w:themeFill="background1" w:themeFillShade="D9"/>
            <w:vAlign w:val="center"/>
          </w:tcPr>
          <w:p w14:paraId="230452FD" w14:textId="77777777" w:rsidR="00DA702B" w:rsidRPr="00DA702B" w:rsidRDefault="00DA702B" w:rsidP="00DA702B">
            <w:pPr>
              <w:jc w:val="center"/>
              <w:rPr>
                <w:b/>
                <w:bCs/>
                <w:sz w:val="20"/>
                <w:szCs w:val="20"/>
              </w:rPr>
            </w:pPr>
            <w:r w:rsidRPr="00DA702B">
              <w:rPr>
                <w:b/>
                <w:bCs/>
                <w:sz w:val="20"/>
                <w:szCs w:val="20"/>
              </w:rPr>
              <w:t>PM/TSM Emission</w:t>
            </w:r>
          </w:p>
        </w:tc>
        <w:tc>
          <w:tcPr>
            <w:tcW w:w="2057" w:type="dxa"/>
            <w:shd w:val="clear" w:color="auto" w:fill="D9D9D9" w:themeFill="background1" w:themeFillShade="D9"/>
            <w:vAlign w:val="center"/>
          </w:tcPr>
          <w:p w14:paraId="77F08C06" w14:textId="77777777" w:rsidR="00DA702B" w:rsidRPr="00DA702B" w:rsidRDefault="00DA702B" w:rsidP="00DA702B">
            <w:pPr>
              <w:jc w:val="center"/>
              <w:rPr>
                <w:b/>
                <w:bCs/>
                <w:sz w:val="20"/>
                <w:szCs w:val="20"/>
              </w:rPr>
            </w:pPr>
            <w:r w:rsidRPr="00DA702B">
              <w:rPr>
                <w:b/>
                <w:bCs/>
                <w:sz w:val="20"/>
                <w:szCs w:val="20"/>
              </w:rPr>
              <w:t>TSM-CMS</w:t>
            </w:r>
          </w:p>
        </w:tc>
        <w:tc>
          <w:tcPr>
            <w:tcW w:w="2057" w:type="dxa"/>
            <w:shd w:val="clear" w:color="auto" w:fill="D9D9D9" w:themeFill="background1" w:themeFillShade="D9"/>
            <w:vAlign w:val="center"/>
          </w:tcPr>
          <w:p w14:paraId="6238B365" w14:textId="77777777" w:rsidR="00DA702B" w:rsidRPr="00DA702B" w:rsidRDefault="00DA702B" w:rsidP="00DA702B">
            <w:pPr>
              <w:jc w:val="center"/>
              <w:rPr>
                <w:b/>
                <w:bCs/>
                <w:sz w:val="20"/>
                <w:szCs w:val="20"/>
              </w:rPr>
            </w:pPr>
            <w:r w:rsidRPr="00DA702B">
              <w:rPr>
                <w:b/>
                <w:bCs/>
                <w:sz w:val="20"/>
                <w:szCs w:val="20"/>
              </w:rPr>
              <w:t>TSM-Test</w:t>
            </w:r>
          </w:p>
        </w:tc>
        <w:tc>
          <w:tcPr>
            <w:tcW w:w="2057" w:type="dxa"/>
            <w:shd w:val="clear" w:color="auto" w:fill="D9D9D9" w:themeFill="background1" w:themeFillShade="D9"/>
            <w:vAlign w:val="center"/>
          </w:tcPr>
          <w:p w14:paraId="34471537" w14:textId="77777777" w:rsidR="00DA702B" w:rsidRPr="00DA702B" w:rsidRDefault="00DA702B" w:rsidP="00DA702B">
            <w:pPr>
              <w:jc w:val="center"/>
              <w:rPr>
                <w:b/>
                <w:bCs/>
                <w:sz w:val="20"/>
                <w:szCs w:val="20"/>
              </w:rPr>
            </w:pPr>
            <w:r w:rsidRPr="00DA702B">
              <w:rPr>
                <w:b/>
                <w:bCs/>
                <w:sz w:val="20"/>
                <w:szCs w:val="20"/>
              </w:rPr>
              <w:t>TSM-FA</w:t>
            </w:r>
          </w:p>
        </w:tc>
      </w:tr>
      <w:tr w:rsidR="00DA702B" w:rsidRPr="00DA702B" w14:paraId="08F4EEB0" w14:textId="77777777" w:rsidTr="00247007">
        <w:trPr>
          <w:cantSplit/>
          <w:trHeight w:val="346"/>
          <w:tblHeader/>
        </w:trPr>
        <w:tc>
          <w:tcPr>
            <w:tcW w:w="2057" w:type="dxa"/>
          </w:tcPr>
          <w:p w14:paraId="429358DA" w14:textId="77777777" w:rsidR="00DA702B" w:rsidRPr="00DA702B" w:rsidRDefault="00DA702B" w:rsidP="00DA702B"/>
        </w:tc>
        <w:tc>
          <w:tcPr>
            <w:tcW w:w="2057" w:type="dxa"/>
          </w:tcPr>
          <w:p w14:paraId="29C47D1C" w14:textId="77777777" w:rsidR="00DA702B" w:rsidRPr="00DA702B" w:rsidRDefault="00DA702B" w:rsidP="00DA702B"/>
        </w:tc>
        <w:tc>
          <w:tcPr>
            <w:tcW w:w="2058" w:type="dxa"/>
          </w:tcPr>
          <w:p w14:paraId="720073CF" w14:textId="77777777" w:rsidR="00DA702B" w:rsidRPr="00DA702B" w:rsidRDefault="00DA702B" w:rsidP="00DA702B"/>
        </w:tc>
        <w:tc>
          <w:tcPr>
            <w:tcW w:w="2057" w:type="dxa"/>
          </w:tcPr>
          <w:p w14:paraId="1667C7D5" w14:textId="77777777" w:rsidR="00DA702B" w:rsidRPr="00DA702B" w:rsidRDefault="00DA702B" w:rsidP="00DA702B"/>
        </w:tc>
        <w:tc>
          <w:tcPr>
            <w:tcW w:w="2057" w:type="dxa"/>
          </w:tcPr>
          <w:p w14:paraId="266A0521" w14:textId="77777777" w:rsidR="00DA702B" w:rsidRPr="00DA702B" w:rsidRDefault="00DA702B" w:rsidP="00DA702B"/>
        </w:tc>
        <w:tc>
          <w:tcPr>
            <w:tcW w:w="2057" w:type="dxa"/>
          </w:tcPr>
          <w:p w14:paraId="4C539928" w14:textId="77777777" w:rsidR="00DA702B" w:rsidRPr="00DA702B" w:rsidRDefault="00DA702B" w:rsidP="00DA702B"/>
        </w:tc>
        <w:tc>
          <w:tcPr>
            <w:tcW w:w="2057" w:type="dxa"/>
          </w:tcPr>
          <w:p w14:paraId="3E276906" w14:textId="77777777" w:rsidR="00DA702B" w:rsidRPr="00DA702B" w:rsidRDefault="00DA702B" w:rsidP="00DA702B"/>
        </w:tc>
      </w:tr>
      <w:tr w:rsidR="00DA702B" w:rsidRPr="00DA702B" w14:paraId="31D7D07E" w14:textId="77777777" w:rsidTr="00247007">
        <w:trPr>
          <w:cantSplit/>
          <w:trHeight w:val="346"/>
          <w:tblHeader/>
        </w:trPr>
        <w:tc>
          <w:tcPr>
            <w:tcW w:w="2057" w:type="dxa"/>
          </w:tcPr>
          <w:p w14:paraId="377591CE" w14:textId="77777777" w:rsidR="00DA702B" w:rsidRPr="00DA702B" w:rsidRDefault="00DA702B" w:rsidP="00DA702B"/>
        </w:tc>
        <w:tc>
          <w:tcPr>
            <w:tcW w:w="2057" w:type="dxa"/>
          </w:tcPr>
          <w:p w14:paraId="34676AB2" w14:textId="77777777" w:rsidR="00DA702B" w:rsidRPr="00DA702B" w:rsidRDefault="00DA702B" w:rsidP="00DA702B"/>
        </w:tc>
        <w:tc>
          <w:tcPr>
            <w:tcW w:w="2058" w:type="dxa"/>
          </w:tcPr>
          <w:p w14:paraId="7E7506DA" w14:textId="77777777" w:rsidR="00DA702B" w:rsidRPr="00DA702B" w:rsidRDefault="00DA702B" w:rsidP="00DA702B"/>
        </w:tc>
        <w:tc>
          <w:tcPr>
            <w:tcW w:w="2057" w:type="dxa"/>
          </w:tcPr>
          <w:p w14:paraId="6A94D161" w14:textId="77777777" w:rsidR="00DA702B" w:rsidRPr="00DA702B" w:rsidRDefault="00DA702B" w:rsidP="00DA702B"/>
        </w:tc>
        <w:tc>
          <w:tcPr>
            <w:tcW w:w="2057" w:type="dxa"/>
          </w:tcPr>
          <w:p w14:paraId="6A315D90" w14:textId="77777777" w:rsidR="00DA702B" w:rsidRPr="00DA702B" w:rsidRDefault="00DA702B" w:rsidP="00DA702B"/>
        </w:tc>
        <w:tc>
          <w:tcPr>
            <w:tcW w:w="2057" w:type="dxa"/>
          </w:tcPr>
          <w:p w14:paraId="02DF49AA" w14:textId="77777777" w:rsidR="00DA702B" w:rsidRPr="00DA702B" w:rsidRDefault="00DA702B" w:rsidP="00DA702B"/>
        </w:tc>
        <w:tc>
          <w:tcPr>
            <w:tcW w:w="2057" w:type="dxa"/>
          </w:tcPr>
          <w:p w14:paraId="4B19A4E5" w14:textId="77777777" w:rsidR="00DA702B" w:rsidRPr="00DA702B" w:rsidRDefault="00DA702B" w:rsidP="00DA702B"/>
        </w:tc>
      </w:tr>
      <w:tr w:rsidR="00DA702B" w:rsidRPr="00DA702B" w14:paraId="65567EF1" w14:textId="77777777" w:rsidTr="00247007">
        <w:trPr>
          <w:cantSplit/>
          <w:trHeight w:val="346"/>
          <w:tblHeader/>
        </w:trPr>
        <w:tc>
          <w:tcPr>
            <w:tcW w:w="2057" w:type="dxa"/>
          </w:tcPr>
          <w:p w14:paraId="3F664073" w14:textId="77777777" w:rsidR="00DA702B" w:rsidRPr="00DA702B" w:rsidRDefault="00DA702B" w:rsidP="00DA702B"/>
        </w:tc>
        <w:tc>
          <w:tcPr>
            <w:tcW w:w="2057" w:type="dxa"/>
          </w:tcPr>
          <w:p w14:paraId="50C34AFA" w14:textId="77777777" w:rsidR="00DA702B" w:rsidRPr="00DA702B" w:rsidRDefault="00DA702B" w:rsidP="00DA702B"/>
        </w:tc>
        <w:tc>
          <w:tcPr>
            <w:tcW w:w="2058" w:type="dxa"/>
          </w:tcPr>
          <w:p w14:paraId="6F20326F" w14:textId="77777777" w:rsidR="00DA702B" w:rsidRPr="00DA702B" w:rsidRDefault="00DA702B" w:rsidP="00DA702B"/>
        </w:tc>
        <w:tc>
          <w:tcPr>
            <w:tcW w:w="2057" w:type="dxa"/>
          </w:tcPr>
          <w:p w14:paraId="413BAF74" w14:textId="77777777" w:rsidR="00DA702B" w:rsidRPr="00DA702B" w:rsidRDefault="00DA702B" w:rsidP="00DA702B"/>
        </w:tc>
        <w:tc>
          <w:tcPr>
            <w:tcW w:w="2057" w:type="dxa"/>
          </w:tcPr>
          <w:p w14:paraId="29C6DAF8" w14:textId="77777777" w:rsidR="00DA702B" w:rsidRPr="00DA702B" w:rsidRDefault="00DA702B" w:rsidP="00DA702B"/>
        </w:tc>
        <w:tc>
          <w:tcPr>
            <w:tcW w:w="2057" w:type="dxa"/>
          </w:tcPr>
          <w:p w14:paraId="4CCB302A" w14:textId="77777777" w:rsidR="00DA702B" w:rsidRPr="00DA702B" w:rsidRDefault="00DA702B" w:rsidP="00DA702B"/>
        </w:tc>
        <w:tc>
          <w:tcPr>
            <w:tcW w:w="2057" w:type="dxa"/>
          </w:tcPr>
          <w:p w14:paraId="2A038D75" w14:textId="77777777" w:rsidR="00DA702B" w:rsidRPr="00DA702B" w:rsidRDefault="00DA702B" w:rsidP="00DA702B"/>
        </w:tc>
      </w:tr>
      <w:tr w:rsidR="00DA702B" w:rsidRPr="00DA702B" w14:paraId="54A48164" w14:textId="77777777" w:rsidTr="00247007">
        <w:trPr>
          <w:cantSplit/>
          <w:trHeight w:val="346"/>
          <w:tblHeader/>
        </w:trPr>
        <w:tc>
          <w:tcPr>
            <w:tcW w:w="2057" w:type="dxa"/>
          </w:tcPr>
          <w:p w14:paraId="4250E1A8" w14:textId="77777777" w:rsidR="00DA702B" w:rsidRPr="00DA702B" w:rsidRDefault="00DA702B" w:rsidP="00DA702B"/>
        </w:tc>
        <w:tc>
          <w:tcPr>
            <w:tcW w:w="2057" w:type="dxa"/>
          </w:tcPr>
          <w:p w14:paraId="33EDB868" w14:textId="77777777" w:rsidR="00DA702B" w:rsidRPr="00DA702B" w:rsidRDefault="00DA702B" w:rsidP="00DA702B"/>
        </w:tc>
        <w:tc>
          <w:tcPr>
            <w:tcW w:w="2058" w:type="dxa"/>
          </w:tcPr>
          <w:p w14:paraId="41C84778" w14:textId="77777777" w:rsidR="00DA702B" w:rsidRPr="00DA702B" w:rsidRDefault="00DA702B" w:rsidP="00DA702B"/>
        </w:tc>
        <w:tc>
          <w:tcPr>
            <w:tcW w:w="2057" w:type="dxa"/>
          </w:tcPr>
          <w:p w14:paraId="3B6AB0B1" w14:textId="77777777" w:rsidR="00DA702B" w:rsidRPr="00DA702B" w:rsidRDefault="00DA702B" w:rsidP="00DA702B"/>
        </w:tc>
        <w:tc>
          <w:tcPr>
            <w:tcW w:w="2057" w:type="dxa"/>
          </w:tcPr>
          <w:p w14:paraId="070957F0" w14:textId="77777777" w:rsidR="00DA702B" w:rsidRPr="00DA702B" w:rsidRDefault="00DA702B" w:rsidP="00DA702B"/>
        </w:tc>
        <w:tc>
          <w:tcPr>
            <w:tcW w:w="2057" w:type="dxa"/>
          </w:tcPr>
          <w:p w14:paraId="0C7F394E" w14:textId="77777777" w:rsidR="00DA702B" w:rsidRPr="00DA702B" w:rsidRDefault="00DA702B" w:rsidP="00DA702B"/>
        </w:tc>
        <w:tc>
          <w:tcPr>
            <w:tcW w:w="2057" w:type="dxa"/>
          </w:tcPr>
          <w:p w14:paraId="07C611C6" w14:textId="77777777" w:rsidR="00DA702B" w:rsidRPr="00DA702B" w:rsidRDefault="00DA702B" w:rsidP="00DA702B"/>
        </w:tc>
      </w:tr>
      <w:tr w:rsidR="00DA702B" w:rsidRPr="00DA702B" w14:paraId="6ACEDD8C" w14:textId="77777777" w:rsidTr="00247007">
        <w:trPr>
          <w:cantSplit/>
          <w:trHeight w:val="346"/>
          <w:tblHeader/>
        </w:trPr>
        <w:tc>
          <w:tcPr>
            <w:tcW w:w="2057" w:type="dxa"/>
          </w:tcPr>
          <w:p w14:paraId="4604B677" w14:textId="77777777" w:rsidR="00DA702B" w:rsidRPr="00DA702B" w:rsidRDefault="00DA702B" w:rsidP="00DA702B"/>
        </w:tc>
        <w:tc>
          <w:tcPr>
            <w:tcW w:w="2057" w:type="dxa"/>
          </w:tcPr>
          <w:p w14:paraId="3DD8C49A" w14:textId="77777777" w:rsidR="00DA702B" w:rsidRPr="00DA702B" w:rsidRDefault="00DA702B" w:rsidP="00DA702B"/>
        </w:tc>
        <w:tc>
          <w:tcPr>
            <w:tcW w:w="2058" w:type="dxa"/>
          </w:tcPr>
          <w:p w14:paraId="3FFB2BD3" w14:textId="77777777" w:rsidR="00DA702B" w:rsidRPr="00DA702B" w:rsidRDefault="00DA702B" w:rsidP="00DA702B"/>
        </w:tc>
        <w:tc>
          <w:tcPr>
            <w:tcW w:w="2057" w:type="dxa"/>
          </w:tcPr>
          <w:p w14:paraId="21CD1C5D" w14:textId="77777777" w:rsidR="00DA702B" w:rsidRPr="00DA702B" w:rsidRDefault="00DA702B" w:rsidP="00DA702B"/>
        </w:tc>
        <w:tc>
          <w:tcPr>
            <w:tcW w:w="2057" w:type="dxa"/>
          </w:tcPr>
          <w:p w14:paraId="54C5E60A" w14:textId="77777777" w:rsidR="00DA702B" w:rsidRPr="00DA702B" w:rsidRDefault="00DA702B" w:rsidP="00DA702B"/>
        </w:tc>
        <w:tc>
          <w:tcPr>
            <w:tcW w:w="2057" w:type="dxa"/>
          </w:tcPr>
          <w:p w14:paraId="4716E7B2" w14:textId="77777777" w:rsidR="00DA702B" w:rsidRPr="00DA702B" w:rsidRDefault="00DA702B" w:rsidP="00DA702B"/>
        </w:tc>
        <w:tc>
          <w:tcPr>
            <w:tcW w:w="2057" w:type="dxa"/>
          </w:tcPr>
          <w:p w14:paraId="54C37E3D" w14:textId="77777777" w:rsidR="00DA702B" w:rsidRPr="00DA702B" w:rsidRDefault="00DA702B" w:rsidP="00DA702B"/>
        </w:tc>
      </w:tr>
      <w:tr w:rsidR="00DA702B" w:rsidRPr="00DA702B" w14:paraId="2F889061" w14:textId="77777777" w:rsidTr="00247007">
        <w:trPr>
          <w:cantSplit/>
          <w:trHeight w:val="346"/>
          <w:tblHeader/>
        </w:trPr>
        <w:tc>
          <w:tcPr>
            <w:tcW w:w="2057" w:type="dxa"/>
          </w:tcPr>
          <w:p w14:paraId="1D163993" w14:textId="77777777" w:rsidR="00DA702B" w:rsidRPr="00DA702B" w:rsidRDefault="00DA702B" w:rsidP="00DA702B"/>
        </w:tc>
        <w:tc>
          <w:tcPr>
            <w:tcW w:w="2057" w:type="dxa"/>
          </w:tcPr>
          <w:p w14:paraId="78AB7DA9" w14:textId="77777777" w:rsidR="00DA702B" w:rsidRPr="00DA702B" w:rsidRDefault="00DA702B" w:rsidP="00DA702B"/>
        </w:tc>
        <w:tc>
          <w:tcPr>
            <w:tcW w:w="2058" w:type="dxa"/>
          </w:tcPr>
          <w:p w14:paraId="6600C49D" w14:textId="77777777" w:rsidR="00DA702B" w:rsidRPr="00DA702B" w:rsidRDefault="00DA702B" w:rsidP="00DA702B"/>
        </w:tc>
        <w:tc>
          <w:tcPr>
            <w:tcW w:w="2057" w:type="dxa"/>
          </w:tcPr>
          <w:p w14:paraId="46839D91" w14:textId="77777777" w:rsidR="00DA702B" w:rsidRPr="00DA702B" w:rsidRDefault="00DA702B" w:rsidP="00DA702B"/>
        </w:tc>
        <w:tc>
          <w:tcPr>
            <w:tcW w:w="2057" w:type="dxa"/>
          </w:tcPr>
          <w:p w14:paraId="4240980C" w14:textId="77777777" w:rsidR="00DA702B" w:rsidRPr="00DA702B" w:rsidRDefault="00DA702B" w:rsidP="00DA702B"/>
        </w:tc>
        <w:tc>
          <w:tcPr>
            <w:tcW w:w="2057" w:type="dxa"/>
          </w:tcPr>
          <w:p w14:paraId="4315CC11" w14:textId="77777777" w:rsidR="00DA702B" w:rsidRPr="00DA702B" w:rsidRDefault="00DA702B" w:rsidP="00DA702B"/>
        </w:tc>
        <w:tc>
          <w:tcPr>
            <w:tcW w:w="2057" w:type="dxa"/>
          </w:tcPr>
          <w:p w14:paraId="36427B7F" w14:textId="77777777" w:rsidR="00DA702B" w:rsidRPr="00DA702B" w:rsidRDefault="00DA702B" w:rsidP="00DA702B"/>
        </w:tc>
      </w:tr>
      <w:tr w:rsidR="00DA702B" w:rsidRPr="00DA702B" w14:paraId="7743B344" w14:textId="77777777" w:rsidTr="00247007">
        <w:trPr>
          <w:cantSplit/>
          <w:trHeight w:val="346"/>
          <w:tblHeader/>
        </w:trPr>
        <w:tc>
          <w:tcPr>
            <w:tcW w:w="2057" w:type="dxa"/>
          </w:tcPr>
          <w:p w14:paraId="25179987" w14:textId="77777777" w:rsidR="00DA702B" w:rsidRPr="00DA702B" w:rsidRDefault="00DA702B" w:rsidP="00DA702B"/>
        </w:tc>
        <w:tc>
          <w:tcPr>
            <w:tcW w:w="2057" w:type="dxa"/>
          </w:tcPr>
          <w:p w14:paraId="1569A40A" w14:textId="77777777" w:rsidR="00DA702B" w:rsidRPr="00DA702B" w:rsidRDefault="00DA702B" w:rsidP="00DA702B"/>
        </w:tc>
        <w:tc>
          <w:tcPr>
            <w:tcW w:w="2058" w:type="dxa"/>
          </w:tcPr>
          <w:p w14:paraId="10C6DEDD" w14:textId="77777777" w:rsidR="00DA702B" w:rsidRPr="00DA702B" w:rsidRDefault="00DA702B" w:rsidP="00DA702B"/>
        </w:tc>
        <w:tc>
          <w:tcPr>
            <w:tcW w:w="2057" w:type="dxa"/>
          </w:tcPr>
          <w:p w14:paraId="386085D9" w14:textId="77777777" w:rsidR="00DA702B" w:rsidRPr="00DA702B" w:rsidRDefault="00DA702B" w:rsidP="00DA702B"/>
        </w:tc>
        <w:tc>
          <w:tcPr>
            <w:tcW w:w="2057" w:type="dxa"/>
          </w:tcPr>
          <w:p w14:paraId="69FBAD32" w14:textId="77777777" w:rsidR="00DA702B" w:rsidRPr="00DA702B" w:rsidRDefault="00DA702B" w:rsidP="00DA702B"/>
        </w:tc>
        <w:tc>
          <w:tcPr>
            <w:tcW w:w="2057" w:type="dxa"/>
          </w:tcPr>
          <w:p w14:paraId="77304F6C" w14:textId="77777777" w:rsidR="00DA702B" w:rsidRPr="00DA702B" w:rsidRDefault="00DA702B" w:rsidP="00DA702B"/>
        </w:tc>
        <w:tc>
          <w:tcPr>
            <w:tcW w:w="2057" w:type="dxa"/>
          </w:tcPr>
          <w:p w14:paraId="1363D088" w14:textId="77777777" w:rsidR="00DA702B" w:rsidRPr="00DA702B" w:rsidRDefault="00DA702B" w:rsidP="00DA702B"/>
        </w:tc>
      </w:tr>
      <w:tr w:rsidR="00DA702B" w:rsidRPr="00DA702B" w14:paraId="3E1AE35D" w14:textId="77777777" w:rsidTr="00247007">
        <w:trPr>
          <w:cantSplit/>
          <w:trHeight w:val="346"/>
          <w:tblHeader/>
        </w:trPr>
        <w:tc>
          <w:tcPr>
            <w:tcW w:w="2057" w:type="dxa"/>
          </w:tcPr>
          <w:p w14:paraId="7B412AF1" w14:textId="77777777" w:rsidR="00DA702B" w:rsidRPr="00DA702B" w:rsidRDefault="00DA702B" w:rsidP="00DA702B"/>
        </w:tc>
        <w:tc>
          <w:tcPr>
            <w:tcW w:w="2057" w:type="dxa"/>
          </w:tcPr>
          <w:p w14:paraId="0E19477B" w14:textId="77777777" w:rsidR="00DA702B" w:rsidRPr="00DA702B" w:rsidRDefault="00DA702B" w:rsidP="00DA702B"/>
        </w:tc>
        <w:tc>
          <w:tcPr>
            <w:tcW w:w="2058" w:type="dxa"/>
          </w:tcPr>
          <w:p w14:paraId="7AD7EAC2" w14:textId="77777777" w:rsidR="00DA702B" w:rsidRPr="00DA702B" w:rsidRDefault="00DA702B" w:rsidP="00DA702B"/>
        </w:tc>
        <w:tc>
          <w:tcPr>
            <w:tcW w:w="2057" w:type="dxa"/>
          </w:tcPr>
          <w:p w14:paraId="485613B4" w14:textId="77777777" w:rsidR="00DA702B" w:rsidRPr="00DA702B" w:rsidRDefault="00DA702B" w:rsidP="00DA702B"/>
        </w:tc>
        <w:tc>
          <w:tcPr>
            <w:tcW w:w="2057" w:type="dxa"/>
          </w:tcPr>
          <w:p w14:paraId="293ECAB7" w14:textId="77777777" w:rsidR="00DA702B" w:rsidRPr="00DA702B" w:rsidRDefault="00DA702B" w:rsidP="00DA702B"/>
        </w:tc>
        <w:tc>
          <w:tcPr>
            <w:tcW w:w="2057" w:type="dxa"/>
          </w:tcPr>
          <w:p w14:paraId="68F39EA7" w14:textId="77777777" w:rsidR="00DA702B" w:rsidRPr="00DA702B" w:rsidRDefault="00DA702B" w:rsidP="00DA702B"/>
        </w:tc>
        <w:tc>
          <w:tcPr>
            <w:tcW w:w="2057" w:type="dxa"/>
          </w:tcPr>
          <w:p w14:paraId="651A5424" w14:textId="77777777" w:rsidR="00DA702B" w:rsidRPr="00DA702B" w:rsidRDefault="00DA702B" w:rsidP="00DA702B"/>
        </w:tc>
      </w:tr>
      <w:tr w:rsidR="00DA702B" w:rsidRPr="00DA702B" w14:paraId="7F2950AC" w14:textId="77777777" w:rsidTr="00247007">
        <w:trPr>
          <w:cantSplit/>
          <w:trHeight w:val="346"/>
          <w:tblHeader/>
        </w:trPr>
        <w:tc>
          <w:tcPr>
            <w:tcW w:w="2057" w:type="dxa"/>
          </w:tcPr>
          <w:p w14:paraId="28912B0C" w14:textId="77777777" w:rsidR="00DA702B" w:rsidRPr="00DA702B" w:rsidRDefault="00DA702B" w:rsidP="00DA702B"/>
        </w:tc>
        <w:tc>
          <w:tcPr>
            <w:tcW w:w="2057" w:type="dxa"/>
          </w:tcPr>
          <w:p w14:paraId="642D310A" w14:textId="77777777" w:rsidR="00DA702B" w:rsidRPr="00DA702B" w:rsidRDefault="00DA702B" w:rsidP="00DA702B"/>
        </w:tc>
        <w:tc>
          <w:tcPr>
            <w:tcW w:w="2058" w:type="dxa"/>
          </w:tcPr>
          <w:p w14:paraId="34BF49FD" w14:textId="77777777" w:rsidR="00DA702B" w:rsidRPr="00DA702B" w:rsidRDefault="00DA702B" w:rsidP="00DA702B"/>
        </w:tc>
        <w:tc>
          <w:tcPr>
            <w:tcW w:w="2057" w:type="dxa"/>
          </w:tcPr>
          <w:p w14:paraId="29864455" w14:textId="77777777" w:rsidR="00DA702B" w:rsidRPr="00DA702B" w:rsidRDefault="00DA702B" w:rsidP="00DA702B"/>
        </w:tc>
        <w:tc>
          <w:tcPr>
            <w:tcW w:w="2057" w:type="dxa"/>
          </w:tcPr>
          <w:p w14:paraId="1EF8270E" w14:textId="77777777" w:rsidR="00DA702B" w:rsidRPr="00DA702B" w:rsidRDefault="00DA702B" w:rsidP="00DA702B"/>
        </w:tc>
        <w:tc>
          <w:tcPr>
            <w:tcW w:w="2057" w:type="dxa"/>
          </w:tcPr>
          <w:p w14:paraId="30FF0413" w14:textId="77777777" w:rsidR="00DA702B" w:rsidRPr="00DA702B" w:rsidRDefault="00DA702B" w:rsidP="00DA702B"/>
        </w:tc>
        <w:tc>
          <w:tcPr>
            <w:tcW w:w="2057" w:type="dxa"/>
          </w:tcPr>
          <w:p w14:paraId="424C2B63" w14:textId="77777777" w:rsidR="00DA702B" w:rsidRPr="00DA702B" w:rsidRDefault="00DA702B" w:rsidP="00DA702B"/>
        </w:tc>
      </w:tr>
      <w:tr w:rsidR="00DA702B" w:rsidRPr="00DA702B" w14:paraId="3DAE97FC" w14:textId="77777777" w:rsidTr="00247007">
        <w:trPr>
          <w:cantSplit/>
          <w:trHeight w:val="346"/>
          <w:tblHeader/>
        </w:trPr>
        <w:tc>
          <w:tcPr>
            <w:tcW w:w="2057" w:type="dxa"/>
          </w:tcPr>
          <w:p w14:paraId="6F08E346" w14:textId="77777777" w:rsidR="00DA702B" w:rsidRPr="00DA702B" w:rsidRDefault="00DA702B" w:rsidP="00DA702B"/>
        </w:tc>
        <w:tc>
          <w:tcPr>
            <w:tcW w:w="2057" w:type="dxa"/>
          </w:tcPr>
          <w:p w14:paraId="4303D9F5" w14:textId="77777777" w:rsidR="00DA702B" w:rsidRPr="00DA702B" w:rsidRDefault="00DA702B" w:rsidP="00DA702B"/>
        </w:tc>
        <w:tc>
          <w:tcPr>
            <w:tcW w:w="2058" w:type="dxa"/>
          </w:tcPr>
          <w:p w14:paraId="05CD6AA4" w14:textId="77777777" w:rsidR="00DA702B" w:rsidRPr="00DA702B" w:rsidRDefault="00DA702B" w:rsidP="00DA702B"/>
        </w:tc>
        <w:tc>
          <w:tcPr>
            <w:tcW w:w="2057" w:type="dxa"/>
          </w:tcPr>
          <w:p w14:paraId="3480D8DD" w14:textId="77777777" w:rsidR="00DA702B" w:rsidRPr="00DA702B" w:rsidRDefault="00DA702B" w:rsidP="00DA702B"/>
        </w:tc>
        <w:tc>
          <w:tcPr>
            <w:tcW w:w="2057" w:type="dxa"/>
          </w:tcPr>
          <w:p w14:paraId="4E0C7478" w14:textId="77777777" w:rsidR="00DA702B" w:rsidRPr="00DA702B" w:rsidRDefault="00DA702B" w:rsidP="00DA702B"/>
        </w:tc>
        <w:tc>
          <w:tcPr>
            <w:tcW w:w="2057" w:type="dxa"/>
          </w:tcPr>
          <w:p w14:paraId="4EDD05CC" w14:textId="77777777" w:rsidR="00DA702B" w:rsidRPr="00DA702B" w:rsidRDefault="00DA702B" w:rsidP="00DA702B"/>
        </w:tc>
        <w:tc>
          <w:tcPr>
            <w:tcW w:w="2057" w:type="dxa"/>
          </w:tcPr>
          <w:p w14:paraId="103433A9" w14:textId="77777777" w:rsidR="00DA702B" w:rsidRPr="00DA702B" w:rsidRDefault="00DA702B" w:rsidP="00DA702B"/>
        </w:tc>
      </w:tr>
    </w:tbl>
    <w:p w14:paraId="7E226B33" w14:textId="77777777" w:rsidR="00DA702B" w:rsidRPr="00DA702B" w:rsidRDefault="00DA702B" w:rsidP="00DA702B">
      <w:pPr>
        <w:rPr>
          <w:b/>
          <w:bCs/>
        </w:rPr>
      </w:pPr>
      <w:r w:rsidRPr="00DA702B">
        <w:br w:type="page"/>
      </w:r>
    </w:p>
    <w:p w14:paraId="09778455" w14:textId="77777777" w:rsidR="00DA702B" w:rsidRPr="00DA702B" w:rsidRDefault="00DA702B" w:rsidP="009359B4">
      <w:pPr>
        <w:widowControl w:val="0"/>
        <w:jc w:val="center"/>
        <w:rPr>
          <w:rFonts w:eastAsiaTheme="majorEastAsia"/>
          <w:b/>
          <w:bCs/>
        </w:rPr>
      </w:pPr>
      <w:r w:rsidRPr="00DA702B">
        <w:rPr>
          <w:rFonts w:eastAsiaTheme="majorEastAsia"/>
          <w:b/>
          <w:bCs/>
        </w:rPr>
        <w:lastRenderedPageBreak/>
        <w:t>Boiler/Steam Generator/Steam Generating Unit Attributes</w:t>
      </w:r>
    </w:p>
    <w:p w14:paraId="491C6DA5" w14:textId="77777777" w:rsidR="00DA702B" w:rsidRPr="00DA702B" w:rsidRDefault="00DA702B" w:rsidP="009359B4">
      <w:pPr>
        <w:widowControl w:val="0"/>
        <w:jc w:val="center"/>
        <w:rPr>
          <w:rFonts w:eastAsiaTheme="majorEastAsia"/>
          <w:b/>
          <w:bCs/>
        </w:rPr>
      </w:pPr>
      <w:r w:rsidRPr="00DA702B">
        <w:rPr>
          <w:rFonts w:eastAsiaTheme="majorEastAsia"/>
          <w:b/>
          <w:bCs/>
        </w:rPr>
        <w:t>Form OP-UA6 (Page 41)</w:t>
      </w:r>
    </w:p>
    <w:p w14:paraId="62A738B1" w14:textId="77777777" w:rsidR="00DA702B" w:rsidRPr="00DA702B" w:rsidRDefault="00DA702B" w:rsidP="009359B4">
      <w:pPr>
        <w:widowControl w:val="0"/>
        <w:jc w:val="center"/>
        <w:rPr>
          <w:rFonts w:eastAsiaTheme="majorEastAsia"/>
          <w:b/>
          <w:bCs/>
        </w:rPr>
      </w:pPr>
      <w:r w:rsidRPr="00DA702B">
        <w:rPr>
          <w:rFonts w:eastAsiaTheme="majorEastAsia"/>
          <w:b/>
          <w:bCs/>
        </w:rPr>
        <w:t>Federal Operating Permit Program</w:t>
      </w:r>
    </w:p>
    <w:p w14:paraId="4436D1C4" w14:textId="77777777" w:rsidR="00DA702B" w:rsidRPr="00DA702B" w:rsidRDefault="00DA702B" w:rsidP="009359B4">
      <w:pPr>
        <w:widowControl w:val="0"/>
        <w:jc w:val="center"/>
        <w:rPr>
          <w:rFonts w:eastAsiaTheme="majorEastAsia"/>
          <w:b/>
          <w:bCs/>
        </w:rPr>
      </w:pPr>
      <w:bookmarkStart w:id="203" w:name="TBL_14e"/>
      <w:r w:rsidRPr="00DA702B">
        <w:rPr>
          <w:rFonts w:eastAsiaTheme="majorEastAsia"/>
          <w:b/>
          <w:bCs/>
        </w:rPr>
        <w:t>Table 14e</w:t>
      </w:r>
      <w:bookmarkEnd w:id="203"/>
      <w:r w:rsidRPr="00DA702B">
        <w:rPr>
          <w:rFonts w:eastAsiaTheme="majorEastAsia"/>
          <w:b/>
          <w:bCs/>
        </w:rPr>
        <w:t>:  Title 40 Code of Federal Regulations Part 63 (40 CFR Part 63)</w:t>
      </w:r>
    </w:p>
    <w:p w14:paraId="061A2286" w14:textId="77777777" w:rsidR="00DA702B" w:rsidRPr="00DA702B" w:rsidRDefault="00DA702B" w:rsidP="009359B4">
      <w:pPr>
        <w:widowControl w:val="0"/>
        <w:jc w:val="center"/>
        <w:rPr>
          <w:rFonts w:eastAsiaTheme="majorEastAsia"/>
          <w:b/>
          <w:bCs/>
        </w:rPr>
      </w:pPr>
      <w:r w:rsidRPr="00DA702B">
        <w:rPr>
          <w:rFonts w:eastAsiaTheme="majorEastAsia"/>
          <w:b/>
          <w:bCs/>
        </w:rPr>
        <w:t>Subpart DDDDD:  Industrial, Commercial, and Institutional Boilers</w:t>
      </w:r>
    </w:p>
    <w:p w14:paraId="33AB2BBF" w14:textId="77777777" w:rsidR="00DA702B" w:rsidRPr="00DA702B" w:rsidRDefault="00DA702B" w:rsidP="009359B4">
      <w:pPr>
        <w:widowControl w:val="0"/>
        <w:jc w:val="center"/>
        <w:rPr>
          <w:b/>
          <w:bCs/>
        </w:rPr>
      </w:pPr>
      <w:r w:rsidRPr="00DA702B">
        <w:rPr>
          <w:b/>
          <w:bCs/>
        </w:rPr>
        <w:t>Texas Commission on Environmental Quality</w:t>
      </w:r>
    </w:p>
    <w:p w14:paraId="48BA19A6"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e:  Title 40 Code of Federal Regulations Part 63 (40 CFR Part 63)&#10;Subpart DDDDD:  Industrial, Commercial, and Institutional Boilers&#10;"/>
      </w:tblPr>
      <w:tblGrid>
        <w:gridCol w:w="4800"/>
        <w:gridCol w:w="4800"/>
        <w:gridCol w:w="4800"/>
      </w:tblGrid>
      <w:tr w:rsidR="00DA702B" w:rsidRPr="00DA702B" w14:paraId="7231680F" w14:textId="77777777" w:rsidTr="00247007">
        <w:trPr>
          <w:cantSplit/>
          <w:tblHeader/>
        </w:trPr>
        <w:tc>
          <w:tcPr>
            <w:tcW w:w="4800" w:type="dxa"/>
            <w:shd w:val="clear" w:color="auto" w:fill="D9D9D9" w:themeFill="background1" w:themeFillShade="D9"/>
          </w:tcPr>
          <w:p w14:paraId="2676D849"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38544056"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1334F897"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5EDD48D2" w14:textId="77777777" w:rsidTr="00247007">
        <w:trPr>
          <w:cantSplit/>
          <w:tblHeader/>
        </w:trPr>
        <w:tc>
          <w:tcPr>
            <w:tcW w:w="4800" w:type="dxa"/>
          </w:tcPr>
          <w:p w14:paraId="6C71F1EC" w14:textId="77777777" w:rsidR="00DA702B" w:rsidRPr="00DA702B" w:rsidRDefault="00DA702B" w:rsidP="00DA702B">
            <w:pPr>
              <w:rPr>
                <w:rFonts w:asciiTheme="majorHAnsi" w:hAnsiTheme="majorHAnsi" w:cstheme="majorHAnsi"/>
              </w:rPr>
            </w:pPr>
          </w:p>
        </w:tc>
        <w:tc>
          <w:tcPr>
            <w:tcW w:w="4800" w:type="dxa"/>
          </w:tcPr>
          <w:p w14:paraId="6A5AC8EB" w14:textId="77777777" w:rsidR="00DA702B" w:rsidRPr="00DA702B" w:rsidRDefault="00DA702B" w:rsidP="00DA702B">
            <w:pPr>
              <w:rPr>
                <w:rFonts w:asciiTheme="majorHAnsi" w:hAnsiTheme="majorHAnsi" w:cstheme="majorHAnsi"/>
              </w:rPr>
            </w:pPr>
          </w:p>
        </w:tc>
        <w:tc>
          <w:tcPr>
            <w:tcW w:w="4800" w:type="dxa"/>
          </w:tcPr>
          <w:p w14:paraId="37DAC5A6" w14:textId="77777777" w:rsidR="00DA702B" w:rsidRPr="00DA702B" w:rsidRDefault="00DA702B" w:rsidP="00DA702B">
            <w:pPr>
              <w:rPr>
                <w:rFonts w:asciiTheme="majorHAnsi" w:hAnsiTheme="majorHAnsi" w:cstheme="majorHAnsi"/>
              </w:rPr>
            </w:pPr>
          </w:p>
        </w:tc>
      </w:tr>
    </w:tbl>
    <w:p w14:paraId="6A3F801F"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e:  Title 40 Code of Federal Regulations Part 63 (40 CFR Part 63)&#10;Subpart DDDDD:  Industrial, Commercial, and Institutional Boilers&#10;"/>
      </w:tblPr>
      <w:tblGrid>
        <w:gridCol w:w="1800"/>
        <w:gridCol w:w="1800"/>
        <w:gridCol w:w="1800"/>
        <w:gridCol w:w="1800"/>
        <w:gridCol w:w="1800"/>
        <w:gridCol w:w="1800"/>
        <w:gridCol w:w="1800"/>
        <w:gridCol w:w="1800"/>
      </w:tblGrid>
      <w:tr w:rsidR="00DA702B" w:rsidRPr="00DA702B" w14:paraId="0C4065BD" w14:textId="77777777" w:rsidTr="00247007">
        <w:trPr>
          <w:cantSplit/>
          <w:tblHeader/>
        </w:trPr>
        <w:tc>
          <w:tcPr>
            <w:tcW w:w="1800" w:type="dxa"/>
            <w:shd w:val="clear" w:color="auto" w:fill="D9D9D9" w:themeFill="background1" w:themeFillShade="D9"/>
            <w:vAlign w:val="center"/>
          </w:tcPr>
          <w:p w14:paraId="21230B51" w14:textId="77777777" w:rsidR="00DA702B" w:rsidRPr="00DA702B" w:rsidRDefault="00DA702B" w:rsidP="00DA702B">
            <w:pPr>
              <w:jc w:val="center"/>
              <w:rPr>
                <w:b/>
                <w:bCs/>
                <w:sz w:val="20"/>
                <w:szCs w:val="20"/>
              </w:rPr>
            </w:pPr>
            <w:r w:rsidRPr="00DA702B">
              <w:rPr>
                <w:b/>
                <w:bCs/>
                <w:sz w:val="20"/>
                <w:szCs w:val="20"/>
              </w:rPr>
              <w:t>Unit ID No.</w:t>
            </w:r>
          </w:p>
        </w:tc>
        <w:tc>
          <w:tcPr>
            <w:tcW w:w="1800" w:type="dxa"/>
            <w:shd w:val="clear" w:color="auto" w:fill="D9D9D9" w:themeFill="background1" w:themeFillShade="D9"/>
            <w:vAlign w:val="center"/>
          </w:tcPr>
          <w:p w14:paraId="5875E509" w14:textId="77777777" w:rsidR="00DA702B" w:rsidRPr="00DA702B" w:rsidRDefault="00DA702B" w:rsidP="00DA702B">
            <w:pPr>
              <w:jc w:val="center"/>
              <w:rPr>
                <w:b/>
                <w:bCs/>
                <w:sz w:val="20"/>
                <w:szCs w:val="20"/>
              </w:rPr>
            </w:pPr>
            <w:r w:rsidRPr="00DA702B">
              <w:rPr>
                <w:b/>
                <w:bCs/>
                <w:sz w:val="20"/>
                <w:szCs w:val="20"/>
              </w:rPr>
              <w:t>SOP/GOP</w:t>
            </w:r>
          </w:p>
          <w:p w14:paraId="3DE07677" w14:textId="77777777" w:rsidR="00DA702B" w:rsidRPr="00DA702B" w:rsidRDefault="00DA702B" w:rsidP="00DA702B">
            <w:pPr>
              <w:jc w:val="center"/>
              <w:rPr>
                <w:b/>
                <w:bCs/>
                <w:sz w:val="20"/>
                <w:szCs w:val="20"/>
              </w:rPr>
            </w:pPr>
            <w:r w:rsidRPr="00DA702B">
              <w:rPr>
                <w:b/>
                <w:bCs/>
                <w:sz w:val="20"/>
                <w:szCs w:val="20"/>
              </w:rPr>
              <w:t>Index No.</w:t>
            </w:r>
          </w:p>
        </w:tc>
        <w:tc>
          <w:tcPr>
            <w:tcW w:w="1800" w:type="dxa"/>
            <w:shd w:val="clear" w:color="auto" w:fill="D9D9D9" w:themeFill="background1" w:themeFillShade="D9"/>
            <w:vAlign w:val="center"/>
          </w:tcPr>
          <w:p w14:paraId="672D9828" w14:textId="77777777" w:rsidR="00DA702B" w:rsidRPr="00DA702B" w:rsidRDefault="00DA702B" w:rsidP="00DA702B">
            <w:pPr>
              <w:jc w:val="center"/>
              <w:rPr>
                <w:b/>
                <w:bCs/>
                <w:sz w:val="20"/>
                <w:szCs w:val="20"/>
              </w:rPr>
            </w:pPr>
            <w:r w:rsidRPr="00DA702B">
              <w:rPr>
                <w:b/>
                <w:bCs/>
                <w:sz w:val="20"/>
                <w:szCs w:val="20"/>
              </w:rPr>
              <w:t>PM-250</w:t>
            </w:r>
          </w:p>
        </w:tc>
        <w:tc>
          <w:tcPr>
            <w:tcW w:w="1800" w:type="dxa"/>
            <w:shd w:val="clear" w:color="auto" w:fill="D9D9D9" w:themeFill="background1" w:themeFillShade="D9"/>
            <w:vAlign w:val="center"/>
          </w:tcPr>
          <w:p w14:paraId="5B332A12" w14:textId="77777777" w:rsidR="00DA702B" w:rsidRPr="00DA702B" w:rsidRDefault="00DA702B" w:rsidP="00DA702B">
            <w:pPr>
              <w:jc w:val="center"/>
              <w:rPr>
                <w:b/>
                <w:bCs/>
                <w:sz w:val="20"/>
                <w:szCs w:val="20"/>
              </w:rPr>
            </w:pPr>
            <w:r w:rsidRPr="00DA702B">
              <w:rPr>
                <w:b/>
                <w:bCs/>
                <w:sz w:val="20"/>
                <w:szCs w:val="20"/>
              </w:rPr>
              <w:t>PM-CMS</w:t>
            </w:r>
          </w:p>
        </w:tc>
        <w:tc>
          <w:tcPr>
            <w:tcW w:w="1800" w:type="dxa"/>
            <w:shd w:val="clear" w:color="auto" w:fill="D9D9D9" w:themeFill="background1" w:themeFillShade="D9"/>
            <w:vAlign w:val="center"/>
          </w:tcPr>
          <w:p w14:paraId="54E1D1D3" w14:textId="77777777" w:rsidR="00DA702B" w:rsidRPr="00DA702B" w:rsidRDefault="00DA702B" w:rsidP="00DA702B">
            <w:pPr>
              <w:jc w:val="center"/>
              <w:rPr>
                <w:b/>
                <w:bCs/>
                <w:sz w:val="20"/>
                <w:szCs w:val="20"/>
              </w:rPr>
            </w:pPr>
            <w:r w:rsidRPr="00DA702B">
              <w:rPr>
                <w:b/>
                <w:bCs/>
                <w:sz w:val="20"/>
                <w:szCs w:val="20"/>
              </w:rPr>
              <w:t>PM-CD</w:t>
            </w:r>
          </w:p>
        </w:tc>
        <w:tc>
          <w:tcPr>
            <w:tcW w:w="1800" w:type="dxa"/>
            <w:shd w:val="clear" w:color="auto" w:fill="D9D9D9" w:themeFill="background1" w:themeFillShade="D9"/>
            <w:vAlign w:val="center"/>
          </w:tcPr>
          <w:p w14:paraId="763B6AF5" w14:textId="77777777" w:rsidR="00DA702B" w:rsidRPr="00DA702B" w:rsidRDefault="00DA702B" w:rsidP="00DA702B">
            <w:pPr>
              <w:jc w:val="center"/>
              <w:rPr>
                <w:b/>
                <w:bCs/>
                <w:sz w:val="20"/>
                <w:szCs w:val="20"/>
              </w:rPr>
            </w:pPr>
            <w:r w:rsidRPr="00DA702B">
              <w:rPr>
                <w:b/>
                <w:bCs/>
                <w:sz w:val="20"/>
                <w:szCs w:val="20"/>
              </w:rPr>
              <w:t>PM-Test</w:t>
            </w:r>
          </w:p>
        </w:tc>
        <w:tc>
          <w:tcPr>
            <w:tcW w:w="1800" w:type="dxa"/>
            <w:shd w:val="clear" w:color="auto" w:fill="D9D9D9" w:themeFill="background1" w:themeFillShade="D9"/>
            <w:vAlign w:val="center"/>
          </w:tcPr>
          <w:p w14:paraId="60833B01" w14:textId="77777777" w:rsidR="00DA702B" w:rsidRPr="00DA702B" w:rsidRDefault="00DA702B" w:rsidP="00DA702B">
            <w:pPr>
              <w:jc w:val="center"/>
              <w:rPr>
                <w:b/>
                <w:bCs/>
                <w:sz w:val="20"/>
                <w:szCs w:val="20"/>
              </w:rPr>
            </w:pPr>
            <w:r w:rsidRPr="00DA702B">
              <w:rPr>
                <w:b/>
                <w:bCs/>
                <w:sz w:val="20"/>
                <w:szCs w:val="20"/>
              </w:rPr>
              <w:t>PM-FM</w:t>
            </w:r>
          </w:p>
        </w:tc>
        <w:tc>
          <w:tcPr>
            <w:tcW w:w="1800" w:type="dxa"/>
            <w:shd w:val="clear" w:color="auto" w:fill="D9D9D9" w:themeFill="background1" w:themeFillShade="D9"/>
            <w:vAlign w:val="center"/>
          </w:tcPr>
          <w:p w14:paraId="257B74E6" w14:textId="77777777" w:rsidR="00DA702B" w:rsidRPr="00DA702B" w:rsidRDefault="00DA702B" w:rsidP="00DA702B">
            <w:pPr>
              <w:jc w:val="center"/>
              <w:rPr>
                <w:b/>
                <w:bCs/>
                <w:sz w:val="20"/>
                <w:szCs w:val="20"/>
              </w:rPr>
            </w:pPr>
            <w:r w:rsidRPr="00DA702B">
              <w:rPr>
                <w:b/>
                <w:bCs/>
                <w:sz w:val="20"/>
                <w:szCs w:val="20"/>
              </w:rPr>
              <w:t>PM-PMON</w:t>
            </w:r>
          </w:p>
        </w:tc>
      </w:tr>
      <w:tr w:rsidR="00DA702B" w:rsidRPr="00DA702B" w14:paraId="403CFFD6" w14:textId="77777777" w:rsidTr="00247007">
        <w:trPr>
          <w:cantSplit/>
          <w:trHeight w:val="346"/>
          <w:tblHeader/>
        </w:trPr>
        <w:tc>
          <w:tcPr>
            <w:tcW w:w="1800" w:type="dxa"/>
          </w:tcPr>
          <w:p w14:paraId="1D8BB065" w14:textId="77777777" w:rsidR="00DA702B" w:rsidRPr="00DA702B" w:rsidRDefault="00DA702B" w:rsidP="00DA702B"/>
        </w:tc>
        <w:tc>
          <w:tcPr>
            <w:tcW w:w="1800" w:type="dxa"/>
          </w:tcPr>
          <w:p w14:paraId="12FAD707" w14:textId="77777777" w:rsidR="00DA702B" w:rsidRPr="00DA702B" w:rsidRDefault="00DA702B" w:rsidP="00DA702B"/>
        </w:tc>
        <w:tc>
          <w:tcPr>
            <w:tcW w:w="1800" w:type="dxa"/>
          </w:tcPr>
          <w:p w14:paraId="3C17F432" w14:textId="77777777" w:rsidR="00DA702B" w:rsidRPr="00DA702B" w:rsidRDefault="00DA702B" w:rsidP="00DA702B"/>
        </w:tc>
        <w:tc>
          <w:tcPr>
            <w:tcW w:w="1800" w:type="dxa"/>
          </w:tcPr>
          <w:p w14:paraId="7DFFF508" w14:textId="77777777" w:rsidR="00DA702B" w:rsidRPr="00DA702B" w:rsidRDefault="00DA702B" w:rsidP="00DA702B"/>
        </w:tc>
        <w:tc>
          <w:tcPr>
            <w:tcW w:w="1800" w:type="dxa"/>
          </w:tcPr>
          <w:p w14:paraId="5F683010" w14:textId="77777777" w:rsidR="00DA702B" w:rsidRPr="00DA702B" w:rsidRDefault="00DA702B" w:rsidP="00DA702B"/>
        </w:tc>
        <w:tc>
          <w:tcPr>
            <w:tcW w:w="1800" w:type="dxa"/>
          </w:tcPr>
          <w:p w14:paraId="3B08AEE7" w14:textId="77777777" w:rsidR="00DA702B" w:rsidRPr="00DA702B" w:rsidRDefault="00DA702B" w:rsidP="00DA702B"/>
        </w:tc>
        <w:tc>
          <w:tcPr>
            <w:tcW w:w="1800" w:type="dxa"/>
          </w:tcPr>
          <w:p w14:paraId="572AACA2" w14:textId="77777777" w:rsidR="00DA702B" w:rsidRPr="00DA702B" w:rsidRDefault="00DA702B" w:rsidP="00DA702B"/>
        </w:tc>
        <w:tc>
          <w:tcPr>
            <w:tcW w:w="1800" w:type="dxa"/>
          </w:tcPr>
          <w:p w14:paraId="1B2D9F17" w14:textId="77777777" w:rsidR="00DA702B" w:rsidRPr="00DA702B" w:rsidRDefault="00DA702B" w:rsidP="00DA702B"/>
        </w:tc>
      </w:tr>
      <w:tr w:rsidR="00DA702B" w:rsidRPr="00DA702B" w14:paraId="4497B2C8" w14:textId="77777777" w:rsidTr="00247007">
        <w:trPr>
          <w:cantSplit/>
          <w:trHeight w:val="346"/>
          <w:tblHeader/>
        </w:trPr>
        <w:tc>
          <w:tcPr>
            <w:tcW w:w="1800" w:type="dxa"/>
          </w:tcPr>
          <w:p w14:paraId="7F2F7D58" w14:textId="77777777" w:rsidR="00DA702B" w:rsidRPr="00DA702B" w:rsidRDefault="00DA702B" w:rsidP="00DA702B"/>
        </w:tc>
        <w:tc>
          <w:tcPr>
            <w:tcW w:w="1800" w:type="dxa"/>
          </w:tcPr>
          <w:p w14:paraId="5BE8998B" w14:textId="77777777" w:rsidR="00DA702B" w:rsidRPr="00DA702B" w:rsidRDefault="00DA702B" w:rsidP="00DA702B"/>
        </w:tc>
        <w:tc>
          <w:tcPr>
            <w:tcW w:w="1800" w:type="dxa"/>
          </w:tcPr>
          <w:p w14:paraId="05575E03" w14:textId="77777777" w:rsidR="00DA702B" w:rsidRPr="00DA702B" w:rsidRDefault="00DA702B" w:rsidP="00DA702B"/>
        </w:tc>
        <w:tc>
          <w:tcPr>
            <w:tcW w:w="1800" w:type="dxa"/>
          </w:tcPr>
          <w:p w14:paraId="03BE5DE1" w14:textId="77777777" w:rsidR="00DA702B" w:rsidRPr="00DA702B" w:rsidRDefault="00DA702B" w:rsidP="00DA702B"/>
        </w:tc>
        <w:tc>
          <w:tcPr>
            <w:tcW w:w="1800" w:type="dxa"/>
          </w:tcPr>
          <w:p w14:paraId="39242A79" w14:textId="77777777" w:rsidR="00DA702B" w:rsidRPr="00DA702B" w:rsidRDefault="00DA702B" w:rsidP="00DA702B"/>
        </w:tc>
        <w:tc>
          <w:tcPr>
            <w:tcW w:w="1800" w:type="dxa"/>
          </w:tcPr>
          <w:p w14:paraId="3B7E4477" w14:textId="77777777" w:rsidR="00DA702B" w:rsidRPr="00DA702B" w:rsidRDefault="00DA702B" w:rsidP="00DA702B"/>
        </w:tc>
        <w:tc>
          <w:tcPr>
            <w:tcW w:w="1800" w:type="dxa"/>
          </w:tcPr>
          <w:p w14:paraId="76156145" w14:textId="77777777" w:rsidR="00DA702B" w:rsidRPr="00DA702B" w:rsidRDefault="00DA702B" w:rsidP="00DA702B"/>
        </w:tc>
        <w:tc>
          <w:tcPr>
            <w:tcW w:w="1800" w:type="dxa"/>
          </w:tcPr>
          <w:p w14:paraId="2D417E51" w14:textId="77777777" w:rsidR="00DA702B" w:rsidRPr="00DA702B" w:rsidRDefault="00DA702B" w:rsidP="00DA702B"/>
        </w:tc>
      </w:tr>
      <w:tr w:rsidR="00DA702B" w:rsidRPr="00DA702B" w14:paraId="72315449" w14:textId="77777777" w:rsidTr="00247007">
        <w:trPr>
          <w:cantSplit/>
          <w:trHeight w:val="346"/>
          <w:tblHeader/>
        </w:trPr>
        <w:tc>
          <w:tcPr>
            <w:tcW w:w="1800" w:type="dxa"/>
          </w:tcPr>
          <w:p w14:paraId="0AB275D5" w14:textId="77777777" w:rsidR="00DA702B" w:rsidRPr="00DA702B" w:rsidRDefault="00DA702B" w:rsidP="00DA702B"/>
        </w:tc>
        <w:tc>
          <w:tcPr>
            <w:tcW w:w="1800" w:type="dxa"/>
          </w:tcPr>
          <w:p w14:paraId="7B5F1151" w14:textId="77777777" w:rsidR="00DA702B" w:rsidRPr="00DA702B" w:rsidRDefault="00DA702B" w:rsidP="00DA702B"/>
        </w:tc>
        <w:tc>
          <w:tcPr>
            <w:tcW w:w="1800" w:type="dxa"/>
          </w:tcPr>
          <w:p w14:paraId="09283F53" w14:textId="77777777" w:rsidR="00DA702B" w:rsidRPr="00DA702B" w:rsidRDefault="00DA702B" w:rsidP="00DA702B"/>
        </w:tc>
        <w:tc>
          <w:tcPr>
            <w:tcW w:w="1800" w:type="dxa"/>
          </w:tcPr>
          <w:p w14:paraId="68120008" w14:textId="77777777" w:rsidR="00DA702B" w:rsidRPr="00DA702B" w:rsidRDefault="00DA702B" w:rsidP="00DA702B"/>
        </w:tc>
        <w:tc>
          <w:tcPr>
            <w:tcW w:w="1800" w:type="dxa"/>
          </w:tcPr>
          <w:p w14:paraId="15982B8B" w14:textId="77777777" w:rsidR="00DA702B" w:rsidRPr="00DA702B" w:rsidRDefault="00DA702B" w:rsidP="00DA702B"/>
        </w:tc>
        <w:tc>
          <w:tcPr>
            <w:tcW w:w="1800" w:type="dxa"/>
          </w:tcPr>
          <w:p w14:paraId="09CB37E9" w14:textId="77777777" w:rsidR="00DA702B" w:rsidRPr="00DA702B" w:rsidRDefault="00DA702B" w:rsidP="00DA702B"/>
        </w:tc>
        <w:tc>
          <w:tcPr>
            <w:tcW w:w="1800" w:type="dxa"/>
          </w:tcPr>
          <w:p w14:paraId="542C92E6" w14:textId="77777777" w:rsidR="00DA702B" w:rsidRPr="00DA702B" w:rsidRDefault="00DA702B" w:rsidP="00DA702B"/>
        </w:tc>
        <w:tc>
          <w:tcPr>
            <w:tcW w:w="1800" w:type="dxa"/>
          </w:tcPr>
          <w:p w14:paraId="4D0C76AB" w14:textId="77777777" w:rsidR="00DA702B" w:rsidRPr="00DA702B" w:rsidRDefault="00DA702B" w:rsidP="00DA702B"/>
        </w:tc>
      </w:tr>
      <w:tr w:rsidR="00DA702B" w:rsidRPr="00DA702B" w14:paraId="307FE16C" w14:textId="77777777" w:rsidTr="00247007">
        <w:trPr>
          <w:cantSplit/>
          <w:trHeight w:val="346"/>
          <w:tblHeader/>
        </w:trPr>
        <w:tc>
          <w:tcPr>
            <w:tcW w:w="1800" w:type="dxa"/>
          </w:tcPr>
          <w:p w14:paraId="697B7060" w14:textId="77777777" w:rsidR="00DA702B" w:rsidRPr="00DA702B" w:rsidRDefault="00DA702B" w:rsidP="00DA702B"/>
        </w:tc>
        <w:tc>
          <w:tcPr>
            <w:tcW w:w="1800" w:type="dxa"/>
          </w:tcPr>
          <w:p w14:paraId="3F92F674" w14:textId="77777777" w:rsidR="00DA702B" w:rsidRPr="00DA702B" w:rsidRDefault="00DA702B" w:rsidP="00DA702B"/>
        </w:tc>
        <w:tc>
          <w:tcPr>
            <w:tcW w:w="1800" w:type="dxa"/>
          </w:tcPr>
          <w:p w14:paraId="0405A958" w14:textId="77777777" w:rsidR="00DA702B" w:rsidRPr="00DA702B" w:rsidRDefault="00DA702B" w:rsidP="00DA702B"/>
        </w:tc>
        <w:tc>
          <w:tcPr>
            <w:tcW w:w="1800" w:type="dxa"/>
          </w:tcPr>
          <w:p w14:paraId="683E4957" w14:textId="77777777" w:rsidR="00DA702B" w:rsidRPr="00DA702B" w:rsidRDefault="00DA702B" w:rsidP="00DA702B"/>
        </w:tc>
        <w:tc>
          <w:tcPr>
            <w:tcW w:w="1800" w:type="dxa"/>
          </w:tcPr>
          <w:p w14:paraId="38908D89" w14:textId="77777777" w:rsidR="00DA702B" w:rsidRPr="00DA702B" w:rsidRDefault="00DA702B" w:rsidP="00DA702B"/>
        </w:tc>
        <w:tc>
          <w:tcPr>
            <w:tcW w:w="1800" w:type="dxa"/>
          </w:tcPr>
          <w:p w14:paraId="1C928F12" w14:textId="77777777" w:rsidR="00DA702B" w:rsidRPr="00DA702B" w:rsidRDefault="00DA702B" w:rsidP="00DA702B"/>
        </w:tc>
        <w:tc>
          <w:tcPr>
            <w:tcW w:w="1800" w:type="dxa"/>
          </w:tcPr>
          <w:p w14:paraId="3D877843" w14:textId="77777777" w:rsidR="00DA702B" w:rsidRPr="00DA702B" w:rsidRDefault="00DA702B" w:rsidP="00DA702B"/>
        </w:tc>
        <w:tc>
          <w:tcPr>
            <w:tcW w:w="1800" w:type="dxa"/>
          </w:tcPr>
          <w:p w14:paraId="111D6A33" w14:textId="77777777" w:rsidR="00DA702B" w:rsidRPr="00DA702B" w:rsidRDefault="00DA702B" w:rsidP="00DA702B"/>
        </w:tc>
      </w:tr>
      <w:tr w:rsidR="00DA702B" w:rsidRPr="00DA702B" w14:paraId="3BCA522D" w14:textId="77777777" w:rsidTr="00247007">
        <w:trPr>
          <w:cantSplit/>
          <w:trHeight w:val="346"/>
          <w:tblHeader/>
        </w:trPr>
        <w:tc>
          <w:tcPr>
            <w:tcW w:w="1800" w:type="dxa"/>
          </w:tcPr>
          <w:p w14:paraId="34F7BD3C" w14:textId="77777777" w:rsidR="00DA702B" w:rsidRPr="00DA702B" w:rsidRDefault="00DA702B" w:rsidP="00DA702B"/>
        </w:tc>
        <w:tc>
          <w:tcPr>
            <w:tcW w:w="1800" w:type="dxa"/>
          </w:tcPr>
          <w:p w14:paraId="1F2367D6" w14:textId="77777777" w:rsidR="00DA702B" w:rsidRPr="00DA702B" w:rsidRDefault="00DA702B" w:rsidP="00DA702B"/>
        </w:tc>
        <w:tc>
          <w:tcPr>
            <w:tcW w:w="1800" w:type="dxa"/>
          </w:tcPr>
          <w:p w14:paraId="2C5349B2" w14:textId="77777777" w:rsidR="00DA702B" w:rsidRPr="00DA702B" w:rsidRDefault="00DA702B" w:rsidP="00DA702B"/>
        </w:tc>
        <w:tc>
          <w:tcPr>
            <w:tcW w:w="1800" w:type="dxa"/>
          </w:tcPr>
          <w:p w14:paraId="123EFA0C" w14:textId="77777777" w:rsidR="00DA702B" w:rsidRPr="00DA702B" w:rsidRDefault="00DA702B" w:rsidP="00DA702B"/>
        </w:tc>
        <w:tc>
          <w:tcPr>
            <w:tcW w:w="1800" w:type="dxa"/>
          </w:tcPr>
          <w:p w14:paraId="150B63AC" w14:textId="77777777" w:rsidR="00DA702B" w:rsidRPr="00DA702B" w:rsidRDefault="00DA702B" w:rsidP="00DA702B"/>
        </w:tc>
        <w:tc>
          <w:tcPr>
            <w:tcW w:w="1800" w:type="dxa"/>
          </w:tcPr>
          <w:p w14:paraId="70FB71A2" w14:textId="77777777" w:rsidR="00DA702B" w:rsidRPr="00DA702B" w:rsidRDefault="00DA702B" w:rsidP="00DA702B"/>
        </w:tc>
        <w:tc>
          <w:tcPr>
            <w:tcW w:w="1800" w:type="dxa"/>
          </w:tcPr>
          <w:p w14:paraId="79433DDF" w14:textId="77777777" w:rsidR="00DA702B" w:rsidRPr="00DA702B" w:rsidRDefault="00DA702B" w:rsidP="00DA702B"/>
        </w:tc>
        <w:tc>
          <w:tcPr>
            <w:tcW w:w="1800" w:type="dxa"/>
          </w:tcPr>
          <w:p w14:paraId="23A9951D" w14:textId="77777777" w:rsidR="00DA702B" w:rsidRPr="00DA702B" w:rsidRDefault="00DA702B" w:rsidP="00DA702B"/>
        </w:tc>
      </w:tr>
      <w:tr w:rsidR="00DA702B" w:rsidRPr="00DA702B" w14:paraId="40CD42F2" w14:textId="77777777" w:rsidTr="00247007">
        <w:trPr>
          <w:cantSplit/>
          <w:trHeight w:val="346"/>
          <w:tblHeader/>
        </w:trPr>
        <w:tc>
          <w:tcPr>
            <w:tcW w:w="1800" w:type="dxa"/>
          </w:tcPr>
          <w:p w14:paraId="5BBF5D9D" w14:textId="77777777" w:rsidR="00DA702B" w:rsidRPr="00DA702B" w:rsidRDefault="00DA702B" w:rsidP="00DA702B"/>
        </w:tc>
        <w:tc>
          <w:tcPr>
            <w:tcW w:w="1800" w:type="dxa"/>
          </w:tcPr>
          <w:p w14:paraId="577744FF" w14:textId="77777777" w:rsidR="00DA702B" w:rsidRPr="00DA702B" w:rsidRDefault="00DA702B" w:rsidP="00DA702B"/>
        </w:tc>
        <w:tc>
          <w:tcPr>
            <w:tcW w:w="1800" w:type="dxa"/>
          </w:tcPr>
          <w:p w14:paraId="159ED93C" w14:textId="77777777" w:rsidR="00DA702B" w:rsidRPr="00DA702B" w:rsidRDefault="00DA702B" w:rsidP="00DA702B"/>
        </w:tc>
        <w:tc>
          <w:tcPr>
            <w:tcW w:w="1800" w:type="dxa"/>
          </w:tcPr>
          <w:p w14:paraId="0A008A2C" w14:textId="77777777" w:rsidR="00DA702B" w:rsidRPr="00DA702B" w:rsidRDefault="00DA702B" w:rsidP="00DA702B"/>
        </w:tc>
        <w:tc>
          <w:tcPr>
            <w:tcW w:w="1800" w:type="dxa"/>
          </w:tcPr>
          <w:p w14:paraId="51C17660" w14:textId="77777777" w:rsidR="00DA702B" w:rsidRPr="00DA702B" w:rsidRDefault="00DA702B" w:rsidP="00DA702B"/>
        </w:tc>
        <w:tc>
          <w:tcPr>
            <w:tcW w:w="1800" w:type="dxa"/>
          </w:tcPr>
          <w:p w14:paraId="05E72A27" w14:textId="77777777" w:rsidR="00DA702B" w:rsidRPr="00DA702B" w:rsidRDefault="00DA702B" w:rsidP="00DA702B"/>
        </w:tc>
        <w:tc>
          <w:tcPr>
            <w:tcW w:w="1800" w:type="dxa"/>
          </w:tcPr>
          <w:p w14:paraId="1048D584" w14:textId="77777777" w:rsidR="00DA702B" w:rsidRPr="00DA702B" w:rsidRDefault="00DA702B" w:rsidP="00DA702B"/>
        </w:tc>
        <w:tc>
          <w:tcPr>
            <w:tcW w:w="1800" w:type="dxa"/>
          </w:tcPr>
          <w:p w14:paraId="5533D708" w14:textId="77777777" w:rsidR="00DA702B" w:rsidRPr="00DA702B" w:rsidRDefault="00DA702B" w:rsidP="00DA702B"/>
        </w:tc>
      </w:tr>
      <w:tr w:rsidR="00DA702B" w:rsidRPr="00DA702B" w14:paraId="4E6A586B" w14:textId="77777777" w:rsidTr="00247007">
        <w:trPr>
          <w:cantSplit/>
          <w:trHeight w:val="346"/>
          <w:tblHeader/>
        </w:trPr>
        <w:tc>
          <w:tcPr>
            <w:tcW w:w="1800" w:type="dxa"/>
          </w:tcPr>
          <w:p w14:paraId="1D8E0D1E" w14:textId="77777777" w:rsidR="00DA702B" w:rsidRPr="00DA702B" w:rsidRDefault="00DA702B" w:rsidP="00DA702B"/>
        </w:tc>
        <w:tc>
          <w:tcPr>
            <w:tcW w:w="1800" w:type="dxa"/>
          </w:tcPr>
          <w:p w14:paraId="6D99EB26" w14:textId="77777777" w:rsidR="00DA702B" w:rsidRPr="00DA702B" w:rsidRDefault="00DA702B" w:rsidP="00DA702B"/>
        </w:tc>
        <w:tc>
          <w:tcPr>
            <w:tcW w:w="1800" w:type="dxa"/>
          </w:tcPr>
          <w:p w14:paraId="44DEF3EF" w14:textId="77777777" w:rsidR="00DA702B" w:rsidRPr="00DA702B" w:rsidRDefault="00DA702B" w:rsidP="00DA702B"/>
        </w:tc>
        <w:tc>
          <w:tcPr>
            <w:tcW w:w="1800" w:type="dxa"/>
          </w:tcPr>
          <w:p w14:paraId="3840FDA7" w14:textId="77777777" w:rsidR="00DA702B" w:rsidRPr="00DA702B" w:rsidRDefault="00DA702B" w:rsidP="00DA702B"/>
        </w:tc>
        <w:tc>
          <w:tcPr>
            <w:tcW w:w="1800" w:type="dxa"/>
          </w:tcPr>
          <w:p w14:paraId="304FC3BD" w14:textId="77777777" w:rsidR="00DA702B" w:rsidRPr="00DA702B" w:rsidRDefault="00DA702B" w:rsidP="00DA702B"/>
        </w:tc>
        <w:tc>
          <w:tcPr>
            <w:tcW w:w="1800" w:type="dxa"/>
          </w:tcPr>
          <w:p w14:paraId="7F14FBDA" w14:textId="77777777" w:rsidR="00DA702B" w:rsidRPr="00DA702B" w:rsidRDefault="00DA702B" w:rsidP="00DA702B"/>
        </w:tc>
        <w:tc>
          <w:tcPr>
            <w:tcW w:w="1800" w:type="dxa"/>
          </w:tcPr>
          <w:p w14:paraId="630EE45C" w14:textId="77777777" w:rsidR="00DA702B" w:rsidRPr="00DA702B" w:rsidRDefault="00DA702B" w:rsidP="00DA702B"/>
        </w:tc>
        <w:tc>
          <w:tcPr>
            <w:tcW w:w="1800" w:type="dxa"/>
          </w:tcPr>
          <w:p w14:paraId="4D5B9B87" w14:textId="77777777" w:rsidR="00DA702B" w:rsidRPr="00DA702B" w:rsidRDefault="00DA702B" w:rsidP="00DA702B"/>
        </w:tc>
      </w:tr>
      <w:tr w:rsidR="00DA702B" w:rsidRPr="00DA702B" w14:paraId="0A3F2F92" w14:textId="77777777" w:rsidTr="00247007">
        <w:trPr>
          <w:cantSplit/>
          <w:trHeight w:val="346"/>
          <w:tblHeader/>
        </w:trPr>
        <w:tc>
          <w:tcPr>
            <w:tcW w:w="1800" w:type="dxa"/>
          </w:tcPr>
          <w:p w14:paraId="60CEDA8F" w14:textId="77777777" w:rsidR="00DA702B" w:rsidRPr="00DA702B" w:rsidRDefault="00DA702B" w:rsidP="00DA702B"/>
        </w:tc>
        <w:tc>
          <w:tcPr>
            <w:tcW w:w="1800" w:type="dxa"/>
          </w:tcPr>
          <w:p w14:paraId="7AA38A0B" w14:textId="77777777" w:rsidR="00DA702B" w:rsidRPr="00DA702B" w:rsidRDefault="00DA702B" w:rsidP="00DA702B"/>
        </w:tc>
        <w:tc>
          <w:tcPr>
            <w:tcW w:w="1800" w:type="dxa"/>
          </w:tcPr>
          <w:p w14:paraId="6EF3CFFD" w14:textId="77777777" w:rsidR="00DA702B" w:rsidRPr="00DA702B" w:rsidRDefault="00DA702B" w:rsidP="00DA702B"/>
        </w:tc>
        <w:tc>
          <w:tcPr>
            <w:tcW w:w="1800" w:type="dxa"/>
          </w:tcPr>
          <w:p w14:paraId="1A7F10D4" w14:textId="77777777" w:rsidR="00DA702B" w:rsidRPr="00DA702B" w:rsidRDefault="00DA702B" w:rsidP="00DA702B"/>
        </w:tc>
        <w:tc>
          <w:tcPr>
            <w:tcW w:w="1800" w:type="dxa"/>
          </w:tcPr>
          <w:p w14:paraId="17B5487F" w14:textId="77777777" w:rsidR="00DA702B" w:rsidRPr="00DA702B" w:rsidRDefault="00DA702B" w:rsidP="00DA702B"/>
        </w:tc>
        <w:tc>
          <w:tcPr>
            <w:tcW w:w="1800" w:type="dxa"/>
          </w:tcPr>
          <w:p w14:paraId="20AADB73" w14:textId="77777777" w:rsidR="00DA702B" w:rsidRPr="00DA702B" w:rsidRDefault="00DA702B" w:rsidP="00DA702B"/>
        </w:tc>
        <w:tc>
          <w:tcPr>
            <w:tcW w:w="1800" w:type="dxa"/>
          </w:tcPr>
          <w:p w14:paraId="55B17DCD" w14:textId="77777777" w:rsidR="00DA702B" w:rsidRPr="00DA702B" w:rsidRDefault="00DA702B" w:rsidP="00DA702B"/>
        </w:tc>
        <w:tc>
          <w:tcPr>
            <w:tcW w:w="1800" w:type="dxa"/>
          </w:tcPr>
          <w:p w14:paraId="15341610" w14:textId="77777777" w:rsidR="00DA702B" w:rsidRPr="00DA702B" w:rsidRDefault="00DA702B" w:rsidP="00DA702B"/>
        </w:tc>
      </w:tr>
      <w:tr w:rsidR="00DA702B" w:rsidRPr="00DA702B" w14:paraId="66E3D7BB" w14:textId="77777777" w:rsidTr="00247007">
        <w:trPr>
          <w:cantSplit/>
          <w:trHeight w:val="346"/>
          <w:tblHeader/>
        </w:trPr>
        <w:tc>
          <w:tcPr>
            <w:tcW w:w="1800" w:type="dxa"/>
          </w:tcPr>
          <w:p w14:paraId="351099A7" w14:textId="77777777" w:rsidR="00DA702B" w:rsidRPr="00DA702B" w:rsidRDefault="00DA702B" w:rsidP="00DA702B"/>
        </w:tc>
        <w:tc>
          <w:tcPr>
            <w:tcW w:w="1800" w:type="dxa"/>
          </w:tcPr>
          <w:p w14:paraId="58E37C8D" w14:textId="77777777" w:rsidR="00DA702B" w:rsidRPr="00DA702B" w:rsidRDefault="00DA702B" w:rsidP="00DA702B"/>
        </w:tc>
        <w:tc>
          <w:tcPr>
            <w:tcW w:w="1800" w:type="dxa"/>
          </w:tcPr>
          <w:p w14:paraId="2A2E01BE" w14:textId="77777777" w:rsidR="00DA702B" w:rsidRPr="00DA702B" w:rsidRDefault="00DA702B" w:rsidP="00DA702B"/>
        </w:tc>
        <w:tc>
          <w:tcPr>
            <w:tcW w:w="1800" w:type="dxa"/>
          </w:tcPr>
          <w:p w14:paraId="4205ABAB" w14:textId="77777777" w:rsidR="00DA702B" w:rsidRPr="00DA702B" w:rsidRDefault="00DA702B" w:rsidP="00DA702B"/>
        </w:tc>
        <w:tc>
          <w:tcPr>
            <w:tcW w:w="1800" w:type="dxa"/>
          </w:tcPr>
          <w:p w14:paraId="6E978A32" w14:textId="77777777" w:rsidR="00DA702B" w:rsidRPr="00DA702B" w:rsidRDefault="00DA702B" w:rsidP="00DA702B"/>
        </w:tc>
        <w:tc>
          <w:tcPr>
            <w:tcW w:w="1800" w:type="dxa"/>
          </w:tcPr>
          <w:p w14:paraId="469DA084" w14:textId="77777777" w:rsidR="00DA702B" w:rsidRPr="00DA702B" w:rsidRDefault="00DA702B" w:rsidP="00DA702B"/>
        </w:tc>
        <w:tc>
          <w:tcPr>
            <w:tcW w:w="1800" w:type="dxa"/>
          </w:tcPr>
          <w:p w14:paraId="2823C7A3" w14:textId="77777777" w:rsidR="00DA702B" w:rsidRPr="00DA702B" w:rsidRDefault="00DA702B" w:rsidP="00DA702B"/>
        </w:tc>
        <w:tc>
          <w:tcPr>
            <w:tcW w:w="1800" w:type="dxa"/>
          </w:tcPr>
          <w:p w14:paraId="7FAE9054" w14:textId="77777777" w:rsidR="00DA702B" w:rsidRPr="00DA702B" w:rsidRDefault="00DA702B" w:rsidP="00DA702B"/>
        </w:tc>
      </w:tr>
      <w:tr w:rsidR="00DA702B" w:rsidRPr="00DA702B" w14:paraId="739FEFE6" w14:textId="77777777" w:rsidTr="00247007">
        <w:trPr>
          <w:cantSplit/>
          <w:trHeight w:val="346"/>
          <w:tblHeader/>
        </w:trPr>
        <w:tc>
          <w:tcPr>
            <w:tcW w:w="1800" w:type="dxa"/>
          </w:tcPr>
          <w:p w14:paraId="4DD80C75" w14:textId="77777777" w:rsidR="00DA702B" w:rsidRPr="00DA702B" w:rsidRDefault="00DA702B" w:rsidP="00DA702B"/>
        </w:tc>
        <w:tc>
          <w:tcPr>
            <w:tcW w:w="1800" w:type="dxa"/>
          </w:tcPr>
          <w:p w14:paraId="7462B114" w14:textId="77777777" w:rsidR="00DA702B" w:rsidRPr="00DA702B" w:rsidRDefault="00DA702B" w:rsidP="00DA702B"/>
        </w:tc>
        <w:tc>
          <w:tcPr>
            <w:tcW w:w="1800" w:type="dxa"/>
          </w:tcPr>
          <w:p w14:paraId="09303E89" w14:textId="77777777" w:rsidR="00DA702B" w:rsidRPr="00DA702B" w:rsidRDefault="00DA702B" w:rsidP="00DA702B"/>
        </w:tc>
        <w:tc>
          <w:tcPr>
            <w:tcW w:w="1800" w:type="dxa"/>
          </w:tcPr>
          <w:p w14:paraId="1ADBC166" w14:textId="77777777" w:rsidR="00DA702B" w:rsidRPr="00DA702B" w:rsidRDefault="00DA702B" w:rsidP="00DA702B"/>
        </w:tc>
        <w:tc>
          <w:tcPr>
            <w:tcW w:w="1800" w:type="dxa"/>
          </w:tcPr>
          <w:p w14:paraId="7B971F4C" w14:textId="77777777" w:rsidR="00DA702B" w:rsidRPr="00DA702B" w:rsidRDefault="00DA702B" w:rsidP="00DA702B"/>
        </w:tc>
        <w:tc>
          <w:tcPr>
            <w:tcW w:w="1800" w:type="dxa"/>
          </w:tcPr>
          <w:p w14:paraId="6F989E1E" w14:textId="77777777" w:rsidR="00DA702B" w:rsidRPr="00DA702B" w:rsidRDefault="00DA702B" w:rsidP="00DA702B"/>
        </w:tc>
        <w:tc>
          <w:tcPr>
            <w:tcW w:w="1800" w:type="dxa"/>
          </w:tcPr>
          <w:p w14:paraId="4CF6DA50" w14:textId="77777777" w:rsidR="00DA702B" w:rsidRPr="00DA702B" w:rsidRDefault="00DA702B" w:rsidP="00DA702B"/>
        </w:tc>
        <w:tc>
          <w:tcPr>
            <w:tcW w:w="1800" w:type="dxa"/>
          </w:tcPr>
          <w:p w14:paraId="3521FAD1" w14:textId="77777777" w:rsidR="00DA702B" w:rsidRPr="00DA702B" w:rsidRDefault="00DA702B" w:rsidP="00DA702B"/>
        </w:tc>
      </w:tr>
    </w:tbl>
    <w:p w14:paraId="3525FA11" w14:textId="77777777" w:rsidR="00DA702B" w:rsidRPr="00DA702B" w:rsidRDefault="00DA702B" w:rsidP="00DA702B">
      <w:pPr>
        <w:rPr>
          <w:b/>
          <w:bCs/>
        </w:rPr>
      </w:pPr>
      <w:r w:rsidRPr="00DA702B">
        <w:br w:type="page"/>
      </w:r>
    </w:p>
    <w:p w14:paraId="0CF73ACA" w14:textId="77777777" w:rsidR="00DA702B" w:rsidRPr="00DA702B" w:rsidRDefault="00DA702B" w:rsidP="00193338">
      <w:pPr>
        <w:widowControl w:val="0"/>
        <w:jc w:val="center"/>
        <w:rPr>
          <w:rFonts w:eastAsiaTheme="majorEastAsia"/>
          <w:b/>
          <w:bCs/>
        </w:rPr>
      </w:pPr>
      <w:r w:rsidRPr="00DA702B">
        <w:rPr>
          <w:rFonts w:eastAsiaTheme="majorEastAsia"/>
          <w:b/>
          <w:bCs/>
        </w:rPr>
        <w:lastRenderedPageBreak/>
        <w:t>Boiler/Steam Generator/Steam Generating Unit Attributes</w:t>
      </w:r>
    </w:p>
    <w:p w14:paraId="03971E58" w14:textId="77777777" w:rsidR="00DA702B" w:rsidRPr="00DA702B" w:rsidRDefault="00DA702B" w:rsidP="00193338">
      <w:pPr>
        <w:widowControl w:val="0"/>
        <w:jc w:val="center"/>
        <w:rPr>
          <w:rFonts w:eastAsiaTheme="majorEastAsia"/>
          <w:b/>
          <w:bCs/>
        </w:rPr>
      </w:pPr>
      <w:r w:rsidRPr="00DA702B">
        <w:rPr>
          <w:rFonts w:eastAsiaTheme="majorEastAsia"/>
          <w:b/>
          <w:bCs/>
        </w:rPr>
        <w:t>Form OP-UA6 (Page 42)</w:t>
      </w:r>
    </w:p>
    <w:p w14:paraId="5773C9F8" w14:textId="77777777" w:rsidR="00DA702B" w:rsidRPr="00DA702B" w:rsidRDefault="00DA702B" w:rsidP="00193338">
      <w:pPr>
        <w:widowControl w:val="0"/>
        <w:jc w:val="center"/>
        <w:rPr>
          <w:rFonts w:eastAsiaTheme="majorEastAsia"/>
          <w:b/>
          <w:bCs/>
        </w:rPr>
      </w:pPr>
      <w:r w:rsidRPr="00DA702B">
        <w:rPr>
          <w:rFonts w:eastAsiaTheme="majorEastAsia"/>
          <w:b/>
          <w:bCs/>
        </w:rPr>
        <w:t>Federal Operating Permit Program</w:t>
      </w:r>
    </w:p>
    <w:p w14:paraId="10180B2F" w14:textId="77777777" w:rsidR="00DA702B" w:rsidRPr="00DA702B" w:rsidRDefault="00DA702B" w:rsidP="00193338">
      <w:pPr>
        <w:widowControl w:val="0"/>
        <w:jc w:val="center"/>
        <w:rPr>
          <w:rFonts w:eastAsiaTheme="majorEastAsia"/>
          <w:b/>
          <w:bCs/>
        </w:rPr>
      </w:pPr>
      <w:bookmarkStart w:id="204" w:name="TBL_14f"/>
      <w:r w:rsidRPr="00DA702B">
        <w:rPr>
          <w:rFonts w:eastAsiaTheme="majorEastAsia"/>
          <w:b/>
          <w:bCs/>
        </w:rPr>
        <w:t>Table 14f</w:t>
      </w:r>
      <w:bookmarkEnd w:id="204"/>
      <w:r w:rsidRPr="00DA702B">
        <w:rPr>
          <w:rFonts w:eastAsiaTheme="majorEastAsia"/>
          <w:b/>
          <w:bCs/>
        </w:rPr>
        <w:t>: Title 40 Code of Federal Regulations Part 63 (40 CFR Part 63)</w:t>
      </w:r>
    </w:p>
    <w:p w14:paraId="0571C69F" w14:textId="77777777" w:rsidR="00DA702B" w:rsidRPr="00DA702B" w:rsidRDefault="00DA702B" w:rsidP="00193338">
      <w:pPr>
        <w:widowControl w:val="0"/>
        <w:jc w:val="center"/>
        <w:rPr>
          <w:rFonts w:eastAsiaTheme="majorEastAsia"/>
          <w:b/>
          <w:bCs/>
        </w:rPr>
      </w:pPr>
      <w:r w:rsidRPr="00DA702B">
        <w:rPr>
          <w:rFonts w:eastAsiaTheme="majorEastAsia"/>
          <w:b/>
          <w:bCs/>
        </w:rPr>
        <w:t>Subpart DDDDD:  Industrial, Commercial, and Institutional Boilers</w:t>
      </w:r>
    </w:p>
    <w:p w14:paraId="78DD6C3E" w14:textId="77777777" w:rsidR="00DA702B" w:rsidRPr="00DA702B" w:rsidRDefault="00DA702B" w:rsidP="00193338">
      <w:pPr>
        <w:widowControl w:val="0"/>
        <w:jc w:val="center"/>
        <w:rPr>
          <w:b/>
          <w:bCs/>
        </w:rPr>
      </w:pPr>
      <w:r w:rsidRPr="00DA702B">
        <w:rPr>
          <w:b/>
          <w:bCs/>
        </w:rPr>
        <w:t>Texas Commission on Environmental Quality</w:t>
      </w:r>
    </w:p>
    <w:p w14:paraId="618E8659" w14:textId="77777777" w:rsidR="00DA702B" w:rsidRPr="00DA702B" w:rsidRDefault="00DA702B" w:rsidP="00DA702B">
      <w:pPr>
        <w:spacing w:before="24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f:  Title 40 Code of Federal Regulations Part 63 (40 CFR Part 63)&#10;Subpart DDDDD:  Industrial, Commercial, and Institutional Boilers&#10;"/>
      </w:tblPr>
      <w:tblGrid>
        <w:gridCol w:w="4800"/>
        <w:gridCol w:w="4800"/>
        <w:gridCol w:w="4800"/>
      </w:tblGrid>
      <w:tr w:rsidR="00DA702B" w:rsidRPr="00DA702B" w14:paraId="27998E1D" w14:textId="77777777" w:rsidTr="00247007">
        <w:trPr>
          <w:cantSplit/>
          <w:tblHeader/>
        </w:trPr>
        <w:tc>
          <w:tcPr>
            <w:tcW w:w="4800" w:type="dxa"/>
            <w:shd w:val="clear" w:color="auto" w:fill="D9D9D9" w:themeFill="background1" w:themeFillShade="D9"/>
          </w:tcPr>
          <w:p w14:paraId="33C5000A"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279F5534"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26947001"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03534C43" w14:textId="77777777" w:rsidTr="00247007">
        <w:trPr>
          <w:cantSplit/>
          <w:tblHeader/>
        </w:trPr>
        <w:tc>
          <w:tcPr>
            <w:tcW w:w="4800" w:type="dxa"/>
          </w:tcPr>
          <w:p w14:paraId="48EDA768" w14:textId="77777777" w:rsidR="00DA702B" w:rsidRPr="00DA702B" w:rsidRDefault="00DA702B" w:rsidP="00DA702B">
            <w:pPr>
              <w:rPr>
                <w:rFonts w:asciiTheme="majorHAnsi" w:hAnsiTheme="majorHAnsi" w:cstheme="majorHAnsi"/>
              </w:rPr>
            </w:pPr>
          </w:p>
        </w:tc>
        <w:tc>
          <w:tcPr>
            <w:tcW w:w="4800" w:type="dxa"/>
          </w:tcPr>
          <w:p w14:paraId="603C1573" w14:textId="77777777" w:rsidR="00DA702B" w:rsidRPr="00DA702B" w:rsidRDefault="00DA702B" w:rsidP="00DA702B">
            <w:pPr>
              <w:rPr>
                <w:rFonts w:asciiTheme="majorHAnsi" w:hAnsiTheme="majorHAnsi" w:cstheme="majorHAnsi"/>
              </w:rPr>
            </w:pPr>
          </w:p>
        </w:tc>
        <w:tc>
          <w:tcPr>
            <w:tcW w:w="4800" w:type="dxa"/>
          </w:tcPr>
          <w:p w14:paraId="7C0FC05B" w14:textId="77777777" w:rsidR="00DA702B" w:rsidRPr="00DA702B" w:rsidRDefault="00DA702B" w:rsidP="00DA702B">
            <w:pPr>
              <w:rPr>
                <w:rFonts w:asciiTheme="majorHAnsi" w:hAnsiTheme="majorHAnsi" w:cstheme="majorHAnsi"/>
              </w:rPr>
            </w:pPr>
          </w:p>
        </w:tc>
      </w:tr>
    </w:tbl>
    <w:p w14:paraId="2DA15AB7"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f: Title 40 Code of Federal Regulations Part 63 (40 CFR Part 63)&#10;Subpart DDDDD:  Industrial, Commercial, and Institutional Boilers&#10;"/>
      </w:tblPr>
      <w:tblGrid>
        <w:gridCol w:w="2880"/>
        <w:gridCol w:w="2880"/>
        <w:gridCol w:w="2880"/>
        <w:gridCol w:w="2880"/>
        <w:gridCol w:w="2880"/>
      </w:tblGrid>
      <w:tr w:rsidR="00DA702B" w:rsidRPr="00DA702B" w14:paraId="26FEE5CB" w14:textId="77777777" w:rsidTr="00247007">
        <w:trPr>
          <w:cantSplit/>
          <w:trHeight w:val="346"/>
          <w:tblHeader/>
        </w:trPr>
        <w:tc>
          <w:tcPr>
            <w:tcW w:w="2880" w:type="dxa"/>
            <w:shd w:val="clear" w:color="auto" w:fill="D9D9D9" w:themeFill="background1" w:themeFillShade="D9"/>
            <w:vAlign w:val="center"/>
          </w:tcPr>
          <w:p w14:paraId="2221F70D" w14:textId="77777777" w:rsidR="00DA702B" w:rsidRPr="00DA702B" w:rsidRDefault="00DA702B" w:rsidP="00DA702B">
            <w:pPr>
              <w:jc w:val="center"/>
            </w:pPr>
            <w:r w:rsidRPr="00DA702B">
              <w:rPr>
                <w:b/>
                <w:sz w:val="20"/>
                <w:szCs w:val="20"/>
              </w:rPr>
              <w:t>Unit ID No.</w:t>
            </w:r>
          </w:p>
        </w:tc>
        <w:tc>
          <w:tcPr>
            <w:tcW w:w="2880" w:type="dxa"/>
            <w:shd w:val="clear" w:color="auto" w:fill="D9D9D9" w:themeFill="background1" w:themeFillShade="D9"/>
            <w:vAlign w:val="center"/>
          </w:tcPr>
          <w:p w14:paraId="0C0F6CAA" w14:textId="77777777" w:rsidR="00DA702B" w:rsidRPr="00DA702B" w:rsidRDefault="00DA702B" w:rsidP="00DA702B">
            <w:pPr>
              <w:jc w:val="center"/>
            </w:pPr>
            <w:r w:rsidRPr="00DA702B">
              <w:rPr>
                <w:b/>
                <w:sz w:val="20"/>
                <w:szCs w:val="20"/>
              </w:rPr>
              <w:t>SOP/GOP Index No.</w:t>
            </w:r>
          </w:p>
        </w:tc>
        <w:tc>
          <w:tcPr>
            <w:tcW w:w="2880" w:type="dxa"/>
            <w:shd w:val="clear" w:color="auto" w:fill="D9D9D9" w:themeFill="background1" w:themeFillShade="D9"/>
            <w:vAlign w:val="center"/>
          </w:tcPr>
          <w:p w14:paraId="46C87F6A" w14:textId="77777777" w:rsidR="00DA702B" w:rsidRPr="00DA702B" w:rsidRDefault="00DA702B" w:rsidP="00DA702B">
            <w:pPr>
              <w:jc w:val="center"/>
            </w:pPr>
            <w:r w:rsidRPr="00DA702B">
              <w:rPr>
                <w:b/>
                <w:sz w:val="20"/>
                <w:szCs w:val="20"/>
              </w:rPr>
              <w:t>Opacity-CD</w:t>
            </w:r>
          </w:p>
        </w:tc>
        <w:tc>
          <w:tcPr>
            <w:tcW w:w="2880" w:type="dxa"/>
            <w:shd w:val="clear" w:color="auto" w:fill="D9D9D9" w:themeFill="background1" w:themeFillShade="D9"/>
            <w:vAlign w:val="center"/>
          </w:tcPr>
          <w:p w14:paraId="14CCCE31" w14:textId="77777777" w:rsidR="00DA702B" w:rsidRPr="00DA702B" w:rsidRDefault="00DA702B" w:rsidP="00DA702B">
            <w:pPr>
              <w:jc w:val="center"/>
            </w:pPr>
            <w:r w:rsidRPr="00DA702B">
              <w:rPr>
                <w:b/>
                <w:sz w:val="20"/>
                <w:szCs w:val="20"/>
              </w:rPr>
              <w:t>COMS</w:t>
            </w:r>
          </w:p>
        </w:tc>
        <w:tc>
          <w:tcPr>
            <w:tcW w:w="2880" w:type="dxa"/>
            <w:shd w:val="clear" w:color="auto" w:fill="D9D9D9" w:themeFill="background1" w:themeFillShade="D9"/>
            <w:vAlign w:val="center"/>
          </w:tcPr>
          <w:p w14:paraId="100EE89F" w14:textId="77777777" w:rsidR="00DA702B" w:rsidRPr="00DA702B" w:rsidRDefault="00DA702B" w:rsidP="00DA702B">
            <w:pPr>
              <w:jc w:val="center"/>
            </w:pPr>
            <w:r w:rsidRPr="00DA702B">
              <w:rPr>
                <w:b/>
                <w:sz w:val="20"/>
                <w:szCs w:val="20"/>
              </w:rPr>
              <w:t>OPT-Test</w:t>
            </w:r>
          </w:p>
        </w:tc>
      </w:tr>
      <w:tr w:rsidR="00DA702B" w:rsidRPr="00DA702B" w14:paraId="012DC3B3" w14:textId="77777777" w:rsidTr="00247007">
        <w:trPr>
          <w:cantSplit/>
          <w:trHeight w:val="346"/>
          <w:tblHeader/>
        </w:trPr>
        <w:tc>
          <w:tcPr>
            <w:tcW w:w="2880" w:type="dxa"/>
          </w:tcPr>
          <w:p w14:paraId="1BC261E8" w14:textId="77777777" w:rsidR="00DA702B" w:rsidRPr="00DA702B" w:rsidRDefault="00DA702B" w:rsidP="00DA702B"/>
        </w:tc>
        <w:tc>
          <w:tcPr>
            <w:tcW w:w="2880" w:type="dxa"/>
          </w:tcPr>
          <w:p w14:paraId="0B32CDDD" w14:textId="77777777" w:rsidR="00DA702B" w:rsidRPr="00DA702B" w:rsidRDefault="00DA702B" w:rsidP="00DA702B"/>
        </w:tc>
        <w:tc>
          <w:tcPr>
            <w:tcW w:w="2880" w:type="dxa"/>
          </w:tcPr>
          <w:p w14:paraId="37103CD3" w14:textId="77777777" w:rsidR="00DA702B" w:rsidRPr="00DA702B" w:rsidRDefault="00DA702B" w:rsidP="00DA702B"/>
        </w:tc>
        <w:tc>
          <w:tcPr>
            <w:tcW w:w="2880" w:type="dxa"/>
          </w:tcPr>
          <w:p w14:paraId="04FA4492" w14:textId="77777777" w:rsidR="00DA702B" w:rsidRPr="00DA702B" w:rsidRDefault="00DA702B" w:rsidP="00DA702B"/>
        </w:tc>
        <w:tc>
          <w:tcPr>
            <w:tcW w:w="2880" w:type="dxa"/>
          </w:tcPr>
          <w:p w14:paraId="10254752" w14:textId="77777777" w:rsidR="00DA702B" w:rsidRPr="00DA702B" w:rsidRDefault="00DA702B" w:rsidP="00DA702B"/>
        </w:tc>
      </w:tr>
      <w:tr w:rsidR="00DA702B" w:rsidRPr="00DA702B" w14:paraId="5C00FCA3" w14:textId="77777777" w:rsidTr="00247007">
        <w:trPr>
          <w:cantSplit/>
          <w:trHeight w:val="346"/>
          <w:tblHeader/>
        </w:trPr>
        <w:tc>
          <w:tcPr>
            <w:tcW w:w="2880" w:type="dxa"/>
          </w:tcPr>
          <w:p w14:paraId="53B95243" w14:textId="77777777" w:rsidR="00DA702B" w:rsidRPr="00DA702B" w:rsidRDefault="00DA702B" w:rsidP="00DA702B"/>
        </w:tc>
        <w:tc>
          <w:tcPr>
            <w:tcW w:w="2880" w:type="dxa"/>
          </w:tcPr>
          <w:p w14:paraId="0795C2F0" w14:textId="77777777" w:rsidR="00DA702B" w:rsidRPr="00DA702B" w:rsidRDefault="00DA702B" w:rsidP="00DA702B"/>
        </w:tc>
        <w:tc>
          <w:tcPr>
            <w:tcW w:w="2880" w:type="dxa"/>
          </w:tcPr>
          <w:p w14:paraId="17643407" w14:textId="77777777" w:rsidR="00DA702B" w:rsidRPr="00DA702B" w:rsidRDefault="00DA702B" w:rsidP="00DA702B"/>
        </w:tc>
        <w:tc>
          <w:tcPr>
            <w:tcW w:w="2880" w:type="dxa"/>
          </w:tcPr>
          <w:p w14:paraId="7A2CA4EA" w14:textId="77777777" w:rsidR="00DA702B" w:rsidRPr="00DA702B" w:rsidRDefault="00DA702B" w:rsidP="00DA702B"/>
        </w:tc>
        <w:tc>
          <w:tcPr>
            <w:tcW w:w="2880" w:type="dxa"/>
          </w:tcPr>
          <w:p w14:paraId="1DBFA3F0" w14:textId="77777777" w:rsidR="00DA702B" w:rsidRPr="00DA702B" w:rsidRDefault="00DA702B" w:rsidP="00DA702B"/>
        </w:tc>
      </w:tr>
      <w:tr w:rsidR="00DA702B" w:rsidRPr="00DA702B" w14:paraId="29C64953" w14:textId="77777777" w:rsidTr="00247007">
        <w:trPr>
          <w:cantSplit/>
          <w:trHeight w:val="346"/>
          <w:tblHeader/>
        </w:trPr>
        <w:tc>
          <w:tcPr>
            <w:tcW w:w="2880" w:type="dxa"/>
          </w:tcPr>
          <w:p w14:paraId="2CE8D9E0" w14:textId="77777777" w:rsidR="00DA702B" w:rsidRPr="00DA702B" w:rsidRDefault="00DA702B" w:rsidP="00DA702B"/>
        </w:tc>
        <w:tc>
          <w:tcPr>
            <w:tcW w:w="2880" w:type="dxa"/>
          </w:tcPr>
          <w:p w14:paraId="7BFB25FC" w14:textId="77777777" w:rsidR="00DA702B" w:rsidRPr="00DA702B" w:rsidRDefault="00DA702B" w:rsidP="00DA702B"/>
        </w:tc>
        <w:tc>
          <w:tcPr>
            <w:tcW w:w="2880" w:type="dxa"/>
          </w:tcPr>
          <w:p w14:paraId="6CED3CEA" w14:textId="77777777" w:rsidR="00DA702B" w:rsidRPr="00DA702B" w:rsidRDefault="00DA702B" w:rsidP="00DA702B"/>
        </w:tc>
        <w:tc>
          <w:tcPr>
            <w:tcW w:w="2880" w:type="dxa"/>
          </w:tcPr>
          <w:p w14:paraId="6446CD53" w14:textId="77777777" w:rsidR="00DA702B" w:rsidRPr="00DA702B" w:rsidRDefault="00DA702B" w:rsidP="00DA702B"/>
        </w:tc>
        <w:tc>
          <w:tcPr>
            <w:tcW w:w="2880" w:type="dxa"/>
          </w:tcPr>
          <w:p w14:paraId="0B3FCDC9" w14:textId="77777777" w:rsidR="00DA702B" w:rsidRPr="00DA702B" w:rsidRDefault="00DA702B" w:rsidP="00DA702B"/>
        </w:tc>
      </w:tr>
      <w:tr w:rsidR="00DA702B" w:rsidRPr="00DA702B" w14:paraId="5928D32B" w14:textId="77777777" w:rsidTr="00247007">
        <w:trPr>
          <w:cantSplit/>
          <w:trHeight w:val="346"/>
          <w:tblHeader/>
        </w:trPr>
        <w:tc>
          <w:tcPr>
            <w:tcW w:w="2880" w:type="dxa"/>
          </w:tcPr>
          <w:p w14:paraId="36F7BC8F" w14:textId="77777777" w:rsidR="00DA702B" w:rsidRPr="00DA702B" w:rsidRDefault="00DA702B" w:rsidP="00DA702B"/>
        </w:tc>
        <w:tc>
          <w:tcPr>
            <w:tcW w:w="2880" w:type="dxa"/>
          </w:tcPr>
          <w:p w14:paraId="590997C2" w14:textId="77777777" w:rsidR="00DA702B" w:rsidRPr="00DA702B" w:rsidRDefault="00DA702B" w:rsidP="00DA702B"/>
        </w:tc>
        <w:tc>
          <w:tcPr>
            <w:tcW w:w="2880" w:type="dxa"/>
          </w:tcPr>
          <w:p w14:paraId="600FD733" w14:textId="77777777" w:rsidR="00DA702B" w:rsidRPr="00DA702B" w:rsidRDefault="00DA702B" w:rsidP="00DA702B"/>
        </w:tc>
        <w:tc>
          <w:tcPr>
            <w:tcW w:w="2880" w:type="dxa"/>
          </w:tcPr>
          <w:p w14:paraId="5ABFA4AE" w14:textId="77777777" w:rsidR="00DA702B" w:rsidRPr="00DA702B" w:rsidRDefault="00DA702B" w:rsidP="00DA702B"/>
        </w:tc>
        <w:tc>
          <w:tcPr>
            <w:tcW w:w="2880" w:type="dxa"/>
          </w:tcPr>
          <w:p w14:paraId="051D894C" w14:textId="77777777" w:rsidR="00DA702B" w:rsidRPr="00DA702B" w:rsidRDefault="00DA702B" w:rsidP="00DA702B"/>
        </w:tc>
      </w:tr>
      <w:tr w:rsidR="00DA702B" w:rsidRPr="00DA702B" w14:paraId="3C6B1404" w14:textId="77777777" w:rsidTr="00247007">
        <w:trPr>
          <w:cantSplit/>
          <w:trHeight w:val="346"/>
          <w:tblHeader/>
        </w:trPr>
        <w:tc>
          <w:tcPr>
            <w:tcW w:w="2880" w:type="dxa"/>
          </w:tcPr>
          <w:p w14:paraId="0E39F90F" w14:textId="77777777" w:rsidR="00DA702B" w:rsidRPr="00DA702B" w:rsidRDefault="00DA702B" w:rsidP="00DA702B"/>
        </w:tc>
        <w:tc>
          <w:tcPr>
            <w:tcW w:w="2880" w:type="dxa"/>
          </w:tcPr>
          <w:p w14:paraId="61145F28" w14:textId="77777777" w:rsidR="00DA702B" w:rsidRPr="00DA702B" w:rsidRDefault="00DA702B" w:rsidP="00DA702B"/>
        </w:tc>
        <w:tc>
          <w:tcPr>
            <w:tcW w:w="2880" w:type="dxa"/>
          </w:tcPr>
          <w:p w14:paraId="65936FE6" w14:textId="77777777" w:rsidR="00DA702B" w:rsidRPr="00DA702B" w:rsidRDefault="00DA702B" w:rsidP="00DA702B"/>
        </w:tc>
        <w:tc>
          <w:tcPr>
            <w:tcW w:w="2880" w:type="dxa"/>
          </w:tcPr>
          <w:p w14:paraId="6438B9BF" w14:textId="77777777" w:rsidR="00DA702B" w:rsidRPr="00DA702B" w:rsidRDefault="00DA702B" w:rsidP="00DA702B"/>
        </w:tc>
        <w:tc>
          <w:tcPr>
            <w:tcW w:w="2880" w:type="dxa"/>
          </w:tcPr>
          <w:p w14:paraId="6F3AC381" w14:textId="77777777" w:rsidR="00DA702B" w:rsidRPr="00DA702B" w:rsidRDefault="00DA702B" w:rsidP="00DA702B"/>
        </w:tc>
      </w:tr>
      <w:tr w:rsidR="00DA702B" w:rsidRPr="00DA702B" w14:paraId="594D5A9E" w14:textId="77777777" w:rsidTr="00247007">
        <w:trPr>
          <w:cantSplit/>
          <w:trHeight w:val="346"/>
          <w:tblHeader/>
        </w:trPr>
        <w:tc>
          <w:tcPr>
            <w:tcW w:w="2880" w:type="dxa"/>
          </w:tcPr>
          <w:p w14:paraId="72EBA382" w14:textId="77777777" w:rsidR="00DA702B" w:rsidRPr="00DA702B" w:rsidRDefault="00DA702B" w:rsidP="00DA702B"/>
        </w:tc>
        <w:tc>
          <w:tcPr>
            <w:tcW w:w="2880" w:type="dxa"/>
          </w:tcPr>
          <w:p w14:paraId="54ECAC0F" w14:textId="77777777" w:rsidR="00DA702B" w:rsidRPr="00DA702B" w:rsidRDefault="00DA702B" w:rsidP="00DA702B"/>
        </w:tc>
        <w:tc>
          <w:tcPr>
            <w:tcW w:w="2880" w:type="dxa"/>
          </w:tcPr>
          <w:p w14:paraId="1691A2C7" w14:textId="77777777" w:rsidR="00DA702B" w:rsidRPr="00DA702B" w:rsidRDefault="00DA702B" w:rsidP="00DA702B"/>
        </w:tc>
        <w:tc>
          <w:tcPr>
            <w:tcW w:w="2880" w:type="dxa"/>
          </w:tcPr>
          <w:p w14:paraId="6C1E7246" w14:textId="77777777" w:rsidR="00DA702B" w:rsidRPr="00DA702B" w:rsidRDefault="00DA702B" w:rsidP="00DA702B"/>
        </w:tc>
        <w:tc>
          <w:tcPr>
            <w:tcW w:w="2880" w:type="dxa"/>
          </w:tcPr>
          <w:p w14:paraId="6712DA4B" w14:textId="77777777" w:rsidR="00DA702B" w:rsidRPr="00DA702B" w:rsidRDefault="00DA702B" w:rsidP="00DA702B"/>
        </w:tc>
      </w:tr>
      <w:tr w:rsidR="00DA702B" w:rsidRPr="00DA702B" w14:paraId="3126AF8A" w14:textId="77777777" w:rsidTr="00247007">
        <w:trPr>
          <w:cantSplit/>
          <w:trHeight w:val="346"/>
          <w:tblHeader/>
        </w:trPr>
        <w:tc>
          <w:tcPr>
            <w:tcW w:w="2880" w:type="dxa"/>
          </w:tcPr>
          <w:p w14:paraId="079A4468" w14:textId="77777777" w:rsidR="00DA702B" w:rsidRPr="00DA702B" w:rsidRDefault="00DA702B" w:rsidP="00DA702B"/>
        </w:tc>
        <w:tc>
          <w:tcPr>
            <w:tcW w:w="2880" w:type="dxa"/>
          </w:tcPr>
          <w:p w14:paraId="443EF790" w14:textId="77777777" w:rsidR="00DA702B" w:rsidRPr="00DA702B" w:rsidRDefault="00DA702B" w:rsidP="00DA702B"/>
        </w:tc>
        <w:tc>
          <w:tcPr>
            <w:tcW w:w="2880" w:type="dxa"/>
          </w:tcPr>
          <w:p w14:paraId="3EAC287A" w14:textId="77777777" w:rsidR="00DA702B" w:rsidRPr="00DA702B" w:rsidRDefault="00DA702B" w:rsidP="00DA702B"/>
        </w:tc>
        <w:tc>
          <w:tcPr>
            <w:tcW w:w="2880" w:type="dxa"/>
          </w:tcPr>
          <w:p w14:paraId="6D99B000" w14:textId="77777777" w:rsidR="00DA702B" w:rsidRPr="00DA702B" w:rsidRDefault="00DA702B" w:rsidP="00DA702B"/>
        </w:tc>
        <w:tc>
          <w:tcPr>
            <w:tcW w:w="2880" w:type="dxa"/>
          </w:tcPr>
          <w:p w14:paraId="3C01EE7B" w14:textId="77777777" w:rsidR="00DA702B" w:rsidRPr="00DA702B" w:rsidRDefault="00DA702B" w:rsidP="00DA702B"/>
        </w:tc>
      </w:tr>
      <w:tr w:rsidR="00DA702B" w:rsidRPr="00DA702B" w14:paraId="0ED06472" w14:textId="77777777" w:rsidTr="00247007">
        <w:trPr>
          <w:cantSplit/>
          <w:trHeight w:val="346"/>
          <w:tblHeader/>
        </w:trPr>
        <w:tc>
          <w:tcPr>
            <w:tcW w:w="2880" w:type="dxa"/>
          </w:tcPr>
          <w:p w14:paraId="34290638" w14:textId="77777777" w:rsidR="00DA702B" w:rsidRPr="00DA702B" w:rsidRDefault="00DA702B" w:rsidP="00DA702B"/>
        </w:tc>
        <w:tc>
          <w:tcPr>
            <w:tcW w:w="2880" w:type="dxa"/>
          </w:tcPr>
          <w:p w14:paraId="24E057F4" w14:textId="77777777" w:rsidR="00DA702B" w:rsidRPr="00DA702B" w:rsidRDefault="00DA702B" w:rsidP="00DA702B"/>
        </w:tc>
        <w:tc>
          <w:tcPr>
            <w:tcW w:w="2880" w:type="dxa"/>
          </w:tcPr>
          <w:p w14:paraId="4D9AFBAA" w14:textId="77777777" w:rsidR="00DA702B" w:rsidRPr="00DA702B" w:rsidRDefault="00DA702B" w:rsidP="00DA702B"/>
        </w:tc>
        <w:tc>
          <w:tcPr>
            <w:tcW w:w="2880" w:type="dxa"/>
          </w:tcPr>
          <w:p w14:paraId="4DB5824C" w14:textId="77777777" w:rsidR="00DA702B" w:rsidRPr="00DA702B" w:rsidRDefault="00DA702B" w:rsidP="00DA702B"/>
        </w:tc>
        <w:tc>
          <w:tcPr>
            <w:tcW w:w="2880" w:type="dxa"/>
          </w:tcPr>
          <w:p w14:paraId="475479C5" w14:textId="77777777" w:rsidR="00DA702B" w:rsidRPr="00DA702B" w:rsidRDefault="00DA702B" w:rsidP="00DA702B"/>
        </w:tc>
      </w:tr>
      <w:tr w:rsidR="00DA702B" w:rsidRPr="00DA702B" w14:paraId="71B3218C" w14:textId="77777777" w:rsidTr="00247007">
        <w:trPr>
          <w:cantSplit/>
          <w:trHeight w:val="346"/>
          <w:tblHeader/>
        </w:trPr>
        <w:tc>
          <w:tcPr>
            <w:tcW w:w="2880" w:type="dxa"/>
          </w:tcPr>
          <w:p w14:paraId="6BAA0FC6" w14:textId="77777777" w:rsidR="00DA702B" w:rsidRPr="00DA702B" w:rsidRDefault="00DA702B" w:rsidP="00DA702B"/>
        </w:tc>
        <w:tc>
          <w:tcPr>
            <w:tcW w:w="2880" w:type="dxa"/>
          </w:tcPr>
          <w:p w14:paraId="762C1F21" w14:textId="77777777" w:rsidR="00DA702B" w:rsidRPr="00DA702B" w:rsidRDefault="00DA702B" w:rsidP="00DA702B"/>
        </w:tc>
        <w:tc>
          <w:tcPr>
            <w:tcW w:w="2880" w:type="dxa"/>
          </w:tcPr>
          <w:p w14:paraId="15B32D1A" w14:textId="77777777" w:rsidR="00DA702B" w:rsidRPr="00DA702B" w:rsidRDefault="00DA702B" w:rsidP="00DA702B"/>
        </w:tc>
        <w:tc>
          <w:tcPr>
            <w:tcW w:w="2880" w:type="dxa"/>
          </w:tcPr>
          <w:p w14:paraId="15D5F885" w14:textId="77777777" w:rsidR="00DA702B" w:rsidRPr="00DA702B" w:rsidRDefault="00DA702B" w:rsidP="00DA702B"/>
        </w:tc>
        <w:tc>
          <w:tcPr>
            <w:tcW w:w="2880" w:type="dxa"/>
          </w:tcPr>
          <w:p w14:paraId="4CABB106" w14:textId="77777777" w:rsidR="00DA702B" w:rsidRPr="00DA702B" w:rsidRDefault="00DA702B" w:rsidP="00DA702B"/>
        </w:tc>
      </w:tr>
      <w:tr w:rsidR="00DA702B" w:rsidRPr="00DA702B" w14:paraId="718452EE" w14:textId="77777777" w:rsidTr="00247007">
        <w:trPr>
          <w:cantSplit/>
          <w:trHeight w:val="346"/>
          <w:tblHeader/>
        </w:trPr>
        <w:tc>
          <w:tcPr>
            <w:tcW w:w="2880" w:type="dxa"/>
          </w:tcPr>
          <w:p w14:paraId="001AE70F" w14:textId="77777777" w:rsidR="00DA702B" w:rsidRPr="00DA702B" w:rsidRDefault="00DA702B" w:rsidP="00DA702B"/>
        </w:tc>
        <w:tc>
          <w:tcPr>
            <w:tcW w:w="2880" w:type="dxa"/>
          </w:tcPr>
          <w:p w14:paraId="231ECCD8" w14:textId="77777777" w:rsidR="00DA702B" w:rsidRPr="00DA702B" w:rsidRDefault="00DA702B" w:rsidP="00DA702B"/>
        </w:tc>
        <w:tc>
          <w:tcPr>
            <w:tcW w:w="2880" w:type="dxa"/>
          </w:tcPr>
          <w:p w14:paraId="6FA53C41" w14:textId="77777777" w:rsidR="00DA702B" w:rsidRPr="00DA702B" w:rsidRDefault="00DA702B" w:rsidP="00DA702B"/>
        </w:tc>
        <w:tc>
          <w:tcPr>
            <w:tcW w:w="2880" w:type="dxa"/>
          </w:tcPr>
          <w:p w14:paraId="31058446" w14:textId="77777777" w:rsidR="00DA702B" w:rsidRPr="00DA702B" w:rsidRDefault="00DA702B" w:rsidP="00DA702B"/>
        </w:tc>
        <w:tc>
          <w:tcPr>
            <w:tcW w:w="2880" w:type="dxa"/>
          </w:tcPr>
          <w:p w14:paraId="3BB0323E" w14:textId="77777777" w:rsidR="00DA702B" w:rsidRPr="00DA702B" w:rsidRDefault="00DA702B" w:rsidP="00DA702B"/>
        </w:tc>
      </w:tr>
    </w:tbl>
    <w:p w14:paraId="33BAF84D" w14:textId="77777777" w:rsidR="00DA702B" w:rsidRPr="00DA702B" w:rsidRDefault="00DA702B" w:rsidP="00DA702B">
      <w:pPr>
        <w:rPr>
          <w:b/>
          <w:bCs/>
        </w:rPr>
      </w:pPr>
      <w:r w:rsidRPr="00DA702B">
        <w:br w:type="page"/>
      </w:r>
    </w:p>
    <w:p w14:paraId="26D467BC" w14:textId="77777777" w:rsidR="00DA702B" w:rsidRPr="00DA702B" w:rsidRDefault="00DA702B" w:rsidP="00AE51EF">
      <w:pPr>
        <w:widowControl w:val="0"/>
        <w:jc w:val="center"/>
        <w:rPr>
          <w:rFonts w:eastAsiaTheme="majorEastAsia"/>
          <w:b/>
          <w:bCs/>
        </w:rPr>
      </w:pPr>
      <w:r w:rsidRPr="00DA702B">
        <w:rPr>
          <w:rFonts w:eastAsiaTheme="majorEastAsia"/>
          <w:b/>
          <w:bCs/>
        </w:rPr>
        <w:lastRenderedPageBreak/>
        <w:t>Boiler/Steam Generator/Steam Generating Unit Attributes</w:t>
      </w:r>
    </w:p>
    <w:p w14:paraId="3D9C4EE5" w14:textId="77777777" w:rsidR="00DA702B" w:rsidRPr="00DA702B" w:rsidRDefault="00DA702B" w:rsidP="00AE51EF">
      <w:pPr>
        <w:widowControl w:val="0"/>
        <w:jc w:val="center"/>
        <w:rPr>
          <w:rFonts w:eastAsiaTheme="majorEastAsia"/>
          <w:b/>
          <w:bCs/>
        </w:rPr>
      </w:pPr>
      <w:r w:rsidRPr="00DA702B">
        <w:rPr>
          <w:rFonts w:eastAsiaTheme="majorEastAsia"/>
          <w:b/>
          <w:bCs/>
        </w:rPr>
        <w:t>Form OP-UA6 (Page 43)</w:t>
      </w:r>
    </w:p>
    <w:p w14:paraId="308B787D" w14:textId="77777777" w:rsidR="00DA702B" w:rsidRPr="00DA702B" w:rsidRDefault="00DA702B" w:rsidP="00AE51EF">
      <w:pPr>
        <w:widowControl w:val="0"/>
        <w:jc w:val="center"/>
        <w:rPr>
          <w:rFonts w:eastAsiaTheme="majorEastAsia"/>
          <w:b/>
          <w:bCs/>
        </w:rPr>
      </w:pPr>
      <w:r w:rsidRPr="00DA702B">
        <w:rPr>
          <w:rFonts w:eastAsiaTheme="majorEastAsia"/>
          <w:b/>
          <w:bCs/>
        </w:rPr>
        <w:t>Federal Operating Permit Program</w:t>
      </w:r>
    </w:p>
    <w:p w14:paraId="719A3052" w14:textId="77777777" w:rsidR="00DA702B" w:rsidRPr="00DA702B" w:rsidRDefault="00DA702B" w:rsidP="00AE51EF">
      <w:pPr>
        <w:widowControl w:val="0"/>
        <w:jc w:val="center"/>
        <w:rPr>
          <w:rFonts w:eastAsiaTheme="majorEastAsia"/>
          <w:b/>
          <w:bCs/>
        </w:rPr>
      </w:pPr>
      <w:bookmarkStart w:id="205" w:name="TBL_14g"/>
      <w:r w:rsidRPr="00DA702B">
        <w:rPr>
          <w:rFonts w:eastAsiaTheme="majorEastAsia"/>
          <w:b/>
          <w:bCs/>
        </w:rPr>
        <w:t>Table 14g</w:t>
      </w:r>
      <w:bookmarkEnd w:id="205"/>
      <w:r w:rsidRPr="00DA702B">
        <w:rPr>
          <w:rFonts w:eastAsiaTheme="majorEastAsia"/>
          <w:b/>
          <w:bCs/>
        </w:rPr>
        <w:t>: Title 40 Code of Federal Regulations Part 63 (40 CFR Part 63)</w:t>
      </w:r>
    </w:p>
    <w:p w14:paraId="433C9C9F" w14:textId="77777777" w:rsidR="00DA702B" w:rsidRPr="00DA702B" w:rsidRDefault="00DA702B" w:rsidP="00AE51EF">
      <w:pPr>
        <w:widowControl w:val="0"/>
        <w:jc w:val="center"/>
        <w:rPr>
          <w:rFonts w:eastAsiaTheme="majorEastAsia"/>
          <w:b/>
          <w:bCs/>
        </w:rPr>
      </w:pPr>
      <w:r w:rsidRPr="00DA702B">
        <w:rPr>
          <w:rFonts w:eastAsiaTheme="majorEastAsia"/>
          <w:b/>
          <w:bCs/>
        </w:rPr>
        <w:t>Subpart DDDDD:  Industrial, Commercial, and Institutional Boilers</w:t>
      </w:r>
    </w:p>
    <w:p w14:paraId="075149B8" w14:textId="77777777" w:rsidR="00DA702B" w:rsidRPr="00DA702B" w:rsidRDefault="00DA702B" w:rsidP="00AE51EF">
      <w:pPr>
        <w:widowControl w:val="0"/>
        <w:jc w:val="center"/>
        <w:rPr>
          <w:b/>
          <w:bCs/>
        </w:rPr>
      </w:pPr>
      <w:r w:rsidRPr="00DA702B">
        <w:rPr>
          <w:b/>
          <w:bCs/>
        </w:rPr>
        <w:t>Texas Commission on Environmental Quality</w:t>
      </w:r>
    </w:p>
    <w:p w14:paraId="5485D609"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4g:  Title 40 Code of Federal Regulations Part 63 (40 CFR Part 63)&#10;Subpart DDDDD:  Industrial, Commercial, and Institutional Boilers&#10;"/>
      </w:tblPr>
      <w:tblGrid>
        <w:gridCol w:w="4800"/>
        <w:gridCol w:w="4800"/>
        <w:gridCol w:w="4800"/>
      </w:tblGrid>
      <w:tr w:rsidR="00DA702B" w:rsidRPr="00DA702B" w14:paraId="6D759868" w14:textId="77777777" w:rsidTr="00247007">
        <w:trPr>
          <w:cantSplit/>
          <w:tblHeader/>
        </w:trPr>
        <w:tc>
          <w:tcPr>
            <w:tcW w:w="4800" w:type="dxa"/>
            <w:shd w:val="clear" w:color="auto" w:fill="D9D9D9" w:themeFill="background1" w:themeFillShade="D9"/>
          </w:tcPr>
          <w:p w14:paraId="2D70E7F8"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5F7FE09F"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47D91132"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216999FA" w14:textId="77777777" w:rsidTr="00247007">
        <w:trPr>
          <w:cantSplit/>
          <w:tblHeader/>
        </w:trPr>
        <w:tc>
          <w:tcPr>
            <w:tcW w:w="4800" w:type="dxa"/>
          </w:tcPr>
          <w:p w14:paraId="5364C78A" w14:textId="77777777" w:rsidR="00DA702B" w:rsidRPr="00DA702B" w:rsidRDefault="00DA702B" w:rsidP="00DA702B">
            <w:pPr>
              <w:rPr>
                <w:rFonts w:asciiTheme="majorHAnsi" w:hAnsiTheme="majorHAnsi" w:cstheme="majorHAnsi"/>
              </w:rPr>
            </w:pPr>
          </w:p>
        </w:tc>
        <w:tc>
          <w:tcPr>
            <w:tcW w:w="4800" w:type="dxa"/>
          </w:tcPr>
          <w:p w14:paraId="5C47D96A" w14:textId="77777777" w:rsidR="00DA702B" w:rsidRPr="00DA702B" w:rsidRDefault="00DA702B" w:rsidP="00DA702B">
            <w:pPr>
              <w:rPr>
                <w:rFonts w:asciiTheme="majorHAnsi" w:hAnsiTheme="majorHAnsi" w:cstheme="majorHAnsi"/>
              </w:rPr>
            </w:pPr>
          </w:p>
        </w:tc>
        <w:tc>
          <w:tcPr>
            <w:tcW w:w="4800" w:type="dxa"/>
          </w:tcPr>
          <w:p w14:paraId="4B6CA102" w14:textId="77777777" w:rsidR="00DA702B" w:rsidRPr="00DA702B" w:rsidRDefault="00DA702B" w:rsidP="00DA702B">
            <w:pPr>
              <w:rPr>
                <w:rFonts w:asciiTheme="majorHAnsi" w:hAnsiTheme="majorHAnsi" w:cstheme="majorHAnsi"/>
              </w:rPr>
            </w:pPr>
          </w:p>
        </w:tc>
      </w:tr>
    </w:tbl>
    <w:p w14:paraId="6B44D3E6"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4g: Title 40 Code of Federal Regulations Part 63 (40 CFR Part 63)&#10;Subpart DDDDD:  Industrial, Commercial, and Institutional Boilers&#10;"/>
      </w:tblPr>
      <w:tblGrid>
        <w:gridCol w:w="2399"/>
        <w:gridCol w:w="2399"/>
        <w:gridCol w:w="2400"/>
        <w:gridCol w:w="2400"/>
        <w:gridCol w:w="2401"/>
        <w:gridCol w:w="2401"/>
      </w:tblGrid>
      <w:tr w:rsidR="00DA702B" w:rsidRPr="00DA702B" w14:paraId="19D95767" w14:textId="77777777" w:rsidTr="00247007">
        <w:trPr>
          <w:cantSplit/>
          <w:trHeight w:val="346"/>
          <w:tblHeader/>
        </w:trPr>
        <w:tc>
          <w:tcPr>
            <w:tcW w:w="2399" w:type="dxa"/>
            <w:shd w:val="clear" w:color="auto" w:fill="D9D9D9" w:themeFill="background1" w:themeFillShade="D9"/>
            <w:vAlign w:val="center"/>
          </w:tcPr>
          <w:p w14:paraId="4A8214B7" w14:textId="77777777" w:rsidR="00DA702B" w:rsidRPr="00DA702B" w:rsidRDefault="00DA702B" w:rsidP="00DA702B">
            <w:pPr>
              <w:jc w:val="center"/>
              <w:rPr>
                <w:sz w:val="20"/>
                <w:szCs w:val="20"/>
              </w:rPr>
            </w:pPr>
            <w:r w:rsidRPr="00DA702B">
              <w:rPr>
                <w:b/>
                <w:sz w:val="20"/>
                <w:szCs w:val="20"/>
              </w:rPr>
              <w:t>Unit ID No.</w:t>
            </w:r>
          </w:p>
        </w:tc>
        <w:tc>
          <w:tcPr>
            <w:tcW w:w="2399" w:type="dxa"/>
            <w:shd w:val="clear" w:color="auto" w:fill="D9D9D9" w:themeFill="background1" w:themeFillShade="D9"/>
            <w:vAlign w:val="center"/>
          </w:tcPr>
          <w:p w14:paraId="7B619B8D" w14:textId="77777777" w:rsidR="00DA702B" w:rsidRPr="00DA702B" w:rsidRDefault="00DA702B" w:rsidP="00DA702B">
            <w:pPr>
              <w:jc w:val="center"/>
              <w:rPr>
                <w:sz w:val="20"/>
                <w:szCs w:val="20"/>
              </w:rPr>
            </w:pPr>
            <w:r w:rsidRPr="00DA702B">
              <w:rPr>
                <w:b/>
                <w:sz w:val="20"/>
                <w:szCs w:val="20"/>
              </w:rPr>
              <w:t>SOP/GOP Index No.</w:t>
            </w:r>
          </w:p>
        </w:tc>
        <w:tc>
          <w:tcPr>
            <w:tcW w:w="2400" w:type="dxa"/>
            <w:shd w:val="clear" w:color="auto" w:fill="D9D9D9" w:themeFill="background1" w:themeFillShade="D9"/>
            <w:vAlign w:val="center"/>
          </w:tcPr>
          <w:p w14:paraId="6A995FB7" w14:textId="77777777" w:rsidR="00DA702B" w:rsidRPr="00DA702B" w:rsidRDefault="00DA702B" w:rsidP="00DA702B">
            <w:pPr>
              <w:jc w:val="center"/>
              <w:rPr>
                <w:sz w:val="20"/>
                <w:szCs w:val="20"/>
              </w:rPr>
            </w:pPr>
            <w:r w:rsidRPr="00DA702B">
              <w:rPr>
                <w:b/>
                <w:bCs/>
                <w:sz w:val="20"/>
                <w:szCs w:val="20"/>
              </w:rPr>
              <w:t>SFF Subcategory</w:t>
            </w:r>
          </w:p>
        </w:tc>
        <w:tc>
          <w:tcPr>
            <w:tcW w:w="2400" w:type="dxa"/>
            <w:shd w:val="clear" w:color="auto" w:fill="D9D9D9" w:themeFill="background1" w:themeFillShade="D9"/>
            <w:vAlign w:val="center"/>
          </w:tcPr>
          <w:p w14:paraId="18F9D41D" w14:textId="77777777" w:rsidR="00DA702B" w:rsidRPr="00DA702B" w:rsidRDefault="00DA702B" w:rsidP="00DA702B">
            <w:pPr>
              <w:jc w:val="center"/>
              <w:rPr>
                <w:sz w:val="20"/>
                <w:szCs w:val="20"/>
              </w:rPr>
            </w:pPr>
            <w:r w:rsidRPr="00DA702B">
              <w:rPr>
                <w:b/>
                <w:bCs/>
                <w:sz w:val="20"/>
                <w:szCs w:val="20"/>
              </w:rPr>
              <w:t>CO Emission</w:t>
            </w:r>
          </w:p>
        </w:tc>
        <w:tc>
          <w:tcPr>
            <w:tcW w:w="2401" w:type="dxa"/>
            <w:shd w:val="clear" w:color="auto" w:fill="D9D9D9" w:themeFill="background1" w:themeFillShade="D9"/>
            <w:vAlign w:val="center"/>
          </w:tcPr>
          <w:p w14:paraId="434B0DD7" w14:textId="77777777" w:rsidR="00DA702B" w:rsidRPr="00DA702B" w:rsidRDefault="00DA702B" w:rsidP="00DA702B">
            <w:pPr>
              <w:jc w:val="center"/>
              <w:rPr>
                <w:sz w:val="20"/>
                <w:szCs w:val="20"/>
              </w:rPr>
            </w:pPr>
            <w:r w:rsidRPr="00DA702B">
              <w:rPr>
                <w:b/>
                <w:bCs/>
                <w:sz w:val="20"/>
                <w:szCs w:val="20"/>
              </w:rPr>
              <w:t>CO-CMS</w:t>
            </w:r>
          </w:p>
        </w:tc>
        <w:tc>
          <w:tcPr>
            <w:tcW w:w="2401" w:type="dxa"/>
            <w:shd w:val="clear" w:color="auto" w:fill="D9D9D9" w:themeFill="background1" w:themeFillShade="D9"/>
            <w:vAlign w:val="center"/>
          </w:tcPr>
          <w:p w14:paraId="315EB883" w14:textId="77777777" w:rsidR="00DA702B" w:rsidRPr="00DA702B" w:rsidRDefault="00DA702B" w:rsidP="00DA702B">
            <w:pPr>
              <w:jc w:val="center"/>
              <w:rPr>
                <w:sz w:val="20"/>
                <w:szCs w:val="20"/>
              </w:rPr>
            </w:pPr>
            <w:r w:rsidRPr="00DA702B">
              <w:rPr>
                <w:b/>
                <w:bCs/>
                <w:sz w:val="20"/>
                <w:szCs w:val="20"/>
              </w:rPr>
              <w:t>CO-Test</w:t>
            </w:r>
          </w:p>
        </w:tc>
      </w:tr>
      <w:tr w:rsidR="00DA702B" w:rsidRPr="00DA702B" w14:paraId="68C4A439" w14:textId="77777777" w:rsidTr="00247007">
        <w:trPr>
          <w:cantSplit/>
          <w:trHeight w:val="346"/>
          <w:tblHeader/>
        </w:trPr>
        <w:tc>
          <w:tcPr>
            <w:tcW w:w="2399" w:type="dxa"/>
          </w:tcPr>
          <w:p w14:paraId="41FACDC7" w14:textId="77777777" w:rsidR="00DA702B" w:rsidRPr="00DA702B" w:rsidRDefault="00DA702B" w:rsidP="00DA702B"/>
        </w:tc>
        <w:tc>
          <w:tcPr>
            <w:tcW w:w="2399" w:type="dxa"/>
          </w:tcPr>
          <w:p w14:paraId="4DB53072" w14:textId="77777777" w:rsidR="00DA702B" w:rsidRPr="00DA702B" w:rsidRDefault="00DA702B" w:rsidP="00DA702B"/>
        </w:tc>
        <w:tc>
          <w:tcPr>
            <w:tcW w:w="2400" w:type="dxa"/>
          </w:tcPr>
          <w:p w14:paraId="3B10677F" w14:textId="77777777" w:rsidR="00DA702B" w:rsidRPr="00DA702B" w:rsidRDefault="00DA702B" w:rsidP="00DA702B"/>
        </w:tc>
        <w:tc>
          <w:tcPr>
            <w:tcW w:w="2400" w:type="dxa"/>
          </w:tcPr>
          <w:p w14:paraId="7F5F440E" w14:textId="77777777" w:rsidR="00DA702B" w:rsidRPr="00DA702B" w:rsidRDefault="00DA702B" w:rsidP="00DA702B"/>
        </w:tc>
        <w:tc>
          <w:tcPr>
            <w:tcW w:w="2401" w:type="dxa"/>
          </w:tcPr>
          <w:p w14:paraId="04C2D3E3" w14:textId="77777777" w:rsidR="00DA702B" w:rsidRPr="00DA702B" w:rsidRDefault="00DA702B" w:rsidP="00DA702B"/>
        </w:tc>
        <w:tc>
          <w:tcPr>
            <w:tcW w:w="2401" w:type="dxa"/>
          </w:tcPr>
          <w:p w14:paraId="41475640" w14:textId="77777777" w:rsidR="00DA702B" w:rsidRPr="00DA702B" w:rsidRDefault="00DA702B" w:rsidP="00DA702B"/>
        </w:tc>
      </w:tr>
      <w:tr w:rsidR="00DA702B" w:rsidRPr="00DA702B" w14:paraId="5E0601A5" w14:textId="77777777" w:rsidTr="00247007">
        <w:trPr>
          <w:cantSplit/>
          <w:trHeight w:val="346"/>
          <w:tblHeader/>
        </w:trPr>
        <w:tc>
          <w:tcPr>
            <w:tcW w:w="2399" w:type="dxa"/>
          </w:tcPr>
          <w:p w14:paraId="5ADD09C7" w14:textId="77777777" w:rsidR="00DA702B" w:rsidRPr="00DA702B" w:rsidRDefault="00DA702B" w:rsidP="00DA702B"/>
        </w:tc>
        <w:tc>
          <w:tcPr>
            <w:tcW w:w="2399" w:type="dxa"/>
          </w:tcPr>
          <w:p w14:paraId="6CCD06C9" w14:textId="77777777" w:rsidR="00DA702B" w:rsidRPr="00DA702B" w:rsidRDefault="00DA702B" w:rsidP="00DA702B"/>
        </w:tc>
        <w:tc>
          <w:tcPr>
            <w:tcW w:w="2400" w:type="dxa"/>
          </w:tcPr>
          <w:p w14:paraId="108A31A7" w14:textId="77777777" w:rsidR="00DA702B" w:rsidRPr="00DA702B" w:rsidRDefault="00DA702B" w:rsidP="00DA702B"/>
        </w:tc>
        <w:tc>
          <w:tcPr>
            <w:tcW w:w="2400" w:type="dxa"/>
          </w:tcPr>
          <w:p w14:paraId="209F850C" w14:textId="77777777" w:rsidR="00DA702B" w:rsidRPr="00DA702B" w:rsidRDefault="00DA702B" w:rsidP="00DA702B"/>
        </w:tc>
        <w:tc>
          <w:tcPr>
            <w:tcW w:w="2401" w:type="dxa"/>
          </w:tcPr>
          <w:p w14:paraId="22BFEBBD" w14:textId="77777777" w:rsidR="00DA702B" w:rsidRPr="00DA702B" w:rsidRDefault="00DA702B" w:rsidP="00DA702B"/>
        </w:tc>
        <w:tc>
          <w:tcPr>
            <w:tcW w:w="2401" w:type="dxa"/>
          </w:tcPr>
          <w:p w14:paraId="37C364FD" w14:textId="77777777" w:rsidR="00DA702B" w:rsidRPr="00DA702B" w:rsidRDefault="00DA702B" w:rsidP="00DA702B"/>
        </w:tc>
      </w:tr>
      <w:tr w:rsidR="00DA702B" w:rsidRPr="00DA702B" w14:paraId="12B41BD8" w14:textId="77777777" w:rsidTr="00247007">
        <w:trPr>
          <w:cantSplit/>
          <w:trHeight w:val="346"/>
          <w:tblHeader/>
        </w:trPr>
        <w:tc>
          <w:tcPr>
            <w:tcW w:w="2399" w:type="dxa"/>
          </w:tcPr>
          <w:p w14:paraId="2779F893" w14:textId="77777777" w:rsidR="00DA702B" w:rsidRPr="00DA702B" w:rsidRDefault="00DA702B" w:rsidP="00DA702B"/>
        </w:tc>
        <w:tc>
          <w:tcPr>
            <w:tcW w:w="2399" w:type="dxa"/>
          </w:tcPr>
          <w:p w14:paraId="0D41ECE2" w14:textId="77777777" w:rsidR="00DA702B" w:rsidRPr="00DA702B" w:rsidRDefault="00DA702B" w:rsidP="00DA702B"/>
        </w:tc>
        <w:tc>
          <w:tcPr>
            <w:tcW w:w="2400" w:type="dxa"/>
          </w:tcPr>
          <w:p w14:paraId="35294689" w14:textId="77777777" w:rsidR="00DA702B" w:rsidRPr="00DA702B" w:rsidRDefault="00DA702B" w:rsidP="00DA702B"/>
        </w:tc>
        <w:tc>
          <w:tcPr>
            <w:tcW w:w="2400" w:type="dxa"/>
          </w:tcPr>
          <w:p w14:paraId="0B83C499" w14:textId="77777777" w:rsidR="00DA702B" w:rsidRPr="00DA702B" w:rsidRDefault="00DA702B" w:rsidP="00DA702B"/>
        </w:tc>
        <w:tc>
          <w:tcPr>
            <w:tcW w:w="2401" w:type="dxa"/>
          </w:tcPr>
          <w:p w14:paraId="5919D85A" w14:textId="77777777" w:rsidR="00DA702B" w:rsidRPr="00DA702B" w:rsidRDefault="00DA702B" w:rsidP="00DA702B"/>
        </w:tc>
        <w:tc>
          <w:tcPr>
            <w:tcW w:w="2401" w:type="dxa"/>
          </w:tcPr>
          <w:p w14:paraId="4F8DEC6E" w14:textId="77777777" w:rsidR="00DA702B" w:rsidRPr="00DA702B" w:rsidRDefault="00DA702B" w:rsidP="00DA702B"/>
        </w:tc>
      </w:tr>
      <w:tr w:rsidR="00DA702B" w:rsidRPr="00DA702B" w14:paraId="00810A67" w14:textId="77777777" w:rsidTr="00247007">
        <w:trPr>
          <w:cantSplit/>
          <w:trHeight w:val="346"/>
          <w:tblHeader/>
        </w:trPr>
        <w:tc>
          <w:tcPr>
            <w:tcW w:w="2399" w:type="dxa"/>
          </w:tcPr>
          <w:p w14:paraId="229CE5D1" w14:textId="77777777" w:rsidR="00DA702B" w:rsidRPr="00DA702B" w:rsidRDefault="00DA702B" w:rsidP="00DA702B"/>
        </w:tc>
        <w:tc>
          <w:tcPr>
            <w:tcW w:w="2399" w:type="dxa"/>
          </w:tcPr>
          <w:p w14:paraId="78294D2D" w14:textId="77777777" w:rsidR="00DA702B" w:rsidRPr="00DA702B" w:rsidRDefault="00DA702B" w:rsidP="00DA702B"/>
        </w:tc>
        <w:tc>
          <w:tcPr>
            <w:tcW w:w="2400" w:type="dxa"/>
          </w:tcPr>
          <w:p w14:paraId="6382B7C6" w14:textId="77777777" w:rsidR="00DA702B" w:rsidRPr="00DA702B" w:rsidRDefault="00DA702B" w:rsidP="00DA702B"/>
        </w:tc>
        <w:tc>
          <w:tcPr>
            <w:tcW w:w="2400" w:type="dxa"/>
          </w:tcPr>
          <w:p w14:paraId="28D10DA8" w14:textId="77777777" w:rsidR="00DA702B" w:rsidRPr="00DA702B" w:rsidRDefault="00DA702B" w:rsidP="00DA702B"/>
        </w:tc>
        <w:tc>
          <w:tcPr>
            <w:tcW w:w="2401" w:type="dxa"/>
          </w:tcPr>
          <w:p w14:paraId="7705C0FE" w14:textId="77777777" w:rsidR="00DA702B" w:rsidRPr="00DA702B" w:rsidRDefault="00DA702B" w:rsidP="00DA702B"/>
        </w:tc>
        <w:tc>
          <w:tcPr>
            <w:tcW w:w="2401" w:type="dxa"/>
          </w:tcPr>
          <w:p w14:paraId="32C9BDBF" w14:textId="77777777" w:rsidR="00DA702B" w:rsidRPr="00DA702B" w:rsidRDefault="00DA702B" w:rsidP="00DA702B"/>
        </w:tc>
      </w:tr>
      <w:tr w:rsidR="00DA702B" w:rsidRPr="00DA702B" w14:paraId="6B017AF5" w14:textId="77777777" w:rsidTr="00247007">
        <w:trPr>
          <w:cantSplit/>
          <w:trHeight w:val="346"/>
          <w:tblHeader/>
        </w:trPr>
        <w:tc>
          <w:tcPr>
            <w:tcW w:w="2399" w:type="dxa"/>
          </w:tcPr>
          <w:p w14:paraId="7178C5DD" w14:textId="77777777" w:rsidR="00DA702B" w:rsidRPr="00DA702B" w:rsidRDefault="00DA702B" w:rsidP="00DA702B"/>
        </w:tc>
        <w:tc>
          <w:tcPr>
            <w:tcW w:w="2399" w:type="dxa"/>
          </w:tcPr>
          <w:p w14:paraId="414BB52F" w14:textId="77777777" w:rsidR="00DA702B" w:rsidRPr="00DA702B" w:rsidRDefault="00DA702B" w:rsidP="00DA702B"/>
        </w:tc>
        <w:tc>
          <w:tcPr>
            <w:tcW w:w="2400" w:type="dxa"/>
          </w:tcPr>
          <w:p w14:paraId="1072A1DF" w14:textId="77777777" w:rsidR="00DA702B" w:rsidRPr="00DA702B" w:rsidRDefault="00DA702B" w:rsidP="00DA702B"/>
        </w:tc>
        <w:tc>
          <w:tcPr>
            <w:tcW w:w="2400" w:type="dxa"/>
          </w:tcPr>
          <w:p w14:paraId="18B89AAA" w14:textId="77777777" w:rsidR="00DA702B" w:rsidRPr="00DA702B" w:rsidRDefault="00DA702B" w:rsidP="00DA702B"/>
        </w:tc>
        <w:tc>
          <w:tcPr>
            <w:tcW w:w="2401" w:type="dxa"/>
          </w:tcPr>
          <w:p w14:paraId="7D123D80" w14:textId="77777777" w:rsidR="00DA702B" w:rsidRPr="00DA702B" w:rsidRDefault="00DA702B" w:rsidP="00DA702B"/>
        </w:tc>
        <w:tc>
          <w:tcPr>
            <w:tcW w:w="2401" w:type="dxa"/>
          </w:tcPr>
          <w:p w14:paraId="3FCE5E39" w14:textId="77777777" w:rsidR="00DA702B" w:rsidRPr="00DA702B" w:rsidRDefault="00DA702B" w:rsidP="00DA702B"/>
        </w:tc>
      </w:tr>
      <w:tr w:rsidR="00DA702B" w:rsidRPr="00DA702B" w14:paraId="677A652D" w14:textId="77777777" w:rsidTr="00247007">
        <w:trPr>
          <w:cantSplit/>
          <w:trHeight w:val="346"/>
          <w:tblHeader/>
        </w:trPr>
        <w:tc>
          <w:tcPr>
            <w:tcW w:w="2399" w:type="dxa"/>
          </w:tcPr>
          <w:p w14:paraId="32D7096F" w14:textId="77777777" w:rsidR="00DA702B" w:rsidRPr="00DA702B" w:rsidRDefault="00DA702B" w:rsidP="00DA702B"/>
        </w:tc>
        <w:tc>
          <w:tcPr>
            <w:tcW w:w="2399" w:type="dxa"/>
          </w:tcPr>
          <w:p w14:paraId="7E91A7AF" w14:textId="77777777" w:rsidR="00DA702B" w:rsidRPr="00DA702B" w:rsidRDefault="00DA702B" w:rsidP="00DA702B"/>
        </w:tc>
        <w:tc>
          <w:tcPr>
            <w:tcW w:w="2400" w:type="dxa"/>
          </w:tcPr>
          <w:p w14:paraId="34DAE5E7" w14:textId="77777777" w:rsidR="00DA702B" w:rsidRPr="00DA702B" w:rsidRDefault="00DA702B" w:rsidP="00DA702B"/>
        </w:tc>
        <w:tc>
          <w:tcPr>
            <w:tcW w:w="2400" w:type="dxa"/>
          </w:tcPr>
          <w:p w14:paraId="4CB2962D" w14:textId="77777777" w:rsidR="00DA702B" w:rsidRPr="00DA702B" w:rsidRDefault="00DA702B" w:rsidP="00DA702B"/>
        </w:tc>
        <w:tc>
          <w:tcPr>
            <w:tcW w:w="2401" w:type="dxa"/>
          </w:tcPr>
          <w:p w14:paraId="7A380C38" w14:textId="77777777" w:rsidR="00DA702B" w:rsidRPr="00DA702B" w:rsidRDefault="00DA702B" w:rsidP="00DA702B"/>
        </w:tc>
        <w:tc>
          <w:tcPr>
            <w:tcW w:w="2401" w:type="dxa"/>
          </w:tcPr>
          <w:p w14:paraId="5339B24F" w14:textId="77777777" w:rsidR="00DA702B" w:rsidRPr="00DA702B" w:rsidRDefault="00DA702B" w:rsidP="00DA702B"/>
        </w:tc>
      </w:tr>
      <w:tr w:rsidR="00DA702B" w:rsidRPr="00DA702B" w14:paraId="1A9C1BCF" w14:textId="77777777" w:rsidTr="00247007">
        <w:trPr>
          <w:cantSplit/>
          <w:trHeight w:val="346"/>
          <w:tblHeader/>
        </w:trPr>
        <w:tc>
          <w:tcPr>
            <w:tcW w:w="2399" w:type="dxa"/>
          </w:tcPr>
          <w:p w14:paraId="5D885F70" w14:textId="77777777" w:rsidR="00DA702B" w:rsidRPr="00DA702B" w:rsidRDefault="00DA702B" w:rsidP="00DA702B"/>
        </w:tc>
        <w:tc>
          <w:tcPr>
            <w:tcW w:w="2399" w:type="dxa"/>
          </w:tcPr>
          <w:p w14:paraId="53C241B3" w14:textId="77777777" w:rsidR="00DA702B" w:rsidRPr="00DA702B" w:rsidRDefault="00DA702B" w:rsidP="00DA702B"/>
        </w:tc>
        <w:tc>
          <w:tcPr>
            <w:tcW w:w="2400" w:type="dxa"/>
          </w:tcPr>
          <w:p w14:paraId="5E5F4D16" w14:textId="77777777" w:rsidR="00DA702B" w:rsidRPr="00DA702B" w:rsidRDefault="00DA702B" w:rsidP="00DA702B"/>
        </w:tc>
        <w:tc>
          <w:tcPr>
            <w:tcW w:w="2400" w:type="dxa"/>
          </w:tcPr>
          <w:p w14:paraId="091D35C3" w14:textId="77777777" w:rsidR="00DA702B" w:rsidRPr="00DA702B" w:rsidRDefault="00DA702B" w:rsidP="00DA702B"/>
        </w:tc>
        <w:tc>
          <w:tcPr>
            <w:tcW w:w="2401" w:type="dxa"/>
          </w:tcPr>
          <w:p w14:paraId="40A43B7A" w14:textId="77777777" w:rsidR="00DA702B" w:rsidRPr="00DA702B" w:rsidRDefault="00DA702B" w:rsidP="00DA702B"/>
        </w:tc>
        <w:tc>
          <w:tcPr>
            <w:tcW w:w="2401" w:type="dxa"/>
          </w:tcPr>
          <w:p w14:paraId="778A95A7" w14:textId="77777777" w:rsidR="00DA702B" w:rsidRPr="00DA702B" w:rsidRDefault="00DA702B" w:rsidP="00DA702B"/>
        </w:tc>
      </w:tr>
      <w:tr w:rsidR="00DA702B" w:rsidRPr="00DA702B" w14:paraId="0AA985E9" w14:textId="77777777" w:rsidTr="00247007">
        <w:trPr>
          <w:cantSplit/>
          <w:trHeight w:val="346"/>
          <w:tblHeader/>
        </w:trPr>
        <w:tc>
          <w:tcPr>
            <w:tcW w:w="2399" w:type="dxa"/>
          </w:tcPr>
          <w:p w14:paraId="71E39CA7" w14:textId="77777777" w:rsidR="00DA702B" w:rsidRPr="00DA702B" w:rsidRDefault="00DA702B" w:rsidP="00DA702B"/>
        </w:tc>
        <w:tc>
          <w:tcPr>
            <w:tcW w:w="2399" w:type="dxa"/>
          </w:tcPr>
          <w:p w14:paraId="43FDA54F" w14:textId="77777777" w:rsidR="00DA702B" w:rsidRPr="00DA702B" w:rsidRDefault="00DA702B" w:rsidP="00DA702B"/>
        </w:tc>
        <w:tc>
          <w:tcPr>
            <w:tcW w:w="2400" w:type="dxa"/>
          </w:tcPr>
          <w:p w14:paraId="74BB9E3D" w14:textId="77777777" w:rsidR="00DA702B" w:rsidRPr="00DA702B" w:rsidRDefault="00DA702B" w:rsidP="00DA702B"/>
        </w:tc>
        <w:tc>
          <w:tcPr>
            <w:tcW w:w="2400" w:type="dxa"/>
          </w:tcPr>
          <w:p w14:paraId="5CB2827E" w14:textId="77777777" w:rsidR="00DA702B" w:rsidRPr="00DA702B" w:rsidRDefault="00DA702B" w:rsidP="00DA702B"/>
        </w:tc>
        <w:tc>
          <w:tcPr>
            <w:tcW w:w="2401" w:type="dxa"/>
          </w:tcPr>
          <w:p w14:paraId="47451130" w14:textId="77777777" w:rsidR="00DA702B" w:rsidRPr="00DA702B" w:rsidRDefault="00DA702B" w:rsidP="00DA702B"/>
        </w:tc>
        <w:tc>
          <w:tcPr>
            <w:tcW w:w="2401" w:type="dxa"/>
          </w:tcPr>
          <w:p w14:paraId="3FB12A1E" w14:textId="77777777" w:rsidR="00DA702B" w:rsidRPr="00DA702B" w:rsidRDefault="00DA702B" w:rsidP="00DA702B"/>
        </w:tc>
      </w:tr>
      <w:tr w:rsidR="00DA702B" w:rsidRPr="00DA702B" w14:paraId="3114694A" w14:textId="77777777" w:rsidTr="00247007">
        <w:trPr>
          <w:cantSplit/>
          <w:trHeight w:val="346"/>
          <w:tblHeader/>
        </w:trPr>
        <w:tc>
          <w:tcPr>
            <w:tcW w:w="2399" w:type="dxa"/>
          </w:tcPr>
          <w:p w14:paraId="2482FA49" w14:textId="77777777" w:rsidR="00DA702B" w:rsidRPr="00DA702B" w:rsidRDefault="00DA702B" w:rsidP="00DA702B"/>
        </w:tc>
        <w:tc>
          <w:tcPr>
            <w:tcW w:w="2399" w:type="dxa"/>
          </w:tcPr>
          <w:p w14:paraId="4FC896AA" w14:textId="77777777" w:rsidR="00DA702B" w:rsidRPr="00DA702B" w:rsidRDefault="00DA702B" w:rsidP="00DA702B"/>
        </w:tc>
        <w:tc>
          <w:tcPr>
            <w:tcW w:w="2400" w:type="dxa"/>
          </w:tcPr>
          <w:p w14:paraId="5D48D0EC" w14:textId="77777777" w:rsidR="00DA702B" w:rsidRPr="00DA702B" w:rsidRDefault="00DA702B" w:rsidP="00DA702B"/>
        </w:tc>
        <w:tc>
          <w:tcPr>
            <w:tcW w:w="2400" w:type="dxa"/>
          </w:tcPr>
          <w:p w14:paraId="4D83CD6B" w14:textId="77777777" w:rsidR="00DA702B" w:rsidRPr="00DA702B" w:rsidRDefault="00DA702B" w:rsidP="00DA702B"/>
        </w:tc>
        <w:tc>
          <w:tcPr>
            <w:tcW w:w="2401" w:type="dxa"/>
          </w:tcPr>
          <w:p w14:paraId="546C59FC" w14:textId="77777777" w:rsidR="00DA702B" w:rsidRPr="00DA702B" w:rsidRDefault="00DA702B" w:rsidP="00DA702B"/>
        </w:tc>
        <w:tc>
          <w:tcPr>
            <w:tcW w:w="2401" w:type="dxa"/>
          </w:tcPr>
          <w:p w14:paraId="5BC509C3" w14:textId="77777777" w:rsidR="00DA702B" w:rsidRPr="00DA702B" w:rsidRDefault="00DA702B" w:rsidP="00DA702B"/>
        </w:tc>
      </w:tr>
      <w:tr w:rsidR="00DA702B" w:rsidRPr="00DA702B" w14:paraId="475A1DE3" w14:textId="77777777" w:rsidTr="00247007">
        <w:trPr>
          <w:cantSplit/>
          <w:trHeight w:val="346"/>
          <w:tblHeader/>
        </w:trPr>
        <w:tc>
          <w:tcPr>
            <w:tcW w:w="2399" w:type="dxa"/>
          </w:tcPr>
          <w:p w14:paraId="7718017D" w14:textId="77777777" w:rsidR="00DA702B" w:rsidRPr="00DA702B" w:rsidRDefault="00DA702B" w:rsidP="00DA702B"/>
        </w:tc>
        <w:tc>
          <w:tcPr>
            <w:tcW w:w="2399" w:type="dxa"/>
          </w:tcPr>
          <w:p w14:paraId="6EFE0ECB" w14:textId="77777777" w:rsidR="00DA702B" w:rsidRPr="00DA702B" w:rsidRDefault="00DA702B" w:rsidP="00DA702B"/>
        </w:tc>
        <w:tc>
          <w:tcPr>
            <w:tcW w:w="2400" w:type="dxa"/>
          </w:tcPr>
          <w:p w14:paraId="238A81A7" w14:textId="77777777" w:rsidR="00DA702B" w:rsidRPr="00DA702B" w:rsidRDefault="00DA702B" w:rsidP="00DA702B"/>
        </w:tc>
        <w:tc>
          <w:tcPr>
            <w:tcW w:w="2400" w:type="dxa"/>
          </w:tcPr>
          <w:p w14:paraId="139C998B" w14:textId="77777777" w:rsidR="00DA702B" w:rsidRPr="00DA702B" w:rsidRDefault="00DA702B" w:rsidP="00DA702B"/>
        </w:tc>
        <w:tc>
          <w:tcPr>
            <w:tcW w:w="2401" w:type="dxa"/>
          </w:tcPr>
          <w:p w14:paraId="79BB33F9" w14:textId="77777777" w:rsidR="00DA702B" w:rsidRPr="00DA702B" w:rsidRDefault="00DA702B" w:rsidP="00DA702B"/>
        </w:tc>
        <w:tc>
          <w:tcPr>
            <w:tcW w:w="2401" w:type="dxa"/>
          </w:tcPr>
          <w:p w14:paraId="1DC5C66E" w14:textId="77777777" w:rsidR="00DA702B" w:rsidRPr="00DA702B" w:rsidRDefault="00DA702B" w:rsidP="00DA702B"/>
        </w:tc>
      </w:tr>
    </w:tbl>
    <w:p w14:paraId="1F87D528" w14:textId="77777777" w:rsidR="00DA702B" w:rsidRPr="00DA702B" w:rsidRDefault="00DA702B" w:rsidP="00DA702B">
      <w:pPr>
        <w:rPr>
          <w:sz w:val="20"/>
          <w:szCs w:val="20"/>
        </w:rPr>
      </w:pPr>
      <w:r w:rsidRPr="00DA702B">
        <w:rPr>
          <w:sz w:val="20"/>
          <w:szCs w:val="20"/>
        </w:rPr>
        <w:br w:type="page"/>
      </w:r>
    </w:p>
    <w:p w14:paraId="39093001" w14:textId="77777777" w:rsidR="00DA702B" w:rsidRPr="00DA702B" w:rsidRDefault="00DA702B" w:rsidP="00086050">
      <w:pPr>
        <w:widowControl w:val="0"/>
        <w:jc w:val="center"/>
        <w:rPr>
          <w:rFonts w:eastAsiaTheme="majorEastAsia"/>
          <w:b/>
          <w:bCs/>
        </w:rPr>
      </w:pPr>
      <w:r w:rsidRPr="00DA702B">
        <w:rPr>
          <w:rFonts w:eastAsiaTheme="majorEastAsia"/>
          <w:b/>
          <w:bCs/>
        </w:rPr>
        <w:lastRenderedPageBreak/>
        <w:t>Boiler/Steam Generator/Steam Generating Unit Attributes</w:t>
      </w:r>
    </w:p>
    <w:p w14:paraId="3083735A" w14:textId="77777777" w:rsidR="00DA702B" w:rsidRPr="00DA702B" w:rsidRDefault="00DA702B" w:rsidP="00086050">
      <w:pPr>
        <w:widowControl w:val="0"/>
        <w:jc w:val="center"/>
        <w:rPr>
          <w:rFonts w:eastAsiaTheme="majorEastAsia"/>
          <w:b/>
          <w:bCs/>
        </w:rPr>
      </w:pPr>
      <w:r w:rsidRPr="00DA702B">
        <w:rPr>
          <w:rFonts w:eastAsiaTheme="majorEastAsia"/>
          <w:b/>
          <w:bCs/>
        </w:rPr>
        <w:t>Form OP-UA6 (Page 44)</w:t>
      </w:r>
    </w:p>
    <w:p w14:paraId="3DED0722" w14:textId="77777777" w:rsidR="00DA702B" w:rsidRPr="00DA702B" w:rsidRDefault="00DA702B" w:rsidP="00086050">
      <w:pPr>
        <w:widowControl w:val="0"/>
        <w:jc w:val="center"/>
        <w:rPr>
          <w:rFonts w:eastAsiaTheme="majorEastAsia"/>
          <w:b/>
          <w:bCs/>
        </w:rPr>
      </w:pPr>
      <w:r w:rsidRPr="00DA702B">
        <w:rPr>
          <w:rFonts w:eastAsiaTheme="majorEastAsia"/>
          <w:b/>
          <w:bCs/>
        </w:rPr>
        <w:t>Federal Operating Permit Program</w:t>
      </w:r>
    </w:p>
    <w:p w14:paraId="4937691C" w14:textId="77777777" w:rsidR="00DA702B" w:rsidRPr="00DA702B" w:rsidRDefault="00DA702B" w:rsidP="00086050">
      <w:pPr>
        <w:widowControl w:val="0"/>
        <w:jc w:val="center"/>
        <w:rPr>
          <w:rFonts w:eastAsiaTheme="majorEastAsia"/>
          <w:b/>
          <w:bCs/>
        </w:rPr>
      </w:pPr>
      <w:bookmarkStart w:id="206" w:name="TBL_15a"/>
      <w:r w:rsidRPr="00DA702B">
        <w:rPr>
          <w:rFonts w:eastAsiaTheme="majorEastAsia"/>
          <w:b/>
          <w:bCs/>
        </w:rPr>
        <w:t>Table 15a</w:t>
      </w:r>
      <w:bookmarkEnd w:id="206"/>
      <w:r w:rsidRPr="00DA702B">
        <w:rPr>
          <w:rFonts w:eastAsiaTheme="majorEastAsia"/>
          <w:b/>
          <w:bCs/>
        </w:rPr>
        <w:t>: Title 40 Code of Federal Regulations Part 60 (40 CFR Part 60)</w:t>
      </w:r>
    </w:p>
    <w:p w14:paraId="6DC83521" w14:textId="77777777" w:rsidR="00DA702B" w:rsidRPr="00DA702B" w:rsidRDefault="00DA702B" w:rsidP="00086050">
      <w:pPr>
        <w:widowControl w:val="0"/>
        <w:jc w:val="center"/>
        <w:rPr>
          <w:rFonts w:eastAsiaTheme="majorEastAsia"/>
          <w:b/>
          <w:bCs/>
        </w:rPr>
      </w:pPr>
      <w:r w:rsidRPr="00DA702B">
        <w:rPr>
          <w:rFonts w:eastAsiaTheme="majorEastAsia"/>
          <w:b/>
          <w:bCs/>
        </w:rPr>
        <w:t>Subpart TTTT:  Standards of Performance for Greenhouse Gas Emissions for Electric Utility Generating Units</w:t>
      </w:r>
    </w:p>
    <w:p w14:paraId="34AB2AA6" w14:textId="77777777" w:rsidR="00DA702B" w:rsidRPr="00DA702B" w:rsidRDefault="00DA702B" w:rsidP="00086050">
      <w:pPr>
        <w:widowControl w:val="0"/>
        <w:jc w:val="center"/>
        <w:rPr>
          <w:rFonts w:eastAsiaTheme="majorEastAsia"/>
          <w:b/>
          <w:bCs/>
        </w:rPr>
      </w:pPr>
      <w:r w:rsidRPr="00DA702B">
        <w:rPr>
          <w:rFonts w:eastAsiaTheme="majorEastAsia"/>
          <w:b/>
          <w:bCs/>
        </w:rPr>
        <w:t>Texas Commission on Environmental Quality</w:t>
      </w:r>
    </w:p>
    <w:p w14:paraId="258FFF4B" w14:textId="77777777" w:rsidR="00DA702B" w:rsidRPr="00DA702B" w:rsidRDefault="00DA702B" w:rsidP="00DA702B">
      <w:pPr>
        <w:spacing w:before="36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5a: Title 40 Code of Federal Regulations Part 60 (40 CFR Part 60)&#10;Subpart TTTT:  Standards of Performance for Greenhouse Gas Emissions for Electric Utility Generating Units&#10;"/>
      </w:tblPr>
      <w:tblGrid>
        <w:gridCol w:w="4800"/>
        <w:gridCol w:w="4800"/>
        <w:gridCol w:w="4800"/>
      </w:tblGrid>
      <w:tr w:rsidR="00DA702B" w:rsidRPr="00DA702B" w14:paraId="5ED76167" w14:textId="77777777" w:rsidTr="00247007">
        <w:trPr>
          <w:cantSplit/>
          <w:tblHeader/>
        </w:trPr>
        <w:tc>
          <w:tcPr>
            <w:tcW w:w="4800" w:type="dxa"/>
            <w:shd w:val="clear" w:color="auto" w:fill="D9D9D9" w:themeFill="background1" w:themeFillShade="D9"/>
          </w:tcPr>
          <w:p w14:paraId="2041A3AF"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11313656"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27FE38D7"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2D724335" w14:textId="77777777" w:rsidTr="00247007">
        <w:trPr>
          <w:cantSplit/>
          <w:tblHeader/>
        </w:trPr>
        <w:tc>
          <w:tcPr>
            <w:tcW w:w="4800" w:type="dxa"/>
          </w:tcPr>
          <w:p w14:paraId="07C08955" w14:textId="77777777" w:rsidR="00DA702B" w:rsidRPr="00DA702B" w:rsidRDefault="00DA702B" w:rsidP="00DA702B">
            <w:pPr>
              <w:rPr>
                <w:rFonts w:asciiTheme="majorHAnsi" w:hAnsiTheme="majorHAnsi" w:cstheme="majorHAnsi"/>
              </w:rPr>
            </w:pPr>
          </w:p>
        </w:tc>
        <w:tc>
          <w:tcPr>
            <w:tcW w:w="4800" w:type="dxa"/>
          </w:tcPr>
          <w:p w14:paraId="00613E5A" w14:textId="77777777" w:rsidR="00DA702B" w:rsidRPr="00DA702B" w:rsidRDefault="00DA702B" w:rsidP="00DA702B">
            <w:pPr>
              <w:rPr>
                <w:rFonts w:asciiTheme="majorHAnsi" w:hAnsiTheme="majorHAnsi" w:cstheme="majorHAnsi"/>
              </w:rPr>
            </w:pPr>
          </w:p>
        </w:tc>
        <w:tc>
          <w:tcPr>
            <w:tcW w:w="4800" w:type="dxa"/>
          </w:tcPr>
          <w:p w14:paraId="2DA1A636" w14:textId="77777777" w:rsidR="00DA702B" w:rsidRPr="00DA702B" w:rsidRDefault="00DA702B" w:rsidP="00DA702B">
            <w:pPr>
              <w:rPr>
                <w:rFonts w:asciiTheme="majorHAnsi" w:hAnsiTheme="majorHAnsi" w:cstheme="majorHAnsi"/>
              </w:rPr>
            </w:pPr>
          </w:p>
        </w:tc>
      </w:tr>
    </w:tbl>
    <w:p w14:paraId="13890519"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able 15a: Title 40 Code of Federal Regulations Part 60 (40 CFR Part 60)&#10;Subpart TTTT:  Standards of Performance for Greenhouse Gas Emissions for Electric Utility Generating Units&#10;"/>
      </w:tblPr>
      <w:tblGrid>
        <w:gridCol w:w="1800"/>
        <w:gridCol w:w="1800"/>
        <w:gridCol w:w="1327"/>
        <w:gridCol w:w="2430"/>
        <w:gridCol w:w="1643"/>
        <w:gridCol w:w="1800"/>
        <w:gridCol w:w="1800"/>
        <w:gridCol w:w="1800"/>
      </w:tblGrid>
      <w:tr w:rsidR="00DA702B" w:rsidRPr="00DA702B" w14:paraId="2CA0F232" w14:textId="77777777" w:rsidTr="00247007">
        <w:trPr>
          <w:cantSplit/>
          <w:trHeight w:val="346"/>
          <w:tblHeader/>
        </w:trPr>
        <w:tc>
          <w:tcPr>
            <w:tcW w:w="1800" w:type="dxa"/>
            <w:shd w:val="clear" w:color="auto" w:fill="D9D9D9" w:themeFill="background1" w:themeFillShade="D9"/>
            <w:vAlign w:val="center"/>
          </w:tcPr>
          <w:p w14:paraId="0A955671" w14:textId="77777777" w:rsidR="00DA702B" w:rsidRPr="00DA702B" w:rsidRDefault="00DA702B" w:rsidP="00DA702B">
            <w:pPr>
              <w:jc w:val="center"/>
            </w:pPr>
            <w:r w:rsidRPr="00DA702B">
              <w:rPr>
                <w:b/>
                <w:sz w:val="20"/>
                <w:szCs w:val="20"/>
              </w:rPr>
              <w:t>Unit ID No.</w:t>
            </w:r>
          </w:p>
        </w:tc>
        <w:tc>
          <w:tcPr>
            <w:tcW w:w="1800" w:type="dxa"/>
            <w:shd w:val="clear" w:color="auto" w:fill="D9D9D9" w:themeFill="background1" w:themeFillShade="D9"/>
            <w:vAlign w:val="center"/>
          </w:tcPr>
          <w:p w14:paraId="1E21F609" w14:textId="77777777" w:rsidR="00DA702B" w:rsidRPr="00DA702B" w:rsidRDefault="00DA702B" w:rsidP="00DA702B">
            <w:pPr>
              <w:jc w:val="center"/>
            </w:pPr>
            <w:r w:rsidRPr="00DA702B">
              <w:rPr>
                <w:b/>
                <w:sz w:val="20"/>
                <w:szCs w:val="20"/>
              </w:rPr>
              <w:t>SOP Index No.</w:t>
            </w:r>
          </w:p>
        </w:tc>
        <w:tc>
          <w:tcPr>
            <w:tcW w:w="1327" w:type="dxa"/>
            <w:shd w:val="clear" w:color="auto" w:fill="D9D9D9" w:themeFill="background1" w:themeFillShade="D9"/>
            <w:vAlign w:val="center"/>
          </w:tcPr>
          <w:p w14:paraId="17E8679A" w14:textId="77777777" w:rsidR="00DA702B" w:rsidRPr="00DA702B" w:rsidRDefault="00DA702B" w:rsidP="00DA702B">
            <w:pPr>
              <w:jc w:val="center"/>
            </w:pPr>
            <w:r w:rsidRPr="00DA702B">
              <w:rPr>
                <w:b/>
                <w:bCs/>
                <w:sz w:val="20"/>
                <w:szCs w:val="20"/>
              </w:rPr>
              <w:t>Unit Type</w:t>
            </w:r>
          </w:p>
        </w:tc>
        <w:tc>
          <w:tcPr>
            <w:tcW w:w="2430" w:type="dxa"/>
            <w:shd w:val="clear" w:color="auto" w:fill="D9D9D9" w:themeFill="background1" w:themeFillShade="D9"/>
            <w:vAlign w:val="center"/>
          </w:tcPr>
          <w:p w14:paraId="49DB387D" w14:textId="77777777" w:rsidR="00DA702B" w:rsidRPr="00DA702B" w:rsidRDefault="00DA702B" w:rsidP="00DA702B">
            <w:pPr>
              <w:jc w:val="center"/>
            </w:pPr>
            <w:r w:rsidRPr="00DA702B">
              <w:rPr>
                <w:b/>
                <w:bCs/>
                <w:sz w:val="20"/>
                <w:szCs w:val="20"/>
              </w:rPr>
              <w:t>Construction/Modification Date</w:t>
            </w:r>
          </w:p>
        </w:tc>
        <w:tc>
          <w:tcPr>
            <w:tcW w:w="1643" w:type="dxa"/>
            <w:shd w:val="clear" w:color="auto" w:fill="D9D9D9" w:themeFill="background1" w:themeFillShade="D9"/>
            <w:vAlign w:val="center"/>
          </w:tcPr>
          <w:p w14:paraId="7A13006D" w14:textId="77777777" w:rsidR="00DA702B" w:rsidRPr="00DA702B" w:rsidRDefault="00DA702B" w:rsidP="00DA702B">
            <w:pPr>
              <w:jc w:val="center"/>
            </w:pPr>
            <w:r w:rsidRPr="00DA702B">
              <w:rPr>
                <w:b/>
                <w:bCs/>
                <w:sz w:val="20"/>
                <w:szCs w:val="20"/>
              </w:rPr>
              <w:t>Base Load Rating</w:t>
            </w:r>
          </w:p>
        </w:tc>
        <w:tc>
          <w:tcPr>
            <w:tcW w:w="1800" w:type="dxa"/>
            <w:shd w:val="clear" w:color="auto" w:fill="D9D9D9" w:themeFill="background1" w:themeFillShade="D9"/>
            <w:vAlign w:val="center"/>
          </w:tcPr>
          <w:p w14:paraId="460460D0" w14:textId="77777777" w:rsidR="00DA702B" w:rsidRPr="00DA702B" w:rsidRDefault="00DA702B" w:rsidP="00DA702B">
            <w:pPr>
              <w:jc w:val="center"/>
            </w:pPr>
            <w:r w:rsidRPr="00DA702B">
              <w:rPr>
                <w:b/>
                <w:bCs/>
                <w:sz w:val="20"/>
                <w:szCs w:val="20"/>
              </w:rPr>
              <w:t>Commercial Operation Date</w:t>
            </w:r>
          </w:p>
        </w:tc>
        <w:tc>
          <w:tcPr>
            <w:tcW w:w="1800" w:type="dxa"/>
            <w:shd w:val="clear" w:color="auto" w:fill="D9D9D9" w:themeFill="background1" w:themeFillShade="D9"/>
            <w:vAlign w:val="center"/>
          </w:tcPr>
          <w:p w14:paraId="3102F849" w14:textId="77777777" w:rsidR="00DA702B" w:rsidRPr="00DA702B" w:rsidRDefault="00DA702B" w:rsidP="00DA702B">
            <w:pPr>
              <w:jc w:val="center"/>
            </w:pPr>
            <w:r w:rsidRPr="00DA702B">
              <w:rPr>
                <w:b/>
                <w:bCs/>
                <w:sz w:val="20"/>
                <w:szCs w:val="20"/>
              </w:rPr>
              <w:t>Emissions Reporting Date</w:t>
            </w:r>
          </w:p>
        </w:tc>
        <w:tc>
          <w:tcPr>
            <w:tcW w:w="1800" w:type="dxa"/>
            <w:shd w:val="clear" w:color="auto" w:fill="D9D9D9" w:themeFill="background1" w:themeFillShade="D9"/>
            <w:vAlign w:val="center"/>
          </w:tcPr>
          <w:p w14:paraId="59FBD180" w14:textId="77777777" w:rsidR="00DA702B" w:rsidRPr="00DA702B" w:rsidRDefault="00DA702B" w:rsidP="00DA702B">
            <w:pPr>
              <w:jc w:val="center"/>
            </w:pPr>
            <w:r w:rsidRPr="00DA702B">
              <w:rPr>
                <w:b/>
                <w:bCs/>
                <w:sz w:val="20"/>
                <w:szCs w:val="20"/>
              </w:rPr>
              <w:t>Acid Rain Program</w:t>
            </w:r>
          </w:p>
        </w:tc>
      </w:tr>
      <w:tr w:rsidR="00DA702B" w:rsidRPr="00DA702B" w14:paraId="134F3C44" w14:textId="77777777" w:rsidTr="00247007">
        <w:trPr>
          <w:cantSplit/>
          <w:trHeight w:val="346"/>
          <w:tblHeader/>
        </w:trPr>
        <w:tc>
          <w:tcPr>
            <w:tcW w:w="1800" w:type="dxa"/>
          </w:tcPr>
          <w:p w14:paraId="357821B6" w14:textId="77777777" w:rsidR="00DA702B" w:rsidRPr="00DA702B" w:rsidRDefault="00DA702B" w:rsidP="00DA702B"/>
        </w:tc>
        <w:tc>
          <w:tcPr>
            <w:tcW w:w="1800" w:type="dxa"/>
          </w:tcPr>
          <w:p w14:paraId="5CB209C6" w14:textId="77777777" w:rsidR="00DA702B" w:rsidRPr="00DA702B" w:rsidRDefault="00DA702B" w:rsidP="00DA702B"/>
        </w:tc>
        <w:tc>
          <w:tcPr>
            <w:tcW w:w="1327" w:type="dxa"/>
          </w:tcPr>
          <w:p w14:paraId="352DD5C9" w14:textId="77777777" w:rsidR="00DA702B" w:rsidRPr="00DA702B" w:rsidRDefault="00DA702B" w:rsidP="00DA702B"/>
        </w:tc>
        <w:tc>
          <w:tcPr>
            <w:tcW w:w="2430" w:type="dxa"/>
          </w:tcPr>
          <w:p w14:paraId="3A6F463A" w14:textId="77777777" w:rsidR="00DA702B" w:rsidRPr="00DA702B" w:rsidRDefault="00DA702B" w:rsidP="00DA702B"/>
        </w:tc>
        <w:tc>
          <w:tcPr>
            <w:tcW w:w="1643" w:type="dxa"/>
          </w:tcPr>
          <w:p w14:paraId="59E6007A" w14:textId="77777777" w:rsidR="00DA702B" w:rsidRPr="00DA702B" w:rsidRDefault="00DA702B" w:rsidP="00DA702B"/>
        </w:tc>
        <w:tc>
          <w:tcPr>
            <w:tcW w:w="1800" w:type="dxa"/>
          </w:tcPr>
          <w:p w14:paraId="67AD2741" w14:textId="77777777" w:rsidR="00DA702B" w:rsidRPr="00DA702B" w:rsidRDefault="00DA702B" w:rsidP="00DA702B"/>
        </w:tc>
        <w:tc>
          <w:tcPr>
            <w:tcW w:w="1800" w:type="dxa"/>
          </w:tcPr>
          <w:p w14:paraId="78C7C7C5" w14:textId="77777777" w:rsidR="00DA702B" w:rsidRPr="00DA702B" w:rsidRDefault="00DA702B" w:rsidP="00DA702B"/>
        </w:tc>
        <w:tc>
          <w:tcPr>
            <w:tcW w:w="1800" w:type="dxa"/>
          </w:tcPr>
          <w:p w14:paraId="2347C4A2" w14:textId="77777777" w:rsidR="00DA702B" w:rsidRPr="00DA702B" w:rsidRDefault="00DA702B" w:rsidP="00DA702B"/>
        </w:tc>
      </w:tr>
      <w:tr w:rsidR="00DA702B" w:rsidRPr="00DA702B" w14:paraId="1D98641F" w14:textId="77777777" w:rsidTr="00247007">
        <w:trPr>
          <w:cantSplit/>
          <w:trHeight w:val="346"/>
          <w:tblHeader/>
        </w:trPr>
        <w:tc>
          <w:tcPr>
            <w:tcW w:w="1800" w:type="dxa"/>
          </w:tcPr>
          <w:p w14:paraId="61C7C622" w14:textId="77777777" w:rsidR="00DA702B" w:rsidRPr="00DA702B" w:rsidRDefault="00DA702B" w:rsidP="00DA702B"/>
        </w:tc>
        <w:tc>
          <w:tcPr>
            <w:tcW w:w="1800" w:type="dxa"/>
          </w:tcPr>
          <w:p w14:paraId="4808E07D" w14:textId="77777777" w:rsidR="00DA702B" w:rsidRPr="00DA702B" w:rsidRDefault="00DA702B" w:rsidP="00DA702B"/>
        </w:tc>
        <w:tc>
          <w:tcPr>
            <w:tcW w:w="1327" w:type="dxa"/>
          </w:tcPr>
          <w:p w14:paraId="179908F5" w14:textId="77777777" w:rsidR="00DA702B" w:rsidRPr="00DA702B" w:rsidRDefault="00DA702B" w:rsidP="00DA702B"/>
        </w:tc>
        <w:tc>
          <w:tcPr>
            <w:tcW w:w="2430" w:type="dxa"/>
          </w:tcPr>
          <w:p w14:paraId="64F967E8" w14:textId="77777777" w:rsidR="00DA702B" w:rsidRPr="00DA702B" w:rsidRDefault="00DA702B" w:rsidP="00DA702B"/>
        </w:tc>
        <w:tc>
          <w:tcPr>
            <w:tcW w:w="1643" w:type="dxa"/>
          </w:tcPr>
          <w:p w14:paraId="4F14255E" w14:textId="77777777" w:rsidR="00DA702B" w:rsidRPr="00DA702B" w:rsidRDefault="00DA702B" w:rsidP="00DA702B"/>
        </w:tc>
        <w:tc>
          <w:tcPr>
            <w:tcW w:w="1800" w:type="dxa"/>
          </w:tcPr>
          <w:p w14:paraId="52EA6B2D" w14:textId="77777777" w:rsidR="00DA702B" w:rsidRPr="00DA702B" w:rsidRDefault="00DA702B" w:rsidP="00DA702B"/>
        </w:tc>
        <w:tc>
          <w:tcPr>
            <w:tcW w:w="1800" w:type="dxa"/>
          </w:tcPr>
          <w:p w14:paraId="061E89FF" w14:textId="77777777" w:rsidR="00DA702B" w:rsidRPr="00DA702B" w:rsidRDefault="00DA702B" w:rsidP="00DA702B"/>
        </w:tc>
        <w:tc>
          <w:tcPr>
            <w:tcW w:w="1800" w:type="dxa"/>
          </w:tcPr>
          <w:p w14:paraId="5CA0BDA6" w14:textId="77777777" w:rsidR="00DA702B" w:rsidRPr="00DA702B" w:rsidRDefault="00DA702B" w:rsidP="00DA702B"/>
        </w:tc>
      </w:tr>
      <w:tr w:rsidR="00DA702B" w:rsidRPr="00DA702B" w14:paraId="400E983B" w14:textId="77777777" w:rsidTr="00247007">
        <w:trPr>
          <w:cantSplit/>
          <w:trHeight w:val="346"/>
          <w:tblHeader/>
        </w:trPr>
        <w:tc>
          <w:tcPr>
            <w:tcW w:w="1800" w:type="dxa"/>
          </w:tcPr>
          <w:p w14:paraId="7A45B26E" w14:textId="77777777" w:rsidR="00DA702B" w:rsidRPr="00DA702B" w:rsidRDefault="00DA702B" w:rsidP="00DA702B"/>
        </w:tc>
        <w:tc>
          <w:tcPr>
            <w:tcW w:w="1800" w:type="dxa"/>
          </w:tcPr>
          <w:p w14:paraId="5EDB1680" w14:textId="77777777" w:rsidR="00DA702B" w:rsidRPr="00DA702B" w:rsidRDefault="00DA702B" w:rsidP="00DA702B"/>
        </w:tc>
        <w:tc>
          <w:tcPr>
            <w:tcW w:w="1327" w:type="dxa"/>
          </w:tcPr>
          <w:p w14:paraId="15FB261D" w14:textId="77777777" w:rsidR="00DA702B" w:rsidRPr="00DA702B" w:rsidRDefault="00DA702B" w:rsidP="00DA702B"/>
        </w:tc>
        <w:tc>
          <w:tcPr>
            <w:tcW w:w="2430" w:type="dxa"/>
          </w:tcPr>
          <w:p w14:paraId="5EF1D271" w14:textId="77777777" w:rsidR="00DA702B" w:rsidRPr="00DA702B" w:rsidRDefault="00DA702B" w:rsidP="00DA702B"/>
        </w:tc>
        <w:tc>
          <w:tcPr>
            <w:tcW w:w="1643" w:type="dxa"/>
          </w:tcPr>
          <w:p w14:paraId="7E2323D2" w14:textId="77777777" w:rsidR="00DA702B" w:rsidRPr="00DA702B" w:rsidRDefault="00DA702B" w:rsidP="00DA702B"/>
        </w:tc>
        <w:tc>
          <w:tcPr>
            <w:tcW w:w="1800" w:type="dxa"/>
          </w:tcPr>
          <w:p w14:paraId="25222946" w14:textId="77777777" w:rsidR="00DA702B" w:rsidRPr="00DA702B" w:rsidRDefault="00DA702B" w:rsidP="00DA702B"/>
        </w:tc>
        <w:tc>
          <w:tcPr>
            <w:tcW w:w="1800" w:type="dxa"/>
          </w:tcPr>
          <w:p w14:paraId="2A96312E" w14:textId="77777777" w:rsidR="00DA702B" w:rsidRPr="00DA702B" w:rsidRDefault="00DA702B" w:rsidP="00DA702B"/>
        </w:tc>
        <w:tc>
          <w:tcPr>
            <w:tcW w:w="1800" w:type="dxa"/>
          </w:tcPr>
          <w:p w14:paraId="5EE987E0" w14:textId="77777777" w:rsidR="00DA702B" w:rsidRPr="00DA702B" w:rsidRDefault="00DA702B" w:rsidP="00DA702B"/>
        </w:tc>
      </w:tr>
      <w:tr w:rsidR="00DA702B" w:rsidRPr="00DA702B" w14:paraId="0E0EBF43" w14:textId="77777777" w:rsidTr="00247007">
        <w:trPr>
          <w:cantSplit/>
          <w:trHeight w:val="346"/>
          <w:tblHeader/>
        </w:trPr>
        <w:tc>
          <w:tcPr>
            <w:tcW w:w="1800" w:type="dxa"/>
          </w:tcPr>
          <w:p w14:paraId="0AF2F2F1" w14:textId="77777777" w:rsidR="00DA702B" w:rsidRPr="00DA702B" w:rsidRDefault="00DA702B" w:rsidP="00DA702B"/>
        </w:tc>
        <w:tc>
          <w:tcPr>
            <w:tcW w:w="1800" w:type="dxa"/>
          </w:tcPr>
          <w:p w14:paraId="255EC36C" w14:textId="77777777" w:rsidR="00DA702B" w:rsidRPr="00DA702B" w:rsidRDefault="00DA702B" w:rsidP="00DA702B"/>
        </w:tc>
        <w:tc>
          <w:tcPr>
            <w:tcW w:w="1327" w:type="dxa"/>
          </w:tcPr>
          <w:p w14:paraId="3F7BBEBB" w14:textId="77777777" w:rsidR="00DA702B" w:rsidRPr="00DA702B" w:rsidRDefault="00DA702B" w:rsidP="00DA702B"/>
        </w:tc>
        <w:tc>
          <w:tcPr>
            <w:tcW w:w="2430" w:type="dxa"/>
          </w:tcPr>
          <w:p w14:paraId="0950E421" w14:textId="77777777" w:rsidR="00DA702B" w:rsidRPr="00DA702B" w:rsidRDefault="00DA702B" w:rsidP="00DA702B"/>
        </w:tc>
        <w:tc>
          <w:tcPr>
            <w:tcW w:w="1643" w:type="dxa"/>
          </w:tcPr>
          <w:p w14:paraId="7F4C7171" w14:textId="77777777" w:rsidR="00DA702B" w:rsidRPr="00DA702B" w:rsidRDefault="00DA702B" w:rsidP="00DA702B"/>
        </w:tc>
        <w:tc>
          <w:tcPr>
            <w:tcW w:w="1800" w:type="dxa"/>
          </w:tcPr>
          <w:p w14:paraId="32A909BE" w14:textId="77777777" w:rsidR="00DA702B" w:rsidRPr="00DA702B" w:rsidRDefault="00DA702B" w:rsidP="00DA702B"/>
        </w:tc>
        <w:tc>
          <w:tcPr>
            <w:tcW w:w="1800" w:type="dxa"/>
          </w:tcPr>
          <w:p w14:paraId="19E78416" w14:textId="77777777" w:rsidR="00DA702B" w:rsidRPr="00DA702B" w:rsidRDefault="00DA702B" w:rsidP="00DA702B"/>
        </w:tc>
        <w:tc>
          <w:tcPr>
            <w:tcW w:w="1800" w:type="dxa"/>
          </w:tcPr>
          <w:p w14:paraId="61C2ED19" w14:textId="77777777" w:rsidR="00DA702B" w:rsidRPr="00DA702B" w:rsidRDefault="00DA702B" w:rsidP="00DA702B"/>
        </w:tc>
      </w:tr>
      <w:tr w:rsidR="00DA702B" w:rsidRPr="00DA702B" w14:paraId="55E7819B" w14:textId="77777777" w:rsidTr="00247007">
        <w:trPr>
          <w:cantSplit/>
          <w:trHeight w:val="346"/>
          <w:tblHeader/>
        </w:trPr>
        <w:tc>
          <w:tcPr>
            <w:tcW w:w="1800" w:type="dxa"/>
          </w:tcPr>
          <w:p w14:paraId="66CC2562" w14:textId="77777777" w:rsidR="00DA702B" w:rsidRPr="00DA702B" w:rsidRDefault="00DA702B" w:rsidP="00DA702B"/>
        </w:tc>
        <w:tc>
          <w:tcPr>
            <w:tcW w:w="1800" w:type="dxa"/>
          </w:tcPr>
          <w:p w14:paraId="40C31BB6" w14:textId="77777777" w:rsidR="00DA702B" w:rsidRPr="00DA702B" w:rsidRDefault="00DA702B" w:rsidP="00DA702B"/>
        </w:tc>
        <w:tc>
          <w:tcPr>
            <w:tcW w:w="1327" w:type="dxa"/>
          </w:tcPr>
          <w:p w14:paraId="180AD94E" w14:textId="77777777" w:rsidR="00DA702B" w:rsidRPr="00DA702B" w:rsidRDefault="00DA702B" w:rsidP="00DA702B"/>
        </w:tc>
        <w:tc>
          <w:tcPr>
            <w:tcW w:w="2430" w:type="dxa"/>
          </w:tcPr>
          <w:p w14:paraId="733F440C" w14:textId="77777777" w:rsidR="00DA702B" w:rsidRPr="00DA702B" w:rsidRDefault="00DA702B" w:rsidP="00DA702B"/>
        </w:tc>
        <w:tc>
          <w:tcPr>
            <w:tcW w:w="1643" w:type="dxa"/>
          </w:tcPr>
          <w:p w14:paraId="5D2281D6" w14:textId="77777777" w:rsidR="00DA702B" w:rsidRPr="00DA702B" w:rsidRDefault="00DA702B" w:rsidP="00DA702B"/>
        </w:tc>
        <w:tc>
          <w:tcPr>
            <w:tcW w:w="1800" w:type="dxa"/>
          </w:tcPr>
          <w:p w14:paraId="0FDBC3CA" w14:textId="77777777" w:rsidR="00DA702B" w:rsidRPr="00DA702B" w:rsidRDefault="00DA702B" w:rsidP="00DA702B"/>
        </w:tc>
        <w:tc>
          <w:tcPr>
            <w:tcW w:w="1800" w:type="dxa"/>
          </w:tcPr>
          <w:p w14:paraId="7CF2D613" w14:textId="77777777" w:rsidR="00DA702B" w:rsidRPr="00DA702B" w:rsidRDefault="00DA702B" w:rsidP="00DA702B"/>
        </w:tc>
        <w:tc>
          <w:tcPr>
            <w:tcW w:w="1800" w:type="dxa"/>
          </w:tcPr>
          <w:p w14:paraId="0B0B91DD" w14:textId="77777777" w:rsidR="00DA702B" w:rsidRPr="00DA702B" w:rsidRDefault="00DA702B" w:rsidP="00DA702B"/>
        </w:tc>
      </w:tr>
      <w:tr w:rsidR="00DA702B" w:rsidRPr="00DA702B" w14:paraId="6D19B923" w14:textId="77777777" w:rsidTr="00247007">
        <w:trPr>
          <w:cantSplit/>
          <w:trHeight w:val="346"/>
          <w:tblHeader/>
        </w:trPr>
        <w:tc>
          <w:tcPr>
            <w:tcW w:w="1800" w:type="dxa"/>
          </w:tcPr>
          <w:p w14:paraId="2D640B99" w14:textId="77777777" w:rsidR="00DA702B" w:rsidRPr="00DA702B" w:rsidRDefault="00DA702B" w:rsidP="00DA702B"/>
        </w:tc>
        <w:tc>
          <w:tcPr>
            <w:tcW w:w="1800" w:type="dxa"/>
          </w:tcPr>
          <w:p w14:paraId="721DC2D2" w14:textId="77777777" w:rsidR="00DA702B" w:rsidRPr="00DA702B" w:rsidRDefault="00DA702B" w:rsidP="00DA702B"/>
        </w:tc>
        <w:tc>
          <w:tcPr>
            <w:tcW w:w="1327" w:type="dxa"/>
          </w:tcPr>
          <w:p w14:paraId="7AC7F51C" w14:textId="77777777" w:rsidR="00DA702B" w:rsidRPr="00DA702B" w:rsidRDefault="00DA702B" w:rsidP="00DA702B"/>
        </w:tc>
        <w:tc>
          <w:tcPr>
            <w:tcW w:w="2430" w:type="dxa"/>
          </w:tcPr>
          <w:p w14:paraId="64133911" w14:textId="77777777" w:rsidR="00DA702B" w:rsidRPr="00DA702B" w:rsidRDefault="00DA702B" w:rsidP="00DA702B"/>
        </w:tc>
        <w:tc>
          <w:tcPr>
            <w:tcW w:w="1643" w:type="dxa"/>
          </w:tcPr>
          <w:p w14:paraId="508131CB" w14:textId="77777777" w:rsidR="00DA702B" w:rsidRPr="00DA702B" w:rsidRDefault="00DA702B" w:rsidP="00DA702B"/>
        </w:tc>
        <w:tc>
          <w:tcPr>
            <w:tcW w:w="1800" w:type="dxa"/>
          </w:tcPr>
          <w:p w14:paraId="076012D0" w14:textId="77777777" w:rsidR="00DA702B" w:rsidRPr="00DA702B" w:rsidRDefault="00DA702B" w:rsidP="00DA702B"/>
        </w:tc>
        <w:tc>
          <w:tcPr>
            <w:tcW w:w="1800" w:type="dxa"/>
          </w:tcPr>
          <w:p w14:paraId="0BBE75C8" w14:textId="77777777" w:rsidR="00DA702B" w:rsidRPr="00DA702B" w:rsidRDefault="00DA702B" w:rsidP="00DA702B"/>
        </w:tc>
        <w:tc>
          <w:tcPr>
            <w:tcW w:w="1800" w:type="dxa"/>
          </w:tcPr>
          <w:p w14:paraId="24B92052" w14:textId="77777777" w:rsidR="00DA702B" w:rsidRPr="00DA702B" w:rsidRDefault="00DA702B" w:rsidP="00DA702B"/>
        </w:tc>
      </w:tr>
      <w:tr w:rsidR="00DA702B" w:rsidRPr="00DA702B" w14:paraId="3376B952" w14:textId="77777777" w:rsidTr="00247007">
        <w:trPr>
          <w:cantSplit/>
          <w:trHeight w:val="346"/>
          <w:tblHeader/>
        </w:trPr>
        <w:tc>
          <w:tcPr>
            <w:tcW w:w="1800" w:type="dxa"/>
          </w:tcPr>
          <w:p w14:paraId="0EE05B45" w14:textId="77777777" w:rsidR="00DA702B" w:rsidRPr="00DA702B" w:rsidRDefault="00DA702B" w:rsidP="00DA702B"/>
        </w:tc>
        <w:tc>
          <w:tcPr>
            <w:tcW w:w="1800" w:type="dxa"/>
          </w:tcPr>
          <w:p w14:paraId="501A1ABE" w14:textId="77777777" w:rsidR="00DA702B" w:rsidRPr="00DA702B" w:rsidRDefault="00DA702B" w:rsidP="00DA702B"/>
        </w:tc>
        <w:tc>
          <w:tcPr>
            <w:tcW w:w="1327" w:type="dxa"/>
          </w:tcPr>
          <w:p w14:paraId="1480B91A" w14:textId="77777777" w:rsidR="00DA702B" w:rsidRPr="00DA702B" w:rsidRDefault="00DA702B" w:rsidP="00DA702B"/>
        </w:tc>
        <w:tc>
          <w:tcPr>
            <w:tcW w:w="2430" w:type="dxa"/>
          </w:tcPr>
          <w:p w14:paraId="2949D843" w14:textId="77777777" w:rsidR="00DA702B" w:rsidRPr="00DA702B" w:rsidRDefault="00DA702B" w:rsidP="00DA702B"/>
        </w:tc>
        <w:tc>
          <w:tcPr>
            <w:tcW w:w="1643" w:type="dxa"/>
          </w:tcPr>
          <w:p w14:paraId="10FA5690" w14:textId="77777777" w:rsidR="00DA702B" w:rsidRPr="00DA702B" w:rsidRDefault="00DA702B" w:rsidP="00DA702B"/>
        </w:tc>
        <w:tc>
          <w:tcPr>
            <w:tcW w:w="1800" w:type="dxa"/>
          </w:tcPr>
          <w:p w14:paraId="6ED78C14" w14:textId="77777777" w:rsidR="00DA702B" w:rsidRPr="00DA702B" w:rsidRDefault="00DA702B" w:rsidP="00DA702B"/>
        </w:tc>
        <w:tc>
          <w:tcPr>
            <w:tcW w:w="1800" w:type="dxa"/>
          </w:tcPr>
          <w:p w14:paraId="5E25DD31" w14:textId="77777777" w:rsidR="00DA702B" w:rsidRPr="00DA702B" w:rsidRDefault="00DA702B" w:rsidP="00DA702B"/>
        </w:tc>
        <w:tc>
          <w:tcPr>
            <w:tcW w:w="1800" w:type="dxa"/>
          </w:tcPr>
          <w:p w14:paraId="6DA37970" w14:textId="77777777" w:rsidR="00DA702B" w:rsidRPr="00DA702B" w:rsidRDefault="00DA702B" w:rsidP="00DA702B"/>
        </w:tc>
      </w:tr>
      <w:tr w:rsidR="00DA702B" w:rsidRPr="00DA702B" w14:paraId="4674501C" w14:textId="77777777" w:rsidTr="00247007">
        <w:trPr>
          <w:cantSplit/>
          <w:trHeight w:val="346"/>
          <w:tblHeader/>
        </w:trPr>
        <w:tc>
          <w:tcPr>
            <w:tcW w:w="1800" w:type="dxa"/>
          </w:tcPr>
          <w:p w14:paraId="6CB04D89" w14:textId="77777777" w:rsidR="00DA702B" w:rsidRPr="00DA702B" w:rsidRDefault="00DA702B" w:rsidP="00DA702B"/>
        </w:tc>
        <w:tc>
          <w:tcPr>
            <w:tcW w:w="1800" w:type="dxa"/>
          </w:tcPr>
          <w:p w14:paraId="429B7D4D" w14:textId="77777777" w:rsidR="00DA702B" w:rsidRPr="00DA702B" w:rsidRDefault="00DA702B" w:rsidP="00DA702B"/>
        </w:tc>
        <w:tc>
          <w:tcPr>
            <w:tcW w:w="1327" w:type="dxa"/>
          </w:tcPr>
          <w:p w14:paraId="6222C89D" w14:textId="77777777" w:rsidR="00DA702B" w:rsidRPr="00DA702B" w:rsidRDefault="00DA702B" w:rsidP="00DA702B"/>
        </w:tc>
        <w:tc>
          <w:tcPr>
            <w:tcW w:w="2430" w:type="dxa"/>
          </w:tcPr>
          <w:p w14:paraId="6B772079" w14:textId="77777777" w:rsidR="00DA702B" w:rsidRPr="00DA702B" w:rsidRDefault="00DA702B" w:rsidP="00DA702B"/>
        </w:tc>
        <w:tc>
          <w:tcPr>
            <w:tcW w:w="1643" w:type="dxa"/>
          </w:tcPr>
          <w:p w14:paraId="5425C24F" w14:textId="77777777" w:rsidR="00DA702B" w:rsidRPr="00DA702B" w:rsidRDefault="00DA702B" w:rsidP="00DA702B"/>
        </w:tc>
        <w:tc>
          <w:tcPr>
            <w:tcW w:w="1800" w:type="dxa"/>
          </w:tcPr>
          <w:p w14:paraId="479C3062" w14:textId="77777777" w:rsidR="00DA702B" w:rsidRPr="00DA702B" w:rsidRDefault="00DA702B" w:rsidP="00DA702B"/>
        </w:tc>
        <w:tc>
          <w:tcPr>
            <w:tcW w:w="1800" w:type="dxa"/>
          </w:tcPr>
          <w:p w14:paraId="4DF8F7B7" w14:textId="77777777" w:rsidR="00DA702B" w:rsidRPr="00DA702B" w:rsidRDefault="00DA702B" w:rsidP="00DA702B"/>
        </w:tc>
        <w:tc>
          <w:tcPr>
            <w:tcW w:w="1800" w:type="dxa"/>
          </w:tcPr>
          <w:p w14:paraId="634418B2" w14:textId="77777777" w:rsidR="00DA702B" w:rsidRPr="00DA702B" w:rsidRDefault="00DA702B" w:rsidP="00DA702B"/>
        </w:tc>
      </w:tr>
      <w:tr w:rsidR="00DA702B" w:rsidRPr="00DA702B" w14:paraId="4E0D2563" w14:textId="77777777" w:rsidTr="00247007">
        <w:trPr>
          <w:cantSplit/>
          <w:trHeight w:val="346"/>
          <w:tblHeader/>
        </w:trPr>
        <w:tc>
          <w:tcPr>
            <w:tcW w:w="1800" w:type="dxa"/>
          </w:tcPr>
          <w:p w14:paraId="77322E24" w14:textId="77777777" w:rsidR="00DA702B" w:rsidRPr="00DA702B" w:rsidRDefault="00DA702B" w:rsidP="00DA702B"/>
        </w:tc>
        <w:tc>
          <w:tcPr>
            <w:tcW w:w="1800" w:type="dxa"/>
          </w:tcPr>
          <w:p w14:paraId="5B211177" w14:textId="77777777" w:rsidR="00DA702B" w:rsidRPr="00DA702B" w:rsidRDefault="00DA702B" w:rsidP="00DA702B"/>
        </w:tc>
        <w:tc>
          <w:tcPr>
            <w:tcW w:w="1327" w:type="dxa"/>
          </w:tcPr>
          <w:p w14:paraId="1EA7DBC6" w14:textId="77777777" w:rsidR="00DA702B" w:rsidRPr="00DA702B" w:rsidRDefault="00DA702B" w:rsidP="00DA702B"/>
        </w:tc>
        <w:tc>
          <w:tcPr>
            <w:tcW w:w="2430" w:type="dxa"/>
          </w:tcPr>
          <w:p w14:paraId="28A6F0BB" w14:textId="77777777" w:rsidR="00DA702B" w:rsidRPr="00DA702B" w:rsidRDefault="00DA702B" w:rsidP="00DA702B"/>
        </w:tc>
        <w:tc>
          <w:tcPr>
            <w:tcW w:w="1643" w:type="dxa"/>
          </w:tcPr>
          <w:p w14:paraId="276DF972" w14:textId="77777777" w:rsidR="00DA702B" w:rsidRPr="00DA702B" w:rsidRDefault="00DA702B" w:rsidP="00DA702B"/>
        </w:tc>
        <w:tc>
          <w:tcPr>
            <w:tcW w:w="1800" w:type="dxa"/>
          </w:tcPr>
          <w:p w14:paraId="41075724" w14:textId="77777777" w:rsidR="00DA702B" w:rsidRPr="00DA702B" w:rsidRDefault="00DA702B" w:rsidP="00DA702B"/>
        </w:tc>
        <w:tc>
          <w:tcPr>
            <w:tcW w:w="1800" w:type="dxa"/>
          </w:tcPr>
          <w:p w14:paraId="51A6D9EB" w14:textId="77777777" w:rsidR="00DA702B" w:rsidRPr="00DA702B" w:rsidRDefault="00DA702B" w:rsidP="00DA702B"/>
        </w:tc>
        <w:tc>
          <w:tcPr>
            <w:tcW w:w="1800" w:type="dxa"/>
          </w:tcPr>
          <w:p w14:paraId="0902DE0C" w14:textId="77777777" w:rsidR="00DA702B" w:rsidRPr="00DA702B" w:rsidRDefault="00DA702B" w:rsidP="00DA702B"/>
        </w:tc>
      </w:tr>
      <w:tr w:rsidR="00DA702B" w:rsidRPr="00DA702B" w14:paraId="688C1350" w14:textId="77777777" w:rsidTr="00247007">
        <w:trPr>
          <w:cantSplit/>
          <w:trHeight w:val="346"/>
          <w:tblHeader/>
        </w:trPr>
        <w:tc>
          <w:tcPr>
            <w:tcW w:w="1800" w:type="dxa"/>
          </w:tcPr>
          <w:p w14:paraId="69601530" w14:textId="77777777" w:rsidR="00DA702B" w:rsidRPr="00DA702B" w:rsidRDefault="00DA702B" w:rsidP="00DA702B"/>
        </w:tc>
        <w:tc>
          <w:tcPr>
            <w:tcW w:w="1800" w:type="dxa"/>
          </w:tcPr>
          <w:p w14:paraId="2619C48E" w14:textId="77777777" w:rsidR="00DA702B" w:rsidRPr="00DA702B" w:rsidRDefault="00DA702B" w:rsidP="00DA702B"/>
        </w:tc>
        <w:tc>
          <w:tcPr>
            <w:tcW w:w="1327" w:type="dxa"/>
          </w:tcPr>
          <w:p w14:paraId="45964790" w14:textId="77777777" w:rsidR="00DA702B" w:rsidRPr="00DA702B" w:rsidRDefault="00DA702B" w:rsidP="00DA702B"/>
        </w:tc>
        <w:tc>
          <w:tcPr>
            <w:tcW w:w="2430" w:type="dxa"/>
          </w:tcPr>
          <w:p w14:paraId="31444032" w14:textId="77777777" w:rsidR="00DA702B" w:rsidRPr="00DA702B" w:rsidRDefault="00DA702B" w:rsidP="00DA702B"/>
        </w:tc>
        <w:tc>
          <w:tcPr>
            <w:tcW w:w="1643" w:type="dxa"/>
          </w:tcPr>
          <w:p w14:paraId="225F92AF" w14:textId="77777777" w:rsidR="00DA702B" w:rsidRPr="00DA702B" w:rsidRDefault="00DA702B" w:rsidP="00DA702B"/>
        </w:tc>
        <w:tc>
          <w:tcPr>
            <w:tcW w:w="1800" w:type="dxa"/>
          </w:tcPr>
          <w:p w14:paraId="478B1938" w14:textId="77777777" w:rsidR="00DA702B" w:rsidRPr="00DA702B" w:rsidRDefault="00DA702B" w:rsidP="00DA702B"/>
        </w:tc>
        <w:tc>
          <w:tcPr>
            <w:tcW w:w="1800" w:type="dxa"/>
          </w:tcPr>
          <w:p w14:paraId="3E53446C" w14:textId="77777777" w:rsidR="00DA702B" w:rsidRPr="00DA702B" w:rsidRDefault="00DA702B" w:rsidP="00DA702B"/>
        </w:tc>
        <w:tc>
          <w:tcPr>
            <w:tcW w:w="1800" w:type="dxa"/>
          </w:tcPr>
          <w:p w14:paraId="1B74BD3A" w14:textId="77777777" w:rsidR="00DA702B" w:rsidRPr="00DA702B" w:rsidRDefault="00DA702B" w:rsidP="00DA702B"/>
        </w:tc>
      </w:tr>
    </w:tbl>
    <w:p w14:paraId="60CDDB92" w14:textId="77777777" w:rsidR="00DA702B" w:rsidRPr="00DA702B" w:rsidRDefault="00DA702B" w:rsidP="00DA702B">
      <w:pPr>
        <w:numPr>
          <w:ilvl w:val="0"/>
          <w:numId w:val="56"/>
        </w:numPr>
        <w:tabs>
          <w:tab w:val="num" w:pos="360"/>
        </w:tabs>
        <w:contextualSpacing/>
        <w:outlineLvl w:val="0"/>
        <w:rPr>
          <w:b/>
          <w:bCs/>
        </w:rPr>
      </w:pPr>
      <w:r w:rsidRPr="00DA702B">
        <w:rPr>
          <w:b/>
          <w:bCs/>
        </w:rPr>
        <w:br w:type="page"/>
      </w:r>
    </w:p>
    <w:p w14:paraId="546D6560" w14:textId="77777777" w:rsidR="00DA702B" w:rsidRPr="00DA702B" w:rsidRDefault="00DA702B" w:rsidP="00726410">
      <w:pPr>
        <w:widowControl w:val="0"/>
        <w:jc w:val="center"/>
        <w:rPr>
          <w:rFonts w:eastAsiaTheme="majorEastAsia"/>
          <w:b/>
          <w:bCs/>
        </w:rPr>
      </w:pPr>
      <w:r w:rsidRPr="00DA702B">
        <w:rPr>
          <w:rFonts w:eastAsiaTheme="majorEastAsia"/>
          <w:b/>
          <w:bCs/>
        </w:rPr>
        <w:lastRenderedPageBreak/>
        <w:t>Boiler/Steam Generator/Steam Generating Unit Attributes</w:t>
      </w:r>
    </w:p>
    <w:p w14:paraId="03D6FEF4" w14:textId="77777777" w:rsidR="00DA702B" w:rsidRPr="00DA702B" w:rsidRDefault="00DA702B" w:rsidP="00726410">
      <w:pPr>
        <w:widowControl w:val="0"/>
        <w:jc w:val="center"/>
        <w:rPr>
          <w:rFonts w:eastAsiaTheme="majorEastAsia"/>
          <w:b/>
          <w:bCs/>
        </w:rPr>
      </w:pPr>
      <w:r w:rsidRPr="00DA702B">
        <w:rPr>
          <w:rFonts w:eastAsiaTheme="majorEastAsia"/>
          <w:b/>
          <w:bCs/>
        </w:rPr>
        <w:t>Form OP-UA6 (Page 45)</w:t>
      </w:r>
    </w:p>
    <w:p w14:paraId="69FF7968" w14:textId="77777777" w:rsidR="00DA702B" w:rsidRPr="00DA702B" w:rsidRDefault="00DA702B" w:rsidP="00726410">
      <w:pPr>
        <w:widowControl w:val="0"/>
        <w:jc w:val="center"/>
        <w:rPr>
          <w:rFonts w:eastAsiaTheme="majorEastAsia"/>
          <w:b/>
          <w:bCs/>
        </w:rPr>
      </w:pPr>
      <w:r w:rsidRPr="00DA702B">
        <w:rPr>
          <w:rFonts w:eastAsiaTheme="majorEastAsia"/>
          <w:b/>
          <w:bCs/>
        </w:rPr>
        <w:t>Federal Operating Permit Program</w:t>
      </w:r>
    </w:p>
    <w:p w14:paraId="08E16F6A" w14:textId="77777777" w:rsidR="00DA702B" w:rsidRPr="00DA702B" w:rsidRDefault="00DA702B" w:rsidP="00726410">
      <w:pPr>
        <w:widowControl w:val="0"/>
        <w:jc w:val="center"/>
        <w:rPr>
          <w:rFonts w:eastAsiaTheme="majorEastAsia"/>
          <w:b/>
          <w:bCs/>
        </w:rPr>
      </w:pPr>
      <w:bookmarkStart w:id="207" w:name="TBL_15b"/>
      <w:r w:rsidRPr="00DA702B">
        <w:rPr>
          <w:rFonts w:eastAsiaTheme="majorEastAsia"/>
          <w:b/>
          <w:bCs/>
        </w:rPr>
        <w:t>Table 15b</w:t>
      </w:r>
      <w:bookmarkEnd w:id="207"/>
      <w:r w:rsidRPr="00DA702B">
        <w:rPr>
          <w:rFonts w:eastAsiaTheme="majorEastAsia"/>
          <w:b/>
          <w:bCs/>
        </w:rPr>
        <w:t>: Title 40 Code of Federal Regulations Part 60 (40 CFR Part 60)</w:t>
      </w:r>
    </w:p>
    <w:p w14:paraId="4B7BE6CF" w14:textId="77777777" w:rsidR="00DA702B" w:rsidRPr="00DA702B" w:rsidRDefault="00DA702B" w:rsidP="00726410">
      <w:pPr>
        <w:widowControl w:val="0"/>
        <w:jc w:val="center"/>
        <w:rPr>
          <w:rFonts w:eastAsiaTheme="majorEastAsia"/>
          <w:b/>
          <w:bCs/>
        </w:rPr>
      </w:pPr>
      <w:r w:rsidRPr="00DA702B">
        <w:rPr>
          <w:rFonts w:eastAsiaTheme="majorEastAsia"/>
          <w:b/>
          <w:bCs/>
        </w:rPr>
        <w:t>Subpart TTTT:  Standards of Performance for Greenhouse Gas Emissions for Electric Utility Generating Units</w:t>
      </w:r>
    </w:p>
    <w:p w14:paraId="6B5280F8" w14:textId="77777777" w:rsidR="00DA702B" w:rsidRPr="00DA702B" w:rsidRDefault="00DA702B" w:rsidP="00726410">
      <w:pPr>
        <w:widowControl w:val="0"/>
        <w:jc w:val="center"/>
        <w:rPr>
          <w:b/>
          <w:bCs/>
        </w:rPr>
      </w:pPr>
      <w:r w:rsidRPr="00DA702B">
        <w:rPr>
          <w:b/>
          <w:bCs/>
        </w:rPr>
        <w:t>Texas Commission on Environmental Quality</w:t>
      </w:r>
    </w:p>
    <w:p w14:paraId="572A87E7" w14:textId="77777777" w:rsidR="00DA702B" w:rsidRPr="00DA702B" w:rsidRDefault="00DA702B" w:rsidP="00DA702B">
      <w:pPr>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5b: Title 40 Code of Federal Regulations Part 60 (40 CFR Part 60)&#10;Subpart TTTT:  Standards of Performance for Greenhouse Gas Emissions for Electric Utility Generating Units&#10;"/>
      </w:tblPr>
      <w:tblGrid>
        <w:gridCol w:w="4800"/>
        <w:gridCol w:w="4800"/>
        <w:gridCol w:w="4800"/>
      </w:tblGrid>
      <w:tr w:rsidR="00DA702B" w:rsidRPr="00DA702B" w14:paraId="21CBC461" w14:textId="77777777" w:rsidTr="00247007">
        <w:trPr>
          <w:cantSplit/>
          <w:tblHeader/>
        </w:trPr>
        <w:tc>
          <w:tcPr>
            <w:tcW w:w="4800" w:type="dxa"/>
            <w:shd w:val="clear" w:color="auto" w:fill="D9D9D9" w:themeFill="background1" w:themeFillShade="D9"/>
          </w:tcPr>
          <w:p w14:paraId="15AC92A5" w14:textId="77777777" w:rsidR="00DA702B" w:rsidRPr="00DA702B" w:rsidRDefault="00DA702B" w:rsidP="00DA702B">
            <w:pPr>
              <w:jc w:val="center"/>
              <w:rPr>
                <w:b/>
                <w:bCs/>
                <w:sz w:val="20"/>
                <w:szCs w:val="20"/>
              </w:rPr>
            </w:pPr>
            <w:r w:rsidRPr="00DA702B">
              <w:rPr>
                <w:b/>
                <w:bCs/>
                <w:sz w:val="20"/>
                <w:szCs w:val="20"/>
              </w:rPr>
              <w:t>Date</w:t>
            </w:r>
          </w:p>
        </w:tc>
        <w:tc>
          <w:tcPr>
            <w:tcW w:w="4800" w:type="dxa"/>
            <w:shd w:val="clear" w:color="auto" w:fill="D9D9D9" w:themeFill="background1" w:themeFillShade="D9"/>
          </w:tcPr>
          <w:p w14:paraId="188282BC" w14:textId="77777777" w:rsidR="00DA702B" w:rsidRPr="00DA702B" w:rsidRDefault="00DA702B" w:rsidP="00DA702B">
            <w:pPr>
              <w:jc w:val="center"/>
              <w:rPr>
                <w:b/>
                <w:bCs/>
                <w:sz w:val="20"/>
                <w:szCs w:val="20"/>
              </w:rPr>
            </w:pPr>
            <w:r w:rsidRPr="00DA702B">
              <w:rPr>
                <w:b/>
                <w:bCs/>
                <w:sz w:val="20"/>
                <w:szCs w:val="20"/>
              </w:rPr>
              <w:t>Permit No.</w:t>
            </w:r>
          </w:p>
        </w:tc>
        <w:tc>
          <w:tcPr>
            <w:tcW w:w="4800" w:type="dxa"/>
            <w:shd w:val="clear" w:color="auto" w:fill="D9D9D9" w:themeFill="background1" w:themeFillShade="D9"/>
          </w:tcPr>
          <w:p w14:paraId="61DE2203" w14:textId="77777777" w:rsidR="00DA702B" w:rsidRPr="00DA702B" w:rsidRDefault="00DA702B" w:rsidP="00DA702B">
            <w:pPr>
              <w:jc w:val="center"/>
              <w:rPr>
                <w:b/>
                <w:bCs/>
                <w:sz w:val="20"/>
                <w:szCs w:val="20"/>
              </w:rPr>
            </w:pPr>
            <w:r w:rsidRPr="00DA702B">
              <w:rPr>
                <w:b/>
                <w:bCs/>
                <w:sz w:val="20"/>
                <w:szCs w:val="20"/>
              </w:rPr>
              <w:t>Regulated Entity No.</w:t>
            </w:r>
          </w:p>
        </w:tc>
      </w:tr>
      <w:tr w:rsidR="00DA702B" w:rsidRPr="00DA702B" w14:paraId="796BF904" w14:textId="77777777" w:rsidTr="00247007">
        <w:trPr>
          <w:cantSplit/>
          <w:tblHeader/>
        </w:trPr>
        <w:tc>
          <w:tcPr>
            <w:tcW w:w="4800" w:type="dxa"/>
          </w:tcPr>
          <w:p w14:paraId="2139774F" w14:textId="77777777" w:rsidR="00DA702B" w:rsidRPr="00DA702B" w:rsidRDefault="00DA702B" w:rsidP="00DA702B">
            <w:pPr>
              <w:rPr>
                <w:rFonts w:asciiTheme="majorHAnsi" w:hAnsiTheme="majorHAnsi" w:cstheme="majorHAnsi"/>
              </w:rPr>
            </w:pPr>
          </w:p>
        </w:tc>
        <w:tc>
          <w:tcPr>
            <w:tcW w:w="4800" w:type="dxa"/>
          </w:tcPr>
          <w:p w14:paraId="34A2E2C6" w14:textId="77777777" w:rsidR="00DA702B" w:rsidRPr="00DA702B" w:rsidRDefault="00DA702B" w:rsidP="00DA702B">
            <w:pPr>
              <w:rPr>
                <w:rFonts w:asciiTheme="majorHAnsi" w:hAnsiTheme="majorHAnsi" w:cstheme="majorHAnsi"/>
              </w:rPr>
            </w:pPr>
          </w:p>
        </w:tc>
        <w:tc>
          <w:tcPr>
            <w:tcW w:w="4800" w:type="dxa"/>
          </w:tcPr>
          <w:p w14:paraId="67E28DEF" w14:textId="77777777" w:rsidR="00DA702B" w:rsidRPr="00DA702B" w:rsidRDefault="00DA702B" w:rsidP="00DA702B">
            <w:pPr>
              <w:rPr>
                <w:rFonts w:asciiTheme="majorHAnsi" w:hAnsiTheme="majorHAnsi" w:cstheme="majorHAnsi"/>
              </w:rPr>
            </w:pPr>
          </w:p>
        </w:tc>
      </w:tr>
    </w:tbl>
    <w:p w14:paraId="3E3CFD92" w14:textId="77777777" w:rsidR="00DA702B" w:rsidRPr="00DA702B" w:rsidRDefault="00DA702B" w:rsidP="00DA702B"/>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5b: Title 40 Code of Federal Regulations Part 60 (40 CFR Part 60)&#10;Subpart TTTT:  Standards of Performance for Greenhouse Gas Emissions for Electric Utility Generating Units&#10;"/>
      </w:tblPr>
      <w:tblGrid>
        <w:gridCol w:w="1800"/>
        <w:gridCol w:w="1800"/>
        <w:gridCol w:w="1800"/>
        <w:gridCol w:w="1800"/>
        <w:gridCol w:w="1800"/>
        <w:gridCol w:w="1800"/>
        <w:gridCol w:w="1800"/>
        <w:gridCol w:w="1800"/>
      </w:tblGrid>
      <w:tr w:rsidR="00DA702B" w:rsidRPr="00DA702B" w14:paraId="5F01F0E5" w14:textId="77777777" w:rsidTr="00247007">
        <w:trPr>
          <w:cantSplit/>
          <w:tblHeader/>
        </w:trPr>
        <w:tc>
          <w:tcPr>
            <w:tcW w:w="1800" w:type="dxa"/>
            <w:shd w:val="clear" w:color="auto" w:fill="D9D9D9" w:themeFill="background1" w:themeFillShade="D9"/>
            <w:vAlign w:val="center"/>
          </w:tcPr>
          <w:p w14:paraId="44D8B244" w14:textId="77777777" w:rsidR="00DA702B" w:rsidRPr="00DA702B" w:rsidRDefault="00DA702B" w:rsidP="00DA702B">
            <w:pPr>
              <w:jc w:val="center"/>
            </w:pPr>
            <w:r w:rsidRPr="00DA702B">
              <w:rPr>
                <w:b/>
                <w:sz w:val="20"/>
                <w:szCs w:val="20"/>
              </w:rPr>
              <w:t>Unit ID No.</w:t>
            </w:r>
          </w:p>
        </w:tc>
        <w:tc>
          <w:tcPr>
            <w:tcW w:w="1800" w:type="dxa"/>
            <w:shd w:val="clear" w:color="auto" w:fill="D9D9D9" w:themeFill="background1" w:themeFillShade="D9"/>
            <w:vAlign w:val="center"/>
          </w:tcPr>
          <w:p w14:paraId="483BA794" w14:textId="77777777" w:rsidR="00DA702B" w:rsidRPr="00DA702B" w:rsidRDefault="00DA702B" w:rsidP="00DA702B">
            <w:pPr>
              <w:jc w:val="center"/>
            </w:pPr>
            <w:r w:rsidRPr="00DA702B">
              <w:rPr>
                <w:b/>
                <w:sz w:val="20"/>
                <w:szCs w:val="20"/>
              </w:rPr>
              <w:t>SOP Index No.</w:t>
            </w:r>
          </w:p>
        </w:tc>
        <w:tc>
          <w:tcPr>
            <w:tcW w:w="1800" w:type="dxa"/>
            <w:shd w:val="clear" w:color="auto" w:fill="D9D9D9" w:themeFill="background1" w:themeFillShade="D9"/>
            <w:vAlign w:val="center"/>
          </w:tcPr>
          <w:p w14:paraId="3398C08B" w14:textId="77777777" w:rsidR="00DA702B" w:rsidRPr="00DA702B" w:rsidRDefault="00DA702B" w:rsidP="00DA702B">
            <w:pPr>
              <w:jc w:val="center"/>
            </w:pPr>
            <w:r w:rsidRPr="00DA702B">
              <w:rPr>
                <w:b/>
                <w:bCs/>
                <w:sz w:val="20"/>
                <w:szCs w:val="20"/>
              </w:rPr>
              <w:t>CO</w:t>
            </w:r>
            <w:r w:rsidRPr="00DA702B">
              <w:rPr>
                <w:b/>
                <w:bCs/>
                <w:sz w:val="20"/>
                <w:szCs w:val="20"/>
                <w:vertAlign w:val="subscript"/>
              </w:rPr>
              <w:t>2</w:t>
            </w:r>
            <w:r w:rsidRPr="00DA702B">
              <w:rPr>
                <w:b/>
                <w:bCs/>
                <w:sz w:val="20"/>
                <w:szCs w:val="20"/>
              </w:rPr>
              <w:t xml:space="preserve"> Capture</w:t>
            </w:r>
          </w:p>
        </w:tc>
        <w:tc>
          <w:tcPr>
            <w:tcW w:w="1800" w:type="dxa"/>
            <w:shd w:val="clear" w:color="auto" w:fill="D9D9D9" w:themeFill="background1" w:themeFillShade="D9"/>
            <w:vAlign w:val="center"/>
          </w:tcPr>
          <w:p w14:paraId="061F5DEE" w14:textId="77777777" w:rsidR="00DA702B" w:rsidRPr="00DA702B" w:rsidRDefault="00DA702B" w:rsidP="00DA702B">
            <w:pPr>
              <w:jc w:val="center"/>
            </w:pPr>
            <w:r w:rsidRPr="00DA702B">
              <w:rPr>
                <w:b/>
                <w:bCs/>
                <w:sz w:val="20"/>
                <w:szCs w:val="20"/>
              </w:rPr>
              <w:t>CO</w:t>
            </w:r>
            <w:r w:rsidRPr="00DA702B">
              <w:rPr>
                <w:b/>
                <w:bCs/>
                <w:sz w:val="20"/>
                <w:szCs w:val="20"/>
                <w:vertAlign w:val="subscript"/>
              </w:rPr>
              <w:t>2</w:t>
            </w:r>
            <w:r w:rsidRPr="00DA702B">
              <w:rPr>
                <w:b/>
                <w:bCs/>
                <w:sz w:val="20"/>
                <w:szCs w:val="20"/>
              </w:rPr>
              <w:t xml:space="preserve"> Transfer</w:t>
            </w:r>
          </w:p>
        </w:tc>
        <w:tc>
          <w:tcPr>
            <w:tcW w:w="1800" w:type="dxa"/>
            <w:shd w:val="clear" w:color="auto" w:fill="D9D9D9" w:themeFill="background1" w:themeFillShade="D9"/>
            <w:vAlign w:val="center"/>
          </w:tcPr>
          <w:p w14:paraId="7C63273C" w14:textId="77777777" w:rsidR="00DA702B" w:rsidRPr="00DA702B" w:rsidRDefault="00DA702B" w:rsidP="00DA702B">
            <w:pPr>
              <w:jc w:val="center"/>
            </w:pPr>
            <w:r w:rsidRPr="00DA702B">
              <w:rPr>
                <w:b/>
                <w:bCs/>
                <w:sz w:val="20"/>
                <w:szCs w:val="20"/>
              </w:rPr>
              <w:t>Monitoring</w:t>
            </w:r>
          </w:p>
        </w:tc>
        <w:tc>
          <w:tcPr>
            <w:tcW w:w="1800" w:type="dxa"/>
            <w:shd w:val="clear" w:color="auto" w:fill="D9D9D9" w:themeFill="background1" w:themeFillShade="D9"/>
            <w:vAlign w:val="center"/>
          </w:tcPr>
          <w:p w14:paraId="02E51659" w14:textId="77777777" w:rsidR="00DA702B" w:rsidRPr="00DA702B" w:rsidRDefault="00DA702B" w:rsidP="00DA702B">
            <w:pPr>
              <w:jc w:val="center"/>
            </w:pPr>
            <w:r w:rsidRPr="00DA702B">
              <w:rPr>
                <w:b/>
                <w:bCs/>
                <w:sz w:val="20"/>
                <w:szCs w:val="20"/>
              </w:rPr>
              <w:t>Common Stack</w:t>
            </w:r>
          </w:p>
        </w:tc>
        <w:tc>
          <w:tcPr>
            <w:tcW w:w="1800" w:type="dxa"/>
            <w:shd w:val="clear" w:color="auto" w:fill="D9D9D9" w:themeFill="background1" w:themeFillShade="D9"/>
            <w:vAlign w:val="center"/>
          </w:tcPr>
          <w:p w14:paraId="2996F707" w14:textId="77777777" w:rsidR="00DA702B" w:rsidRPr="00DA702B" w:rsidRDefault="00DA702B" w:rsidP="00DA702B">
            <w:pPr>
              <w:jc w:val="center"/>
            </w:pPr>
            <w:r w:rsidRPr="00DA702B">
              <w:rPr>
                <w:b/>
                <w:bCs/>
                <w:sz w:val="20"/>
                <w:szCs w:val="20"/>
              </w:rPr>
              <w:t>Multiple Stacks</w:t>
            </w:r>
          </w:p>
        </w:tc>
        <w:tc>
          <w:tcPr>
            <w:tcW w:w="1800" w:type="dxa"/>
            <w:shd w:val="clear" w:color="auto" w:fill="D9D9D9" w:themeFill="background1" w:themeFillShade="D9"/>
            <w:vAlign w:val="center"/>
          </w:tcPr>
          <w:p w14:paraId="1F8F7ED8" w14:textId="77777777" w:rsidR="00DA702B" w:rsidRPr="00DA702B" w:rsidRDefault="00DA702B" w:rsidP="00DA702B">
            <w:pPr>
              <w:jc w:val="center"/>
            </w:pPr>
            <w:r w:rsidRPr="00DA702B">
              <w:rPr>
                <w:b/>
                <w:bCs/>
                <w:sz w:val="20"/>
                <w:szCs w:val="20"/>
              </w:rPr>
              <w:t>Common Electric Generator</w:t>
            </w:r>
          </w:p>
        </w:tc>
      </w:tr>
      <w:tr w:rsidR="00DA702B" w:rsidRPr="00DA702B" w14:paraId="6E0B7026" w14:textId="77777777" w:rsidTr="00247007">
        <w:trPr>
          <w:cantSplit/>
          <w:trHeight w:val="346"/>
          <w:tblHeader/>
        </w:trPr>
        <w:tc>
          <w:tcPr>
            <w:tcW w:w="1800" w:type="dxa"/>
          </w:tcPr>
          <w:p w14:paraId="68836585" w14:textId="77777777" w:rsidR="00DA702B" w:rsidRPr="00DA702B" w:rsidRDefault="00DA702B" w:rsidP="00DA702B"/>
        </w:tc>
        <w:tc>
          <w:tcPr>
            <w:tcW w:w="1800" w:type="dxa"/>
          </w:tcPr>
          <w:p w14:paraId="13DA817A" w14:textId="77777777" w:rsidR="00DA702B" w:rsidRPr="00DA702B" w:rsidRDefault="00DA702B" w:rsidP="00DA702B"/>
        </w:tc>
        <w:tc>
          <w:tcPr>
            <w:tcW w:w="1800" w:type="dxa"/>
          </w:tcPr>
          <w:p w14:paraId="40A5D6D9" w14:textId="77777777" w:rsidR="00DA702B" w:rsidRPr="00DA702B" w:rsidRDefault="00DA702B" w:rsidP="00DA702B"/>
        </w:tc>
        <w:tc>
          <w:tcPr>
            <w:tcW w:w="1800" w:type="dxa"/>
          </w:tcPr>
          <w:p w14:paraId="35301F25" w14:textId="77777777" w:rsidR="00DA702B" w:rsidRPr="00DA702B" w:rsidRDefault="00DA702B" w:rsidP="00DA702B"/>
        </w:tc>
        <w:tc>
          <w:tcPr>
            <w:tcW w:w="1800" w:type="dxa"/>
          </w:tcPr>
          <w:p w14:paraId="12279FE4" w14:textId="77777777" w:rsidR="00DA702B" w:rsidRPr="00DA702B" w:rsidRDefault="00DA702B" w:rsidP="00DA702B"/>
        </w:tc>
        <w:tc>
          <w:tcPr>
            <w:tcW w:w="1800" w:type="dxa"/>
          </w:tcPr>
          <w:p w14:paraId="152DB251" w14:textId="77777777" w:rsidR="00DA702B" w:rsidRPr="00DA702B" w:rsidRDefault="00DA702B" w:rsidP="00DA702B"/>
        </w:tc>
        <w:tc>
          <w:tcPr>
            <w:tcW w:w="1800" w:type="dxa"/>
          </w:tcPr>
          <w:p w14:paraId="151E81A7" w14:textId="77777777" w:rsidR="00DA702B" w:rsidRPr="00DA702B" w:rsidRDefault="00DA702B" w:rsidP="00DA702B"/>
        </w:tc>
        <w:tc>
          <w:tcPr>
            <w:tcW w:w="1800" w:type="dxa"/>
          </w:tcPr>
          <w:p w14:paraId="4E60AE4C" w14:textId="77777777" w:rsidR="00DA702B" w:rsidRPr="00DA702B" w:rsidRDefault="00DA702B" w:rsidP="00DA702B"/>
        </w:tc>
      </w:tr>
      <w:tr w:rsidR="00DA702B" w:rsidRPr="00DA702B" w14:paraId="49CB30C2" w14:textId="77777777" w:rsidTr="00247007">
        <w:trPr>
          <w:cantSplit/>
          <w:trHeight w:val="346"/>
          <w:tblHeader/>
        </w:trPr>
        <w:tc>
          <w:tcPr>
            <w:tcW w:w="1800" w:type="dxa"/>
          </w:tcPr>
          <w:p w14:paraId="47DA5A24" w14:textId="77777777" w:rsidR="00DA702B" w:rsidRPr="00DA702B" w:rsidRDefault="00DA702B" w:rsidP="00DA702B"/>
        </w:tc>
        <w:tc>
          <w:tcPr>
            <w:tcW w:w="1800" w:type="dxa"/>
          </w:tcPr>
          <w:p w14:paraId="1EC0E621" w14:textId="77777777" w:rsidR="00DA702B" w:rsidRPr="00DA702B" w:rsidRDefault="00DA702B" w:rsidP="00DA702B"/>
        </w:tc>
        <w:tc>
          <w:tcPr>
            <w:tcW w:w="1800" w:type="dxa"/>
          </w:tcPr>
          <w:p w14:paraId="69494BAA" w14:textId="77777777" w:rsidR="00DA702B" w:rsidRPr="00DA702B" w:rsidRDefault="00DA702B" w:rsidP="00DA702B"/>
        </w:tc>
        <w:tc>
          <w:tcPr>
            <w:tcW w:w="1800" w:type="dxa"/>
          </w:tcPr>
          <w:p w14:paraId="3BE8A421" w14:textId="77777777" w:rsidR="00DA702B" w:rsidRPr="00DA702B" w:rsidRDefault="00DA702B" w:rsidP="00DA702B"/>
        </w:tc>
        <w:tc>
          <w:tcPr>
            <w:tcW w:w="1800" w:type="dxa"/>
          </w:tcPr>
          <w:p w14:paraId="66ED6AFD" w14:textId="77777777" w:rsidR="00DA702B" w:rsidRPr="00DA702B" w:rsidRDefault="00DA702B" w:rsidP="00DA702B"/>
        </w:tc>
        <w:tc>
          <w:tcPr>
            <w:tcW w:w="1800" w:type="dxa"/>
          </w:tcPr>
          <w:p w14:paraId="3D2E666B" w14:textId="77777777" w:rsidR="00DA702B" w:rsidRPr="00DA702B" w:rsidRDefault="00DA702B" w:rsidP="00DA702B"/>
        </w:tc>
        <w:tc>
          <w:tcPr>
            <w:tcW w:w="1800" w:type="dxa"/>
          </w:tcPr>
          <w:p w14:paraId="381BF009" w14:textId="77777777" w:rsidR="00DA702B" w:rsidRPr="00DA702B" w:rsidRDefault="00DA702B" w:rsidP="00DA702B"/>
        </w:tc>
        <w:tc>
          <w:tcPr>
            <w:tcW w:w="1800" w:type="dxa"/>
          </w:tcPr>
          <w:p w14:paraId="22D468F4" w14:textId="77777777" w:rsidR="00DA702B" w:rsidRPr="00DA702B" w:rsidRDefault="00DA702B" w:rsidP="00DA702B"/>
        </w:tc>
      </w:tr>
      <w:tr w:rsidR="00DA702B" w:rsidRPr="00DA702B" w14:paraId="44C55099" w14:textId="77777777" w:rsidTr="00247007">
        <w:trPr>
          <w:cantSplit/>
          <w:trHeight w:val="346"/>
          <w:tblHeader/>
        </w:trPr>
        <w:tc>
          <w:tcPr>
            <w:tcW w:w="1800" w:type="dxa"/>
          </w:tcPr>
          <w:p w14:paraId="131A4D55" w14:textId="77777777" w:rsidR="00DA702B" w:rsidRPr="00DA702B" w:rsidRDefault="00DA702B" w:rsidP="00DA702B"/>
        </w:tc>
        <w:tc>
          <w:tcPr>
            <w:tcW w:w="1800" w:type="dxa"/>
          </w:tcPr>
          <w:p w14:paraId="73157AF6" w14:textId="77777777" w:rsidR="00DA702B" w:rsidRPr="00DA702B" w:rsidRDefault="00DA702B" w:rsidP="00DA702B"/>
        </w:tc>
        <w:tc>
          <w:tcPr>
            <w:tcW w:w="1800" w:type="dxa"/>
          </w:tcPr>
          <w:p w14:paraId="1A1B1B57" w14:textId="77777777" w:rsidR="00DA702B" w:rsidRPr="00DA702B" w:rsidRDefault="00DA702B" w:rsidP="00DA702B"/>
        </w:tc>
        <w:tc>
          <w:tcPr>
            <w:tcW w:w="1800" w:type="dxa"/>
          </w:tcPr>
          <w:p w14:paraId="1CF4A8B5" w14:textId="77777777" w:rsidR="00DA702B" w:rsidRPr="00DA702B" w:rsidRDefault="00DA702B" w:rsidP="00DA702B"/>
        </w:tc>
        <w:tc>
          <w:tcPr>
            <w:tcW w:w="1800" w:type="dxa"/>
          </w:tcPr>
          <w:p w14:paraId="70F8E1E5" w14:textId="77777777" w:rsidR="00DA702B" w:rsidRPr="00DA702B" w:rsidRDefault="00DA702B" w:rsidP="00DA702B"/>
        </w:tc>
        <w:tc>
          <w:tcPr>
            <w:tcW w:w="1800" w:type="dxa"/>
          </w:tcPr>
          <w:p w14:paraId="16FF0C99" w14:textId="77777777" w:rsidR="00DA702B" w:rsidRPr="00DA702B" w:rsidRDefault="00DA702B" w:rsidP="00DA702B"/>
        </w:tc>
        <w:tc>
          <w:tcPr>
            <w:tcW w:w="1800" w:type="dxa"/>
          </w:tcPr>
          <w:p w14:paraId="51930D8B" w14:textId="77777777" w:rsidR="00DA702B" w:rsidRPr="00DA702B" w:rsidRDefault="00DA702B" w:rsidP="00DA702B"/>
        </w:tc>
        <w:tc>
          <w:tcPr>
            <w:tcW w:w="1800" w:type="dxa"/>
          </w:tcPr>
          <w:p w14:paraId="117B5DAC" w14:textId="77777777" w:rsidR="00DA702B" w:rsidRPr="00DA702B" w:rsidRDefault="00DA702B" w:rsidP="00DA702B"/>
        </w:tc>
      </w:tr>
      <w:tr w:rsidR="00DA702B" w:rsidRPr="00DA702B" w14:paraId="3F8D350F" w14:textId="77777777" w:rsidTr="00247007">
        <w:trPr>
          <w:cantSplit/>
          <w:trHeight w:val="346"/>
          <w:tblHeader/>
        </w:trPr>
        <w:tc>
          <w:tcPr>
            <w:tcW w:w="1800" w:type="dxa"/>
          </w:tcPr>
          <w:p w14:paraId="60B1D180" w14:textId="77777777" w:rsidR="00DA702B" w:rsidRPr="00DA702B" w:rsidRDefault="00DA702B" w:rsidP="00DA702B"/>
        </w:tc>
        <w:tc>
          <w:tcPr>
            <w:tcW w:w="1800" w:type="dxa"/>
          </w:tcPr>
          <w:p w14:paraId="20BF0620" w14:textId="77777777" w:rsidR="00DA702B" w:rsidRPr="00DA702B" w:rsidRDefault="00DA702B" w:rsidP="00DA702B"/>
        </w:tc>
        <w:tc>
          <w:tcPr>
            <w:tcW w:w="1800" w:type="dxa"/>
          </w:tcPr>
          <w:p w14:paraId="5B5ABF4F" w14:textId="77777777" w:rsidR="00DA702B" w:rsidRPr="00DA702B" w:rsidRDefault="00DA702B" w:rsidP="00DA702B"/>
        </w:tc>
        <w:tc>
          <w:tcPr>
            <w:tcW w:w="1800" w:type="dxa"/>
          </w:tcPr>
          <w:p w14:paraId="436A10B1" w14:textId="77777777" w:rsidR="00DA702B" w:rsidRPr="00DA702B" w:rsidRDefault="00DA702B" w:rsidP="00DA702B"/>
        </w:tc>
        <w:tc>
          <w:tcPr>
            <w:tcW w:w="1800" w:type="dxa"/>
          </w:tcPr>
          <w:p w14:paraId="570F2BB8" w14:textId="77777777" w:rsidR="00DA702B" w:rsidRPr="00DA702B" w:rsidRDefault="00DA702B" w:rsidP="00DA702B"/>
        </w:tc>
        <w:tc>
          <w:tcPr>
            <w:tcW w:w="1800" w:type="dxa"/>
          </w:tcPr>
          <w:p w14:paraId="7C0D0E60" w14:textId="77777777" w:rsidR="00DA702B" w:rsidRPr="00DA702B" w:rsidRDefault="00DA702B" w:rsidP="00DA702B"/>
        </w:tc>
        <w:tc>
          <w:tcPr>
            <w:tcW w:w="1800" w:type="dxa"/>
          </w:tcPr>
          <w:p w14:paraId="1BED8598" w14:textId="77777777" w:rsidR="00DA702B" w:rsidRPr="00DA702B" w:rsidRDefault="00DA702B" w:rsidP="00DA702B"/>
        </w:tc>
        <w:tc>
          <w:tcPr>
            <w:tcW w:w="1800" w:type="dxa"/>
          </w:tcPr>
          <w:p w14:paraId="022AD07E" w14:textId="77777777" w:rsidR="00DA702B" w:rsidRPr="00DA702B" w:rsidRDefault="00DA702B" w:rsidP="00DA702B"/>
        </w:tc>
      </w:tr>
      <w:tr w:rsidR="00DA702B" w:rsidRPr="00DA702B" w14:paraId="5FDD6CA1" w14:textId="77777777" w:rsidTr="00247007">
        <w:trPr>
          <w:cantSplit/>
          <w:trHeight w:val="346"/>
          <w:tblHeader/>
        </w:trPr>
        <w:tc>
          <w:tcPr>
            <w:tcW w:w="1800" w:type="dxa"/>
          </w:tcPr>
          <w:p w14:paraId="27395EA3" w14:textId="77777777" w:rsidR="00DA702B" w:rsidRPr="00DA702B" w:rsidRDefault="00DA702B" w:rsidP="00DA702B"/>
        </w:tc>
        <w:tc>
          <w:tcPr>
            <w:tcW w:w="1800" w:type="dxa"/>
          </w:tcPr>
          <w:p w14:paraId="5EF06A0E" w14:textId="77777777" w:rsidR="00DA702B" w:rsidRPr="00DA702B" w:rsidRDefault="00DA702B" w:rsidP="00DA702B"/>
        </w:tc>
        <w:tc>
          <w:tcPr>
            <w:tcW w:w="1800" w:type="dxa"/>
          </w:tcPr>
          <w:p w14:paraId="482188EE" w14:textId="77777777" w:rsidR="00DA702B" w:rsidRPr="00DA702B" w:rsidRDefault="00DA702B" w:rsidP="00DA702B"/>
        </w:tc>
        <w:tc>
          <w:tcPr>
            <w:tcW w:w="1800" w:type="dxa"/>
          </w:tcPr>
          <w:p w14:paraId="498EF73D" w14:textId="77777777" w:rsidR="00DA702B" w:rsidRPr="00DA702B" w:rsidRDefault="00DA702B" w:rsidP="00DA702B"/>
        </w:tc>
        <w:tc>
          <w:tcPr>
            <w:tcW w:w="1800" w:type="dxa"/>
          </w:tcPr>
          <w:p w14:paraId="0CAFC4C4" w14:textId="77777777" w:rsidR="00DA702B" w:rsidRPr="00DA702B" w:rsidRDefault="00DA702B" w:rsidP="00DA702B"/>
        </w:tc>
        <w:tc>
          <w:tcPr>
            <w:tcW w:w="1800" w:type="dxa"/>
          </w:tcPr>
          <w:p w14:paraId="4E1C525E" w14:textId="77777777" w:rsidR="00DA702B" w:rsidRPr="00DA702B" w:rsidRDefault="00DA702B" w:rsidP="00DA702B"/>
        </w:tc>
        <w:tc>
          <w:tcPr>
            <w:tcW w:w="1800" w:type="dxa"/>
          </w:tcPr>
          <w:p w14:paraId="2F90BEB6" w14:textId="77777777" w:rsidR="00DA702B" w:rsidRPr="00DA702B" w:rsidRDefault="00DA702B" w:rsidP="00DA702B"/>
        </w:tc>
        <w:tc>
          <w:tcPr>
            <w:tcW w:w="1800" w:type="dxa"/>
          </w:tcPr>
          <w:p w14:paraId="5EF1086F" w14:textId="77777777" w:rsidR="00DA702B" w:rsidRPr="00DA702B" w:rsidRDefault="00DA702B" w:rsidP="00DA702B"/>
        </w:tc>
      </w:tr>
      <w:tr w:rsidR="00DA702B" w:rsidRPr="00DA702B" w14:paraId="0F50BF30" w14:textId="77777777" w:rsidTr="00247007">
        <w:trPr>
          <w:cantSplit/>
          <w:trHeight w:val="346"/>
          <w:tblHeader/>
        </w:trPr>
        <w:tc>
          <w:tcPr>
            <w:tcW w:w="1800" w:type="dxa"/>
          </w:tcPr>
          <w:p w14:paraId="4C9D4251" w14:textId="77777777" w:rsidR="00DA702B" w:rsidRPr="00DA702B" w:rsidRDefault="00DA702B" w:rsidP="00DA702B"/>
        </w:tc>
        <w:tc>
          <w:tcPr>
            <w:tcW w:w="1800" w:type="dxa"/>
          </w:tcPr>
          <w:p w14:paraId="4805F17F" w14:textId="77777777" w:rsidR="00DA702B" w:rsidRPr="00DA702B" w:rsidRDefault="00DA702B" w:rsidP="00DA702B"/>
        </w:tc>
        <w:tc>
          <w:tcPr>
            <w:tcW w:w="1800" w:type="dxa"/>
          </w:tcPr>
          <w:p w14:paraId="270E6756" w14:textId="77777777" w:rsidR="00DA702B" w:rsidRPr="00DA702B" w:rsidRDefault="00DA702B" w:rsidP="00DA702B"/>
        </w:tc>
        <w:tc>
          <w:tcPr>
            <w:tcW w:w="1800" w:type="dxa"/>
          </w:tcPr>
          <w:p w14:paraId="6E9F0BAE" w14:textId="77777777" w:rsidR="00DA702B" w:rsidRPr="00DA702B" w:rsidRDefault="00DA702B" w:rsidP="00DA702B"/>
        </w:tc>
        <w:tc>
          <w:tcPr>
            <w:tcW w:w="1800" w:type="dxa"/>
          </w:tcPr>
          <w:p w14:paraId="66901050" w14:textId="77777777" w:rsidR="00DA702B" w:rsidRPr="00DA702B" w:rsidRDefault="00DA702B" w:rsidP="00DA702B"/>
        </w:tc>
        <w:tc>
          <w:tcPr>
            <w:tcW w:w="1800" w:type="dxa"/>
          </w:tcPr>
          <w:p w14:paraId="3FCEC1E0" w14:textId="77777777" w:rsidR="00DA702B" w:rsidRPr="00DA702B" w:rsidRDefault="00DA702B" w:rsidP="00DA702B"/>
        </w:tc>
        <w:tc>
          <w:tcPr>
            <w:tcW w:w="1800" w:type="dxa"/>
          </w:tcPr>
          <w:p w14:paraId="79F08F07" w14:textId="77777777" w:rsidR="00DA702B" w:rsidRPr="00DA702B" w:rsidRDefault="00DA702B" w:rsidP="00DA702B"/>
        </w:tc>
        <w:tc>
          <w:tcPr>
            <w:tcW w:w="1800" w:type="dxa"/>
          </w:tcPr>
          <w:p w14:paraId="1CAC0BE3" w14:textId="77777777" w:rsidR="00DA702B" w:rsidRPr="00DA702B" w:rsidRDefault="00DA702B" w:rsidP="00DA702B"/>
        </w:tc>
      </w:tr>
      <w:tr w:rsidR="00DA702B" w:rsidRPr="00DA702B" w14:paraId="25FA068A" w14:textId="77777777" w:rsidTr="00247007">
        <w:trPr>
          <w:cantSplit/>
          <w:trHeight w:val="346"/>
          <w:tblHeader/>
        </w:trPr>
        <w:tc>
          <w:tcPr>
            <w:tcW w:w="1800" w:type="dxa"/>
          </w:tcPr>
          <w:p w14:paraId="27C33F00" w14:textId="77777777" w:rsidR="00DA702B" w:rsidRPr="00DA702B" w:rsidRDefault="00DA702B" w:rsidP="00DA702B"/>
        </w:tc>
        <w:tc>
          <w:tcPr>
            <w:tcW w:w="1800" w:type="dxa"/>
          </w:tcPr>
          <w:p w14:paraId="08549D13" w14:textId="77777777" w:rsidR="00DA702B" w:rsidRPr="00DA702B" w:rsidRDefault="00DA702B" w:rsidP="00DA702B"/>
        </w:tc>
        <w:tc>
          <w:tcPr>
            <w:tcW w:w="1800" w:type="dxa"/>
          </w:tcPr>
          <w:p w14:paraId="311A8C9D" w14:textId="77777777" w:rsidR="00DA702B" w:rsidRPr="00DA702B" w:rsidRDefault="00DA702B" w:rsidP="00DA702B"/>
        </w:tc>
        <w:tc>
          <w:tcPr>
            <w:tcW w:w="1800" w:type="dxa"/>
          </w:tcPr>
          <w:p w14:paraId="62912B0A" w14:textId="77777777" w:rsidR="00DA702B" w:rsidRPr="00DA702B" w:rsidRDefault="00DA702B" w:rsidP="00DA702B"/>
        </w:tc>
        <w:tc>
          <w:tcPr>
            <w:tcW w:w="1800" w:type="dxa"/>
          </w:tcPr>
          <w:p w14:paraId="762D0DD3" w14:textId="77777777" w:rsidR="00DA702B" w:rsidRPr="00DA702B" w:rsidRDefault="00DA702B" w:rsidP="00DA702B"/>
        </w:tc>
        <w:tc>
          <w:tcPr>
            <w:tcW w:w="1800" w:type="dxa"/>
          </w:tcPr>
          <w:p w14:paraId="397846C6" w14:textId="77777777" w:rsidR="00DA702B" w:rsidRPr="00DA702B" w:rsidRDefault="00DA702B" w:rsidP="00DA702B"/>
        </w:tc>
        <w:tc>
          <w:tcPr>
            <w:tcW w:w="1800" w:type="dxa"/>
          </w:tcPr>
          <w:p w14:paraId="563FDBCA" w14:textId="77777777" w:rsidR="00DA702B" w:rsidRPr="00DA702B" w:rsidRDefault="00DA702B" w:rsidP="00DA702B"/>
        </w:tc>
        <w:tc>
          <w:tcPr>
            <w:tcW w:w="1800" w:type="dxa"/>
          </w:tcPr>
          <w:p w14:paraId="6ADFC79F" w14:textId="77777777" w:rsidR="00DA702B" w:rsidRPr="00DA702B" w:rsidRDefault="00DA702B" w:rsidP="00DA702B"/>
        </w:tc>
      </w:tr>
      <w:tr w:rsidR="00DA702B" w:rsidRPr="00DA702B" w14:paraId="36F59E19" w14:textId="77777777" w:rsidTr="00247007">
        <w:trPr>
          <w:cantSplit/>
          <w:trHeight w:val="346"/>
          <w:tblHeader/>
        </w:trPr>
        <w:tc>
          <w:tcPr>
            <w:tcW w:w="1800" w:type="dxa"/>
          </w:tcPr>
          <w:p w14:paraId="03D9A5A4" w14:textId="77777777" w:rsidR="00DA702B" w:rsidRPr="00DA702B" w:rsidRDefault="00DA702B" w:rsidP="00DA702B"/>
        </w:tc>
        <w:tc>
          <w:tcPr>
            <w:tcW w:w="1800" w:type="dxa"/>
          </w:tcPr>
          <w:p w14:paraId="4FB43F52" w14:textId="77777777" w:rsidR="00DA702B" w:rsidRPr="00DA702B" w:rsidRDefault="00DA702B" w:rsidP="00DA702B"/>
        </w:tc>
        <w:tc>
          <w:tcPr>
            <w:tcW w:w="1800" w:type="dxa"/>
          </w:tcPr>
          <w:p w14:paraId="50EE1636" w14:textId="77777777" w:rsidR="00DA702B" w:rsidRPr="00DA702B" w:rsidRDefault="00DA702B" w:rsidP="00DA702B"/>
        </w:tc>
        <w:tc>
          <w:tcPr>
            <w:tcW w:w="1800" w:type="dxa"/>
          </w:tcPr>
          <w:p w14:paraId="58D70542" w14:textId="77777777" w:rsidR="00DA702B" w:rsidRPr="00DA702B" w:rsidRDefault="00DA702B" w:rsidP="00DA702B"/>
        </w:tc>
        <w:tc>
          <w:tcPr>
            <w:tcW w:w="1800" w:type="dxa"/>
          </w:tcPr>
          <w:p w14:paraId="4BF1A78B" w14:textId="77777777" w:rsidR="00DA702B" w:rsidRPr="00DA702B" w:rsidRDefault="00DA702B" w:rsidP="00DA702B"/>
        </w:tc>
        <w:tc>
          <w:tcPr>
            <w:tcW w:w="1800" w:type="dxa"/>
          </w:tcPr>
          <w:p w14:paraId="10B54EEC" w14:textId="77777777" w:rsidR="00DA702B" w:rsidRPr="00DA702B" w:rsidRDefault="00DA702B" w:rsidP="00DA702B"/>
        </w:tc>
        <w:tc>
          <w:tcPr>
            <w:tcW w:w="1800" w:type="dxa"/>
          </w:tcPr>
          <w:p w14:paraId="16A17BE5" w14:textId="77777777" w:rsidR="00DA702B" w:rsidRPr="00DA702B" w:rsidRDefault="00DA702B" w:rsidP="00DA702B"/>
        </w:tc>
        <w:tc>
          <w:tcPr>
            <w:tcW w:w="1800" w:type="dxa"/>
          </w:tcPr>
          <w:p w14:paraId="4C1AB098" w14:textId="77777777" w:rsidR="00DA702B" w:rsidRPr="00DA702B" w:rsidRDefault="00DA702B" w:rsidP="00DA702B"/>
        </w:tc>
      </w:tr>
      <w:tr w:rsidR="00DA702B" w:rsidRPr="00DA702B" w14:paraId="0F710BBA" w14:textId="77777777" w:rsidTr="00247007">
        <w:trPr>
          <w:cantSplit/>
          <w:trHeight w:val="346"/>
          <w:tblHeader/>
        </w:trPr>
        <w:tc>
          <w:tcPr>
            <w:tcW w:w="1800" w:type="dxa"/>
          </w:tcPr>
          <w:p w14:paraId="07BEE79F" w14:textId="77777777" w:rsidR="00DA702B" w:rsidRPr="00DA702B" w:rsidRDefault="00DA702B" w:rsidP="00DA702B"/>
        </w:tc>
        <w:tc>
          <w:tcPr>
            <w:tcW w:w="1800" w:type="dxa"/>
          </w:tcPr>
          <w:p w14:paraId="41C87DA0" w14:textId="77777777" w:rsidR="00DA702B" w:rsidRPr="00DA702B" w:rsidRDefault="00DA702B" w:rsidP="00DA702B"/>
        </w:tc>
        <w:tc>
          <w:tcPr>
            <w:tcW w:w="1800" w:type="dxa"/>
          </w:tcPr>
          <w:p w14:paraId="43884C2D" w14:textId="77777777" w:rsidR="00DA702B" w:rsidRPr="00DA702B" w:rsidRDefault="00DA702B" w:rsidP="00DA702B"/>
        </w:tc>
        <w:tc>
          <w:tcPr>
            <w:tcW w:w="1800" w:type="dxa"/>
          </w:tcPr>
          <w:p w14:paraId="5EDF2726" w14:textId="77777777" w:rsidR="00DA702B" w:rsidRPr="00DA702B" w:rsidRDefault="00DA702B" w:rsidP="00DA702B"/>
        </w:tc>
        <w:tc>
          <w:tcPr>
            <w:tcW w:w="1800" w:type="dxa"/>
          </w:tcPr>
          <w:p w14:paraId="31EDBD9D" w14:textId="77777777" w:rsidR="00DA702B" w:rsidRPr="00DA702B" w:rsidRDefault="00DA702B" w:rsidP="00DA702B"/>
        </w:tc>
        <w:tc>
          <w:tcPr>
            <w:tcW w:w="1800" w:type="dxa"/>
          </w:tcPr>
          <w:p w14:paraId="088FFD97" w14:textId="77777777" w:rsidR="00DA702B" w:rsidRPr="00DA702B" w:rsidRDefault="00DA702B" w:rsidP="00DA702B"/>
        </w:tc>
        <w:tc>
          <w:tcPr>
            <w:tcW w:w="1800" w:type="dxa"/>
          </w:tcPr>
          <w:p w14:paraId="17003D42" w14:textId="77777777" w:rsidR="00DA702B" w:rsidRPr="00DA702B" w:rsidRDefault="00DA702B" w:rsidP="00DA702B"/>
        </w:tc>
        <w:tc>
          <w:tcPr>
            <w:tcW w:w="1800" w:type="dxa"/>
          </w:tcPr>
          <w:p w14:paraId="7F3AD7AD" w14:textId="77777777" w:rsidR="00DA702B" w:rsidRPr="00DA702B" w:rsidRDefault="00DA702B" w:rsidP="00DA702B"/>
        </w:tc>
      </w:tr>
      <w:tr w:rsidR="00DA702B" w:rsidRPr="00DA702B" w14:paraId="6FA19EA0" w14:textId="77777777" w:rsidTr="00247007">
        <w:trPr>
          <w:cantSplit/>
          <w:trHeight w:val="346"/>
          <w:tblHeader/>
        </w:trPr>
        <w:tc>
          <w:tcPr>
            <w:tcW w:w="1800" w:type="dxa"/>
          </w:tcPr>
          <w:p w14:paraId="7EDB860E" w14:textId="77777777" w:rsidR="00DA702B" w:rsidRPr="00DA702B" w:rsidRDefault="00DA702B" w:rsidP="00DA702B"/>
        </w:tc>
        <w:tc>
          <w:tcPr>
            <w:tcW w:w="1800" w:type="dxa"/>
          </w:tcPr>
          <w:p w14:paraId="46B2BCB9" w14:textId="77777777" w:rsidR="00DA702B" w:rsidRPr="00DA702B" w:rsidRDefault="00DA702B" w:rsidP="00DA702B"/>
        </w:tc>
        <w:tc>
          <w:tcPr>
            <w:tcW w:w="1800" w:type="dxa"/>
          </w:tcPr>
          <w:p w14:paraId="51FEE5F0" w14:textId="77777777" w:rsidR="00DA702B" w:rsidRPr="00DA702B" w:rsidRDefault="00DA702B" w:rsidP="00DA702B"/>
        </w:tc>
        <w:tc>
          <w:tcPr>
            <w:tcW w:w="1800" w:type="dxa"/>
          </w:tcPr>
          <w:p w14:paraId="3AC81522" w14:textId="77777777" w:rsidR="00DA702B" w:rsidRPr="00DA702B" w:rsidRDefault="00DA702B" w:rsidP="00DA702B"/>
        </w:tc>
        <w:tc>
          <w:tcPr>
            <w:tcW w:w="1800" w:type="dxa"/>
          </w:tcPr>
          <w:p w14:paraId="28DF973D" w14:textId="77777777" w:rsidR="00DA702B" w:rsidRPr="00DA702B" w:rsidRDefault="00DA702B" w:rsidP="00DA702B"/>
        </w:tc>
        <w:tc>
          <w:tcPr>
            <w:tcW w:w="1800" w:type="dxa"/>
          </w:tcPr>
          <w:p w14:paraId="24B9C97E" w14:textId="77777777" w:rsidR="00DA702B" w:rsidRPr="00DA702B" w:rsidRDefault="00DA702B" w:rsidP="00DA702B"/>
        </w:tc>
        <w:tc>
          <w:tcPr>
            <w:tcW w:w="1800" w:type="dxa"/>
          </w:tcPr>
          <w:p w14:paraId="0673A172" w14:textId="77777777" w:rsidR="00DA702B" w:rsidRPr="00DA702B" w:rsidRDefault="00DA702B" w:rsidP="00DA702B"/>
        </w:tc>
        <w:tc>
          <w:tcPr>
            <w:tcW w:w="1800" w:type="dxa"/>
          </w:tcPr>
          <w:p w14:paraId="1D054E82" w14:textId="77777777" w:rsidR="00DA702B" w:rsidRPr="00DA702B" w:rsidRDefault="00DA702B" w:rsidP="00DA702B"/>
        </w:tc>
      </w:tr>
    </w:tbl>
    <w:p w14:paraId="264F5251" w14:textId="7F2C9BB1" w:rsidR="00EC58E0" w:rsidRDefault="00EC58E0" w:rsidP="00DA702B"/>
    <w:sectPr w:rsidR="00EC58E0" w:rsidSect="00DA702B">
      <w:headerReference w:type="even" r:id="rId63"/>
      <w:headerReference w:type="default" r:id="rId64"/>
      <w:footerReference w:type="default" r:id="rId65"/>
      <w:headerReference w:type="first" r:id="rId66"/>
      <w:footerReference w:type="first" r:id="rId67"/>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F0122" w14:textId="77777777" w:rsidR="0044192A" w:rsidRDefault="0044192A" w:rsidP="00232D87">
      <w:r>
        <w:separator/>
      </w:r>
    </w:p>
  </w:endnote>
  <w:endnote w:type="continuationSeparator" w:id="0">
    <w:p w14:paraId="418D6A62" w14:textId="77777777" w:rsidR="0044192A" w:rsidRDefault="0044192A" w:rsidP="00232D87">
      <w:r>
        <w:continuationSeparator/>
      </w:r>
    </w:p>
  </w:endnote>
  <w:endnote w:type="continuationNotice" w:id="1">
    <w:p w14:paraId="0073D794" w14:textId="77777777" w:rsidR="0044192A" w:rsidRDefault="00441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380A" w14:textId="77777777" w:rsidR="006D6986" w:rsidRPr="005B35C8" w:rsidRDefault="006D6986" w:rsidP="00FC54C2">
    <w:pPr>
      <w:pStyle w:val="APDFooter"/>
    </w:pPr>
    <w:r w:rsidRPr="005B35C8">
      <w:t xml:space="preserve">TCEQ-10026 </w:t>
    </w:r>
    <w:r>
      <w:t>(APD-ID 40v3.0, r</w:t>
    </w:r>
    <w:r w:rsidRPr="005B35C8">
      <w:t xml:space="preserve">evised </w:t>
    </w:r>
    <w:r>
      <w:t>09/24</w:t>
    </w:r>
    <w:r w:rsidRPr="005B35C8">
      <w:t>) OP-UA6</w:t>
    </w:r>
    <w:r>
      <w:t xml:space="preserve"> Instr.</w:t>
    </w:r>
  </w:p>
  <w:p w14:paraId="70DC8796" w14:textId="77777777" w:rsidR="006D6986" w:rsidRPr="005B35C8" w:rsidRDefault="006D6986" w:rsidP="00FC54C2">
    <w:pPr>
      <w:pStyle w:val="APDFooter"/>
    </w:pPr>
    <w:r w:rsidRPr="005B35C8">
      <w:t>This form is for use by facilities subject to air quality permit requirements</w:t>
    </w:r>
  </w:p>
  <w:p w14:paraId="574A68EC" w14:textId="77777777" w:rsidR="006D6986" w:rsidRDefault="006D6986" w:rsidP="008D39BB">
    <w:pPr>
      <w:tabs>
        <w:tab w:val="right" w:pos="14310"/>
      </w:tabs>
    </w:pPr>
    <w:r w:rsidRPr="005B35C8">
      <w:rPr>
        <w:b/>
        <w:sz w:val="16"/>
        <w:szCs w:val="16"/>
      </w:rPr>
      <w:t xml:space="preserve">and may be revised periodically. (Title V Release </w:t>
    </w:r>
    <w:r>
      <w:rPr>
        <w:b/>
        <w:sz w:val="16"/>
        <w:szCs w:val="16"/>
      </w:rPr>
      <w:t>09/24</w:t>
    </w:r>
    <w:r w:rsidRPr="005B35C8">
      <w:rPr>
        <w:b/>
        <w:sz w:val="16"/>
        <w:szCs w:val="16"/>
      </w:rPr>
      <w:t>)</w:t>
    </w:r>
    <w:r w:rsidRPr="005B35C8">
      <w:rPr>
        <w:b/>
        <w:sz w:val="16"/>
        <w:szCs w:val="16"/>
      </w:rPr>
      <w:tab/>
    </w:r>
    <w:r w:rsidRPr="00D12D50">
      <w:rPr>
        <w:b/>
        <w:sz w:val="16"/>
        <w:szCs w:val="16"/>
      </w:rPr>
      <w:t xml:space="preserve">Page </w:t>
    </w:r>
    <w:r w:rsidRPr="00D12D50">
      <w:rPr>
        <w:b/>
        <w:bCs/>
        <w:sz w:val="16"/>
        <w:szCs w:val="16"/>
      </w:rPr>
      <w:fldChar w:fldCharType="begin"/>
    </w:r>
    <w:r w:rsidRPr="00D12D50">
      <w:rPr>
        <w:b/>
        <w:bCs/>
        <w:sz w:val="16"/>
        <w:szCs w:val="16"/>
      </w:rPr>
      <w:instrText xml:space="preserve"> PAGE  \* Arabic  \* MERGEFORMAT </w:instrText>
    </w:r>
    <w:r w:rsidRPr="00D12D50">
      <w:rPr>
        <w:b/>
        <w:bCs/>
        <w:sz w:val="16"/>
        <w:szCs w:val="16"/>
      </w:rPr>
      <w:fldChar w:fldCharType="separate"/>
    </w:r>
    <w:r>
      <w:rPr>
        <w:b/>
        <w:bCs/>
        <w:sz w:val="16"/>
        <w:szCs w:val="16"/>
      </w:rPr>
      <w:t>5</w:t>
    </w:r>
    <w:r w:rsidRPr="00D12D50">
      <w:rPr>
        <w:b/>
        <w:bCs/>
        <w:sz w:val="16"/>
        <w:szCs w:val="16"/>
      </w:rPr>
      <w:fldChar w:fldCharType="end"/>
    </w:r>
    <w:r w:rsidRPr="00D12D50">
      <w:rPr>
        <w:b/>
        <w:sz w:val="16"/>
        <w:szCs w:val="16"/>
      </w:rPr>
      <w:t xml:space="preserve"> of </w:t>
    </w:r>
    <w:r>
      <w:rPr>
        <w:b/>
        <w:sz w:val="16"/>
        <w:szCs w:val="16"/>
      </w:rPr>
      <w:t>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5587" w14:textId="77777777" w:rsidR="006D6986" w:rsidRPr="005B35C8" w:rsidRDefault="006D6986" w:rsidP="00D12D50">
    <w:pPr>
      <w:pStyle w:val="APDFooter"/>
    </w:pPr>
    <w:r w:rsidRPr="005B35C8">
      <w:t xml:space="preserve">TCEQ-10026 </w:t>
    </w:r>
    <w:r>
      <w:t>(APD-ID 40v3.0, r</w:t>
    </w:r>
    <w:r w:rsidRPr="005B35C8">
      <w:t xml:space="preserve">evised </w:t>
    </w:r>
    <w:r>
      <w:t>09/24</w:t>
    </w:r>
    <w:r w:rsidRPr="005B35C8">
      <w:t>) OP-UA6</w:t>
    </w:r>
    <w:r>
      <w:t xml:space="preserve"> Instr.</w:t>
    </w:r>
  </w:p>
  <w:p w14:paraId="65C0EE16" w14:textId="77777777" w:rsidR="006D6986" w:rsidRPr="005B35C8" w:rsidRDefault="006D6986" w:rsidP="00D12D50">
    <w:pPr>
      <w:pStyle w:val="APDFooter"/>
    </w:pPr>
    <w:r w:rsidRPr="005B35C8">
      <w:t>This form is for use by facilities subject to air quality permit requirements</w:t>
    </w:r>
  </w:p>
  <w:p w14:paraId="357ABE39" w14:textId="77777777" w:rsidR="006D6986" w:rsidRPr="00AF233D" w:rsidRDefault="006D6986" w:rsidP="00D12D50">
    <w:pPr>
      <w:tabs>
        <w:tab w:val="right" w:pos="14310"/>
      </w:tabs>
      <w:rPr>
        <w:szCs w:val="16"/>
        <w:u w:val="single"/>
      </w:rPr>
    </w:pPr>
    <w:r w:rsidRPr="005B35C8">
      <w:rPr>
        <w:b/>
        <w:sz w:val="16"/>
        <w:szCs w:val="16"/>
      </w:rPr>
      <w:t xml:space="preserve">and may be revised periodically. (Title V Release </w:t>
    </w:r>
    <w:r>
      <w:rPr>
        <w:b/>
        <w:sz w:val="16"/>
        <w:szCs w:val="16"/>
      </w:rPr>
      <w:t>09/24</w:t>
    </w:r>
    <w:r w:rsidRPr="005B35C8">
      <w:rPr>
        <w:b/>
        <w:sz w:val="16"/>
        <w:szCs w:val="16"/>
      </w:rPr>
      <w:t>)</w:t>
    </w:r>
    <w:r w:rsidRPr="005B35C8">
      <w:rPr>
        <w:b/>
        <w:sz w:val="16"/>
        <w:szCs w:val="16"/>
      </w:rPr>
      <w:tab/>
    </w:r>
    <w:r w:rsidRPr="00D12D50">
      <w:rPr>
        <w:b/>
        <w:sz w:val="16"/>
        <w:szCs w:val="16"/>
      </w:rPr>
      <w:t xml:space="preserve">Page </w:t>
    </w:r>
    <w:r w:rsidRPr="00D12D50">
      <w:rPr>
        <w:b/>
        <w:bCs/>
        <w:sz w:val="16"/>
        <w:szCs w:val="16"/>
      </w:rPr>
      <w:fldChar w:fldCharType="begin"/>
    </w:r>
    <w:r w:rsidRPr="00D12D50">
      <w:rPr>
        <w:b/>
        <w:bCs/>
        <w:sz w:val="16"/>
        <w:szCs w:val="16"/>
      </w:rPr>
      <w:instrText xml:space="preserve"> PAGE  \* Arabic  \* MERGEFORMAT </w:instrText>
    </w:r>
    <w:r w:rsidRPr="00D12D50">
      <w:rPr>
        <w:b/>
        <w:bCs/>
        <w:sz w:val="16"/>
        <w:szCs w:val="16"/>
      </w:rPr>
      <w:fldChar w:fldCharType="separate"/>
    </w:r>
    <w:r w:rsidRPr="00D12D50">
      <w:rPr>
        <w:b/>
        <w:bCs/>
        <w:noProof/>
        <w:sz w:val="16"/>
        <w:szCs w:val="16"/>
      </w:rPr>
      <w:t>1</w:t>
    </w:r>
    <w:r w:rsidRPr="00D12D50">
      <w:rPr>
        <w:b/>
        <w:bCs/>
        <w:sz w:val="16"/>
        <w:szCs w:val="16"/>
      </w:rPr>
      <w:fldChar w:fldCharType="end"/>
    </w:r>
    <w:r w:rsidRPr="00D12D50">
      <w:rPr>
        <w:b/>
        <w:sz w:val="16"/>
        <w:szCs w:val="16"/>
      </w:rPr>
      <w:t xml:space="preserve"> of </w:t>
    </w:r>
    <w:r>
      <w:rPr>
        <w:b/>
        <w:bCs/>
        <w:sz w:val="16"/>
        <w:szCs w:val="16"/>
      </w:rPr>
      <w:t>84</w:t>
    </w:r>
  </w:p>
  <w:p w14:paraId="40E070B1" w14:textId="77777777" w:rsidR="006D6986" w:rsidRDefault="006D6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62B0" w14:textId="780F67E8" w:rsidR="00DA702B" w:rsidRPr="005B35C8" w:rsidRDefault="00DA702B" w:rsidP="005B35C8">
    <w:pPr>
      <w:pStyle w:val="APDFooter"/>
    </w:pPr>
    <w:r w:rsidRPr="005B35C8">
      <w:t xml:space="preserve">TCEQ-10026 </w:t>
    </w:r>
    <w:r>
      <w:t>(APD-ID 40v</w:t>
    </w:r>
    <w:r w:rsidR="00EB3D89">
      <w:t>3</w:t>
    </w:r>
    <w:r>
      <w:t>.0, r</w:t>
    </w:r>
    <w:r w:rsidRPr="005B35C8">
      <w:t xml:space="preserve">evised </w:t>
    </w:r>
    <w:r>
      <w:t>09/2</w:t>
    </w:r>
    <w:r w:rsidR="00EB3D89">
      <w:t>4</w:t>
    </w:r>
    <w:r w:rsidRPr="005B35C8">
      <w:t>) OP-UA6</w:t>
    </w:r>
  </w:p>
  <w:p w14:paraId="5DEDCC22" w14:textId="77777777" w:rsidR="00DA702B" w:rsidRPr="005B35C8" w:rsidRDefault="00DA702B" w:rsidP="005B35C8">
    <w:pPr>
      <w:pStyle w:val="APDFooter"/>
    </w:pPr>
    <w:r w:rsidRPr="005B35C8">
      <w:t>This form is for use by facilities subject to air quality permit requirements</w:t>
    </w:r>
  </w:p>
  <w:p w14:paraId="06BD1829" w14:textId="44125E41" w:rsidR="00DA702B" w:rsidRPr="009A2756" w:rsidRDefault="00DA702B" w:rsidP="005B35C8">
    <w:pPr>
      <w:tabs>
        <w:tab w:val="right" w:pos="14310"/>
      </w:tabs>
      <w:rPr>
        <w:b/>
        <w:sz w:val="16"/>
        <w:szCs w:val="16"/>
      </w:rPr>
    </w:pPr>
    <w:r w:rsidRPr="005B35C8">
      <w:rPr>
        <w:b/>
        <w:sz w:val="16"/>
        <w:szCs w:val="16"/>
      </w:rPr>
      <w:t xml:space="preserve">and may be revised periodically. (Title V Release </w:t>
    </w:r>
    <w:r>
      <w:rPr>
        <w:b/>
        <w:sz w:val="16"/>
        <w:szCs w:val="16"/>
      </w:rPr>
      <w:t>09/23</w:t>
    </w:r>
    <w:r w:rsidRPr="005B35C8">
      <w:rPr>
        <w:b/>
        <w:sz w:val="16"/>
        <w:szCs w:val="16"/>
      </w:rPr>
      <w:t>)</w:t>
    </w:r>
    <w:r w:rsidRPr="009A2756">
      <w:rPr>
        <w:b/>
        <w:sz w:val="16"/>
        <w:szCs w:val="16"/>
      </w:rPr>
      <w:tab/>
    </w:r>
    <w:r w:rsidRPr="005B35C8">
      <w:rPr>
        <w:b/>
        <w:sz w:val="16"/>
        <w:szCs w:val="16"/>
      </w:rPr>
      <w:t xml:space="preserve">Page </w:t>
    </w:r>
    <w:r w:rsidR="00100C9A">
      <w:rPr>
        <w:b/>
        <w:sz w:val="16"/>
        <w:szCs w:val="16"/>
      </w:rPr>
      <w:t>8</w:t>
    </w:r>
    <w:r w:rsidR="00EB3D89">
      <w:rPr>
        <w:b/>
        <w:sz w:val="16"/>
        <w:szCs w:val="16"/>
      </w:rPr>
      <w:t>4</w:t>
    </w:r>
    <w:r w:rsidR="00100C9A">
      <w:rPr>
        <w:b/>
        <w:sz w:val="16"/>
        <w:szCs w:val="16"/>
      </w:rPr>
      <w:t xml:space="preserve"> of 8</w:t>
    </w:r>
    <w:r w:rsidR="00EB3D89">
      <w:rPr>
        <w:b/>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2307" w14:textId="43C4F9F8" w:rsidR="00D97D53" w:rsidRPr="005B35C8" w:rsidRDefault="00D97D53" w:rsidP="00A209A9">
    <w:pPr>
      <w:pStyle w:val="APDFooter"/>
    </w:pPr>
    <w:r w:rsidRPr="005B35C8">
      <w:t xml:space="preserve">TCEQ-10026 </w:t>
    </w:r>
    <w:r>
      <w:t xml:space="preserve">(APD-ID </w:t>
    </w:r>
    <w:r w:rsidR="00622FE6">
      <w:t>40v</w:t>
    </w:r>
    <w:r w:rsidR="002A1D2D">
      <w:t>3</w:t>
    </w:r>
    <w:r w:rsidR="00622FE6">
      <w:t>.0</w:t>
    </w:r>
    <w:r>
      <w:t>, r</w:t>
    </w:r>
    <w:r w:rsidRPr="005B35C8">
      <w:t xml:space="preserve">evised </w:t>
    </w:r>
    <w:r w:rsidR="00622FE6">
      <w:t>09/2</w:t>
    </w:r>
    <w:r w:rsidR="002A1D2D">
      <w:t>4</w:t>
    </w:r>
    <w:r w:rsidRPr="005B35C8">
      <w:t>) OP-UA6</w:t>
    </w:r>
  </w:p>
  <w:p w14:paraId="6107B673" w14:textId="77777777" w:rsidR="002A1D2D" w:rsidRDefault="00D97D53" w:rsidP="00060037">
    <w:pPr>
      <w:pStyle w:val="APDFooter"/>
      <w:tabs>
        <w:tab w:val="clear" w:pos="10800"/>
        <w:tab w:val="right" w:pos="14400"/>
      </w:tabs>
    </w:pPr>
    <w:r w:rsidRPr="005B35C8">
      <w:t xml:space="preserve">This form is for use by facilities subject to air quality permit </w:t>
    </w:r>
    <w:r w:rsidR="00060037" w:rsidRPr="005B35C8">
      <w:t xml:space="preserve">requirements </w:t>
    </w:r>
  </w:p>
  <w:p w14:paraId="7376707B" w14:textId="6FD532B8" w:rsidR="00D97D53" w:rsidRPr="00254707" w:rsidRDefault="00060037" w:rsidP="00060037">
    <w:pPr>
      <w:pStyle w:val="APDFooter"/>
      <w:tabs>
        <w:tab w:val="clear" w:pos="10800"/>
        <w:tab w:val="right" w:pos="14400"/>
      </w:tabs>
      <w:rPr>
        <w:b w:val="0"/>
      </w:rPr>
    </w:pPr>
    <w:r w:rsidRPr="005B35C8">
      <w:t>and</w:t>
    </w:r>
    <w:r w:rsidR="00D97D53" w:rsidRPr="005B35C8">
      <w:t xml:space="preserve"> may be revised periodically. (Title V Release </w:t>
    </w:r>
    <w:r w:rsidR="00622FE6">
      <w:t>09/2</w:t>
    </w:r>
    <w:r w:rsidR="002A1D2D">
      <w:t>4</w:t>
    </w:r>
    <w:r w:rsidR="00D97D53" w:rsidRPr="005B35C8">
      <w:t>)</w:t>
    </w:r>
    <w:r w:rsidR="00D97D53" w:rsidRPr="00550C9D">
      <w:tab/>
    </w:r>
    <w:r w:rsidR="00D97D53" w:rsidRPr="00254707">
      <w:t xml:space="preserve">Page </w:t>
    </w:r>
    <w:r w:rsidR="00D97D53" w:rsidRPr="00254707">
      <w:rPr>
        <w:u w:val="single"/>
      </w:rPr>
      <w:t>______</w:t>
    </w:r>
    <w:r w:rsidR="00D97D53" w:rsidRPr="00254707">
      <w:t xml:space="preserve"> of </w:t>
    </w:r>
    <w:r w:rsidR="00D97D53" w:rsidRPr="00254707">
      <w:rPr>
        <w:u w:val="single"/>
      </w:rPr>
      <w:t>______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912C" w14:textId="69A31E3A" w:rsidR="00D97D53" w:rsidRPr="005B35C8" w:rsidRDefault="00D97D53" w:rsidP="00036B7F">
    <w:pPr>
      <w:pStyle w:val="APDFooter"/>
    </w:pPr>
    <w:r w:rsidRPr="005B35C8">
      <w:t xml:space="preserve">TCEQ-10026 </w:t>
    </w:r>
    <w:r>
      <w:t xml:space="preserve">(APD-ID </w:t>
    </w:r>
    <w:r w:rsidR="00622FE6">
      <w:t>40v</w:t>
    </w:r>
    <w:r w:rsidR="002A1D2D">
      <w:t>3</w:t>
    </w:r>
    <w:r w:rsidR="00622FE6">
      <w:t>.0</w:t>
    </w:r>
    <w:r>
      <w:t>, r</w:t>
    </w:r>
    <w:r w:rsidRPr="005B35C8">
      <w:t xml:space="preserve">evised </w:t>
    </w:r>
    <w:r w:rsidR="00622FE6">
      <w:t>09/2</w:t>
    </w:r>
    <w:r w:rsidR="002A1D2D">
      <w:t>4</w:t>
    </w:r>
    <w:r w:rsidRPr="005B35C8">
      <w:t>) OP-UA6</w:t>
    </w:r>
  </w:p>
  <w:p w14:paraId="5AD20905" w14:textId="77777777" w:rsidR="00D97D53" w:rsidRPr="005B35C8" w:rsidRDefault="00D97D53" w:rsidP="00036B7F">
    <w:pPr>
      <w:pStyle w:val="APDFooter"/>
    </w:pPr>
    <w:r w:rsidRPr="005B35C8">
      <w:t>This form is for use by facilities subject to air quality permit requirements</w:t>
    </w:r>
  </w:p>
  <w:p w14:paraId="46B0DBF5" w14:textId="3018AC7F" w:rsidR="00D97D53" w:rsidRPr="00AF233D" w:rsidRDefault="00D97D53" w:rsidP="00036B7F">
    <w:pPr>
      <w:tabs>
        <w:tab w:val="right" w:pos="14310"/>
      </w:tabs>
      <w:rPr>
        <w:szCs w:val="16"/>
        <w:u w:val="single"/>
      </w:rPr>
    </w:pPr>
    <w:r w:rsidRPr="005B35C8">
      <w:rPr>
        <w:b/>
        <w:sz w:val="16"/>
        <w:szCs w:val="16"/>
      </w:rPr>
      <w:t xml:space="preserve">and may be revised periodically. (Title V Release </w:t>
    </w:r>
    <w:r w:rsidR="00622FE6">
      <w:rPr>
        <w:b/>
        <w:sz w:val="16"/>
        <w:szCs w:val="16"/>
      </w:rPr>
      <w:t>09/2</w:t>
    </w:r>
    <w:r w:rsidR="002A1D2D">
      <w:rPr>
        <w:b/>
        <w:sz w:val="16"/>
        <w:szCs w:val="16"/>
      </w:rPr>
      <w:t>4</w:t>
    </w:r>
    <w:r w:rsidRPr="005B35C8">
      <w:rPr>
        <w:b/>
        <w:sz w:val="16"/>
        <w:szCs w:val="16"/>
      </w:rPr>
      <w:t>)</w:t>
    </w:r>
    <w:r w:rsidRPr="005B35C8">
      <w:rPr>
        <w:b/>
        <w:sz w:val="16"/>
        <w:szCs w:val="16"/>
      </w:rPr>
      <w:tab/>
      <w:t>Page</w:t>
    </w:r>
    <w:r w:rsidR="00332EF8" w:rsidRPr="00332EF8">
      <w:rPr>
        <w:b/>
        <w:sz w:val="16"/>
        <w:szCs w:val="16"/>
      </w:rPr>
      <w:t xml:space="preserve"> </w:t>
    </w:r>
    <w:r w:rsidR="00332EF8" w:rsidRPr="00332EF8">
      <w:rPr>
        <w:b/>
        <w:bCs/>
        <w:sz w:val="16"/>
        <w:szCs w:val="16"/>
      </w:rPr>
      <w:fldChar w:fldCharType="begin"/>
    </w:r>
    <w:r w:rsidR="00332EF8" w:rsidRPr="00332EF8">
      <w:rPr>
        <w:b/>
        <w:bCs/>
        <w:sz w:val="16"/>
        <w:szCs w:val="16"/>
      </w:rPr>
      <w:instrText xml:space="preserve"> PAGE  \* Arabic  \* MERGEFORMAT </w:instrText>
    </w:r>
    <w:r w:rsidR="00332EF8" w:rsidRPr="00332EF8">
      <w:rPr>
        <w:b/>
        <w:bCs/>
        <w:sz w:val="16"/>
        <w:szCs w:val="16"/>
      </w:rPr>
      <w:fldChar w:fldCharType="separate"/>
    </w:r>
    <w:r w:rsidR="00332EF8" w:rsidRPr="00332EF8">
      <w:rPr>
        <w:b/>
        <w:bCs/>
        <w:noProof/>
        <w:sz w:val="16"/>
        <w:szCs w:val="16"/>
      </w:rPr>
      <w:t>1</w:t>
    </w:r>
    <w:r w:rsidR="00332EF8" w:rsidRPr="00332EF8">
      <w:rPr>
        <w:b/>
        <w:bCs/>
        <w:sz w:val="16"/>
        <w:szCs w:val="16"/>
      </w:rPr>
      <w:fldChar w:fldCharType="end"/>
    </w:r>
    <w:r w:rsidR="00332EF8" w:rsidRPr="00332EF8">
      <w:rPr>
        <w:b/>
        <w:sz w:val="16"/>
        <w:szCs w:val="16"/>
      </w:rPr>
      <w:t xml:space="preserve"> of </w:t>
    </w:r>
    <w:r w:rsidR="00D4464A">
      <w:rPr>
        <w:b/>
        <w:sz w:val="16"/>
        <w:szCs w:val="16"/>
      </w:rPr>
      <w:t>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3FECE" w14:textId="77777777" w:rsidR="0044192A" w:rsidRDefault="0044192A" w:rsidP="00232D87">
      <w:r>
        <w:separator/>
      </w:r>
    </w:p>
  </w:footnote>
  <w:footnote w:type="continuationSeparator" w:id="0">
    <w:p w14:paraId="7B7E3B5A" w14:textId="77777777" w:rsidR="0044192A" w:rsidRDefault="0044192A" w:rsidP="00232D87">
      <w:r>
        <w:continuationSeparator/>
      </w:r>
    </w:p>
  </w:footnote>
  <w:footnote w:type="continuationNotice" w:id="1">
    <w:p w14:paraId="0C3B46D3" w14:textId="77777777" w:rsidR="0044192A" w:rsidRDefault="00441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A6BA" w14:textId="440F9FC2" w:rsidR="00EB3D89" w:rsidRPr="00EB3D89" w:rsidRDefault="00EB3D89" w:rsidP="00EB3D89">
    <w:pPr>
      <w:tabs>
        <w:tab w:val="left" w:pos="6024"/>
        <w:tab w:val="right" w:pos="10710"/>
      </w:tabs>
      <w:jc w:val="right"/>
      <w:rPr>
        <w:b/>
      </w:rPr>
    </w:pPr>
    <w:r w:rsidRPr="00EB3D89">
      <w:rPr>
        <w:b/>
      </w:rPr>
      <w:t>OP-UA6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DF97D" w14:textId="77777777" w:rsidR="006D6986" w:rsidRDefault="006D6986" w:rsidP="009C0F72">
    <w:pPr>
      <w:pStyle w:val="Header"/>
      <w:tabs>
        <w:tab w:val="clear" w:pos="4320"/>
        <w:tab w:val="clear" w:pos="8640"/>
        <w:tab w:val="left" w:pos="6024"/>
        <w:tab w:val="right" w:pos="1071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7792" w14:textId="77777777" w:rsidR="00D12D50" w:rsidRDefault="00D12D50" w:rsidP="009C0F72">
    <w:pPr>
      <w:pStyle w:val="Header"/>
      <w:tabs>
        <w:tab w:val="clear" w:pos="4320"/>
        <w:tab w:val="clear" w:pos="8640"/>
        <w:tab w:val="left" w:pos="6024"/>
        <w:tab w:val="right" w:pos="10710"/>
      </w:tabs>
      <w:rPr>
        <w:b/>
      </w:rPr>
    </w:pPr>
    <w:r>
      <w:rPr>
        <w:b/>
      </w:rPr>
      <w:tab/>
    </w:r>
    <w:r>
      <w:rPr>
        <w:b/>
      </w:rPr>
      <w:tab/>
    </w:r>
    <w:r w:rsidRPr="00FF2C40">
      <w:rPr>
        <w:b/>
      </w:rPr>
      <w:t>OP-UA6</w:t>
    </w:r>
    <w:r>
      <w:rPr>
        <w:b/>
      </w:rPr>
      <w:t xml:space="preserve"> 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346D" w14:textId="77777777" w:rsidR="00DA702B" w:rsidRDefault="00DA70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454D" w14:textId="77777777" w:rsidR="00DA702B" w:rsidRDefault="00DA70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18CB" w14:textId="0944553F" w:rsidR="00DA702B" w:rsidRPr="00EB3D89" w:rsidRDefault="00EB3D89" w:rsidP="00EB3D89">
    <w:pPr>
      <w:tabs>
        <w:tab w:val="left" w:pos="6024"/>
        <w:tab w:val="right" w:pos="10710"/>
      </w:tabs>
      <w:jc w:val="right"/>
      <w:rPr>
        <w:b/>
      </w:rPr>
    </w:pPr>
    <w:r w:rsidRPr="00EB3D89">
      <w:rPr>
        <w:b/>
      </w:rPr>
      <w:t>OP-UA6 Instructions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36A1" w14:textId="77777777" w:rsidR="00D97D53" w:rsidRDefault="00D97D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1765" w14:textId="77777777" w:rsidR="00D97D53" w:rsidRPr="005D08D3" w:rsidRDefault="00D97D53" w:rsidP="003B2747">
    <w:pPr>
      <w:pStyle w:val="Header"/>
      <w:tabs>
        <w:tab w:val="clear" w:pos="4320"/>
        <w:tab w:val="clear" w:pos="864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F11C" w14:textId="4E769BC6" w:rsidR="00D97D53" w:rsidRPr="005D08D3" w:rsidRDefault="003C3EFF" w:rsidP="00D94585">
    <w:pPr>
      <w:pStyle w:val="Header"/>
      <w:tabs>
        <w:tab w:val="clear" w:pos="4320"/>
        <w:tab w:val="clear" w:pos="8640"/>
        <w:tab w:val="right" w:pos="10710"/>
      </w:tabs>
    </w:pPr>
    <w:r>
      <w:rPr>
        <w:b/>
      </w:rPr>
      <w:tab/>
    </w:r>
    <w:r w:rsidRPr="00FF2C40">
      <w:rPr>
        <w:b/>
      </w:rPr>
      <w:t>OP-UA6</w:t>
    </w:r>
    <w:r>
      <w:rPr>
        <w:b/>
      </w:rPr>
      <w:t xml:space="preserve"> Instructions</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45203"/>
    <w:multiLevelType w:val="hybridMultilevel"/>
    <w:tmpl w:val="EE1EA3DA"/>
    <w:lvl w:ilvl="0" w:tplc="3E70C0CC">
      <w:numFmt w:val="bullet"/>
      <w:lvlText w:val=""/>
      <w:lvlJc w:val="left"/>
      <w:pPr>
        <w:ind w:left="1080" w:hanging="720"/>
      </w:pPr>
      <w:rPr>
        <w:rFonts w:ascii="WP MathA" w:eastAsia="Times New Roman" w:hAnsi="WP Math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203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031FE3"/>
    <w:multiLevelType w:val="hybridMultilevel"/>
    <w:tmpl w:val="93C0ACFE"/>
    <w:lvl w:ilvl="0" w:tplc="31DE7AD4">
      <w:start w:val="1"/>
      <w:numFmt w:val="decimal"/>
      <w:lvlText w:val="%1)"/>
      <w:lvlJc w:val="left"/>
      <w:pPr>
        <w:ind w:left="720" w:hanging="360"/>
      </w:pPr>
      <w:rPr>
        <w:rFonts w:hint="default"/>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C231DC"/>
    <w:multiLevelType w:val="hybridMultilevel"/>
    <w:tmpl w:val="EC0AF59E"/>
    <w:lvl w:ilvl="0" w:tplc="A528708E">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D7162A"/>
    <w:multiLevelType w:val="hybridMultilevel"/>
    <w:tmpl w:val="BC9E8E90"/>
    <w:lvl w:ilvl="0" w:tplc="A19C85B4">
      <w:start w:val="1"/>
      <w:numFmt w:val="bullet"/>
      <w:pStyle w:val="APDContinueTriangle"/>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A82904"/>
    <w:multiLevelType w:val="hybridMultilevel"/>
    <w:tmpl w:val="53E8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3E39D3"/>
    <w:multiLevelType w:val="hybridMultilevel"/>
    <w:tmpl w:val="41F817D6"/>
    <w:lvl w:ilvl="0" w:tplc="1AF0D888">
      <w:start w:val="2"/>
      <w:numFmt w:val="bullet"/>
      <w:lvlText w:val="★"/>
      <w:lvlJc w:val="left"/>
      <w:pPr>
        <w:ind w:left="1260" w:hanging="360"/>
      </w:pPr>
      <w:rPr>
        <w:rFonts w:ascii="Times New Roman" w:eastAsia="MS Gothic"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1DF48A9"/>
    <w:multiLevelType w:val="hybridMultilevel"/>
    <w:tmpl w:val="EA263B5C"/>
    <w:lvl w:ilvl="0" w:tplc="C0504C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096B70"/>
    <w:multiLevelType w:val="hybridMultilevel"/>
    <w:tmpl w:val="CD4468A2"/>
    <w:lvl w:ilvl="0" w:tplc="170218AC">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966A00"/>
    <w:multiLevelType w:val="hybridMultilevel"/>
    <w:tmpl w:val="0E264410"/>
    <w:lvl w:ilvl="0" w:tplc="66683DF4">
      <w:start w:val="1"/>
      <w:numFmt w:val="bullet"/>
      <w:lvlText w:val=""/>
      <w:lvlJc w:val="left"/>
      <w:pPr>
        <w:ind w:left="1440" w:hanging="360"/>
      </w:pPr>
      <w:rPr>
        <w:rFonts w:ascii="Wingdings 3" w:hAnsi="Wingdings 3" w:hint="default"/>
      </w:rPr>
    </w:lvl>
    <w:lvl w:ilvl="1" w:tplc="93720B2E">
      <w:start w:val="1"/>
      <w:numFmt w:val="bullet"/>
      <w:lvlText w:val=""/>
      <w:lvlJc w:val="left"/>
      <w:pPr>
        <w:ind w:left="1440" w:hanging="360"/>
      </w:pPr>
      <w:rPr>
        <w:rFonts w:ascii="Wingdings 3" w:hAnsi="Wingdings 3"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ED7D6A"/>
    <w:multiLevelType w:val="hybridMultilevel"/>
    <w:tmpl w:val="100C161E"/>
    <w:lvl w:ilvl="0" w:tplc="34C4D0D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2E7126"/>
    <w:multiLevelType w:val="hybridMultilevel"/>
    <w:tmpl w:val="96E66F30"/>
    <w:lvl w:ilvl="0" w:tplc="6EFC154C">
      <w:start w:val="2"/>
      <w:numFmt w:val="bullet"/>
      <w:lvlText w:val="★"/>
      <w:lvlJc w:val="left"/>
      <w:pPr>
        <w:ind w:left="1267" w:hanging="360"/>
      </w:pPr>
      <w:rPr>
        <w:rFonts w:ascii="Times New Roman" w:hAnsi="Times New Roman" w:cs="Times New Roman" w:hint="default"/>
        <w:b w:val="0"/>
        <w:i w:val="0"/>
        <w:sz w:val="22"/>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1CF64A92"/>
    <w:multiLevelType w:val="hybridMultilevel"/>
    <w:tmpl w:val="C018FE10"/>
    <w:lvl w:ilvl="0" w:tplc="587C22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960E0"/>
    <w:multiLevelType w:val="multilevel"/>
    <w:tmpl w:val="917CADA6"/>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22E44124"/>
    <w:multiLevelType w:val="hybridMultilevel"/>
    <w:tmpl w:val="B44C7E20"/>
    <w:lvl w:ilvl="0" w:tplc="8F9AA6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51896"/>
    <w:multiLevelType w:val="hybridMultilevel"/>
    <w:tmpl w:val="C5D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AF2B6C"/>
    <w:multiLevelType w:val="hybridMultilevel"/>
    <w:tmpl w:val="38B0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1C0252"/>
    <w:multiLevelType w:val="hybridMultilevel"/>
    <w:tmpl w:val="B5EEF4D4"/>
    <w:lvl w:ilvl="0" w:tplc="0896E480">
      <w:numFmt w:val="bullet"/>
      <w:lvlText w:val=""/>
      <w:lvlJc w:val="left"/>
      <w:pPr>
        <w:ind w:left="1080" w:hanging="720"/>
      </w:pPr>
      <w:rPr>
        <w:rFonts w:ascii="WP MathA" w:eastAsia="Times New Roman" w:hAnsi="WP Math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0E549C"/>
    <w:multiLevelType w:val="hybridMultilevel"/>
    <w:tmpl w:val="A1D281F6"/>
    <w:lvl w:ilvl="0" w:tplc="258E34D8">
      <w:start w:val="1"/>
      <w:numFmt w:val="upperLetter"/>
      <w:pStyle w:val="APD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9E34E2"/>
    <w:multiLevelType w:val="hybridMultilevel"/>
    <w:tmpl w:val="D55CEB7A"/>
    <w:lvl w:ilvl="0" w:tplc="2C2616DC">
      <w:start w:val="2"/>
      <w:numFmt w:val="bullet"/>
      <w:lvlText w:val="★"/>
      <w:lvlJc w:val="left"/>
      <w:pPr>
        <w:ind w:left="1267" w:hanging="360"/>
      </w:pPr>
      <w:rPr>
        <w:rFonts w:ascii="Times New Roman" w:eastAsia="MS Gothic" w:hAnsi="Times New Roman" w:cs="Times New Roman" w:hint="default"/>
        <w:b w:val="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15:restartNumberingAfterBreak="0">
    <w:nsid w:val="3E5F7EB5"/>
    <w:multiLevelType w:val="hybridMultilevel"/>
    <w:tmpl w:val="6DB07666"/>
    <w:lvl w:ilvl="0" w:tplc="979A9C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D56B2B"/>
    <w:multiLevelType w:val="hybridMultilevel"/>
    <w:tmpl w:val="33C6A5A2"/>
    <w:lvl w:ilvl="0" w:tplc="34C4D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D87F5E"/>
    <w:multiLevelType w:val="hybridMultilevel"/>
    <w:tmpl w:val="30A6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9067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793FED"/>
    <w:multiLevelType w:val="hybridMultilevel"/>
    <w:tmpl w:val="29B8ECC6"/>
    <w:lvl w:ilvl="0" w:tplc="1AE29774">
      <w:start w:val="1"/>
      <w:numFmt w:val="bullet"/>
      <w:pStyle w:val="APDBulletList038076"/>
      <w:lvlText w:val=""/>
      <w:lvlJc w:val="left"/>
      <w:pPr>
        <w:ind w:left="1267" w:hanging="360"/>
      </w:pPr>
      <w:rPr>
        <w:rFonts w:ascii="Symbol" w:hAnsi="Symbol" w:hint="default"/>
        <w:sz w:val="24"/>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5" w15:restartNumberingAfterBreak="0">
    <w:nsid w:val="50E8107C"/>
    <w:multiLevelType w:val="hybridMultilevel"/>
    <w:tmpl w:val="28BC31A4"/>
    <w:lvl w:ilvl="0" w:tplc="8F9AA6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F67B45"/>
    <w:multiLevelType w:val="hybridMultilevel"/>
    <w:tmpl w:val="49803C6E"/>
    <w:lvl w:ilvl="0" w:tplc="524699F0">
      <w:start w:val="2"/>
      <w:numFmt w:val="bullet"/>
      <w:lvlText w:val="★"/>
      <w:lvlJc w:val="left"/>
      <w:pPr>
        <w:ind w:left="36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5661E2"/>
    <w:multiLevelType w:val="hybridMultilevel"/>
    <w:tmpl w:val="F970FCE0"/>
    <w:lvl w:ilvl="0" w:tplc="D6ACFD7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9D216C"/>
    <w:multiLevelType w:val="hybridMultilevel"/>
    <w:tmpl w:val="A5263992"/>
    <w:lvl w:ilvl="0" w:tplc="8F9AA6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C6AFA"/>
    <w:multiLevelType w:val="hybridMultilevel"/>
    <w:tmpl w:val="8C6C812A"/>
    <w:lvl w:ilvl="0" w:tplc="B450E784">
      <w:start w:val="1"/>
      <w:numFmt w:val="bullet"/>
      <w:pStyle w:val="APDCompleteStar"/>
      <w:lvlText w:val="★"/>
      <w:lvlJc w:val="left"/>
      <w:pPr>
        <w:ind w:left="1440" w:hanging="360"/>
      </w:pPr>
      <w:rPr>
        <w:rFonts w:ascii="Segoe UI Symbol" w:hAnsi="Segoe UI 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743156"/>
    <w:multiLevelType w:val="hybridMultilevel"/>
    <w:tmpl w:val="D698306C"/>
    <w:lvl w:ilvl="0" w:tplc="0AA0ECB6">
      <w:start w:val="1"/>
      <w:numFmt w:val="bullet"/>
      <w:pStyle w:val="Do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59A1D12"/>
    <w:multiLevelType w:val="hybridMultilevel"/>
    <w:tmpl w:val="B13AB00C"/>
    <w:lvl w:ilvl="0" w:tplc="53E87116">
      <w:start w:val="1"/>
      <w:numFmt w:val="bullet"/>
      <w:lvlText w:val=""/>
      <w:lvlJc w:val="left"/>
      <w:pPr>
        <w:ind w:left="360" w:hanging="360"/>
      </w:pPr>
      <w:rPr>
        <w:rFonts w:ascii="Wingdings 3" w:hAnsi="Wingdings 3" w:hint="default"/>
        <w:sz w:val="28"/>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E41614"/>
    <w:multiLevelType w:val="hybridMultilevel"/>
    <w:tmpl w:val="8970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6F45F8"/>
    <w:multiLevelType w:val="hybridMultilevel"/>
    <w:tmpl w:val="BE54169C"/>
    <w:lvl w:ilvl="0" w:tplc="E15C2A0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5A0810"/>
    <w:multiLevelType w:val="hybridMultilevel"/>
    <w:tmpl w:val="731ED4D2"/>
    <w:lvl w:ilvl="0" w:tplc="326CAD66">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1C5C77"/>
    <w:multiLevelType w:val="hybridMultilevel"/>
    <w:tmpl w:val="0E009976"/>
    <w:lvl w:ilvl="0" w:tplc="8F9AA6EE">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76F2050F"/>
    <w:multiLevelType w:val="hybridMultilevel"/>
    <w:tmpl w:val="85E8A84C"/>
    <w:lvl w:ilvl="0" w:tplc="8F9AA6EE">
      <w:start w:val="1"/>
      <w:numFmt w:val="bullet"/>
      <w:lvlText w:val=""/>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EE264F"/>
    <w:multiLevelType w:val="hybridMultilevel"/>
    <w:tmpl w:val="6EE0E948"/>
    <w:lvl w:ilvl="0" w:tplc="2D5473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D83806"/>
    <w:multiLevelType w:val="hybridMultilevel"/>
    <w:tmpl w:val="DF52E9E6"/>
    <w:lvl w:ilvl="0" w:tplc="8F9AA6E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E35D5F"/>
    <w:multiLevelType w:val="hybridMultilevel"/>
    <w:tmpl w:val="BFCA362E"/>
    <w:lvl w:ilvl="0" w:tplc="AFB6852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1726FD"/>
    <w:multiLevelType w:val="hybridMultilevel"/>
    <w:tmpl w:val="C73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AC3B06"/>
    <w:multiLevelType w:val="hybridMultilevel"/>
    <w:tmpl w:val="31C492DE"/>
    <w:lvl w:ilvl="0" w:tplc="8F9AA6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F62C4B"/>
    <w:multiLevelType w:val="hybridMultilevel"/>
    <w:tmpl w:val="EFE6E758"/>
    <w:lvl w:ilvl="0" w:tplc="DC44A9FE">
      <w:numFmt w:val="bullet"/>
      <w:lvlText w:val=""/>
      <w:lvlJc w:val="left"/>
      <w:pPr>
        <w:ind w:left="1080" w:hanging="720"/>
      </w:pPr>
      <w:rPr>
        <w:rFonts w:ascii="WP MathA" w:eastAsia="Times New Roman" w:hAnsi="WP Math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E682087"/>
    <w:multiLevelType w:val="hybridMultilevel"/>
    <w:tmpl w:val="70C2525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1296063630">
    <w:abstractNumId w:val="6"/>
  </w:num>
  <w:num w:numId="2" w16cid:durableId="1940983831">
    <w:abstractNumId w:val="5"/>
  </w:num>
  <w:num w:numId="3" w16cid:durableId="1830705744">
    <w:abstractNumId w:val="4"/>
  </w:num>
  <w:num w:numId="4" w16cid:durableId="382749698">
    <w:abstractNumId w:val="3"/>
  </w:num>
  <w:num w:numId="5" w16cid:durableId="1503817873">
    <w:abstractNumId w:val="2"/>
  </w:num>
  <w:num w:numId="6" w16cid:durableId="819158236">
    <w:abstractNumId w:val="1"/>
  </w:num>
  <w:num w:numId="7" w16cid:durableId="638456113">
    <w:abstractNumId w:val="0"/>
  </w:num>
  <w:num w:numId="8" w16cid:durableId="2038118201">
    <w:abstractNumId w:val="55"/>
  </w:num>
  <w:num w:numId="9" w16cid:durableId="634870947">
    <w:abstractNumId w:val="44"/>
  </w:num>
  <w:num w:numId="10" w16cid:durableId="88963624">
    <w:abstractNumId w:val="41"/>
  </w:num>
  <w:num w:numId="11" w16cid:durableId="726301627">
    <w:abstractNumId w:val="7"/>
  </w:num>
  <w:num w:numId="12" w16cid:durableId="1274750042">
    <w:abstractNumId w:val="9"/>
  </w:num>
  <w:num w:numId="13" w16cid:durableId="1255673189">
    <w:abstractNumId w:val="8"/>
  </w:num>
  <w:num w:numId="14" w16cid:durableId="712651724">
    <w:abstractNumId w:val="34"/>
  </w:num>
  <w:num w:numId="15" w16cid:durableId="1842310759">
    <w:abstractNumId w:val="26"/>
  </w:num>
  <w:num w:numId="16" w16cid:durableId="1947153539">
    <w:abstractNumId w:val="37"/>
  </w:num>
  <w:num w:numId="17" w16cid:durableId="2120249120">
    <w:abstractNumId w:val="46"/>
  </w:num>
  <w:num w:numId="18" w16cid:durableId="1996759513">
    <w:abstractNumId w:val="40"/>
  </w:num>
  <w:num w:numId="19" w16cid:durableId="1059210526">
    <w:abstractNumId w:val="28"/>
  </w:num>
  <w:num w:numId="20" w16cid:durableId="896431925">
    <w:abstractNumId w:val="49"/>
  </w:num>
  <w:num w:numId="21" w16cid:durableId="430004549">
    <w:abstractNumId w:val="10"/>
  </w:num>
  <w:num w:numId="22" w16cid:durableId="2109696082">
    <w:abstractNumId w:val="17"/>
  </w:num>
  <w:num w:numId="23" w16cid:durableId="2036926581">
    <w:abstractNumId w:val="54"/>
  </w:num>
  <w:num w:numId="24" w16cid:durableId="1552500976">
    <w:abstractNumId w:val="38"/>
  </w:num>
  <w:num w:numId="25" w16cid:durableId="1221358901">
    <w:abstractNumId w:val="27"/>
  </w:num>
  <w:num w:numId="26" w16cid:durableId="1768424117">
    <w:abstractNumId w:val="30"/>
  </w:num>
  <w:num w:numId="27" w16cid:durableId="1893886396">
    <w:abstractNumId w:val="35"/>
  </w:num>
  <w:num w:numId="28" w16cid:durableId="986402543">
    <w:abstractNumId w:val="45"/>
  </w:num>
  <w:num w:numId="29" w16cid:durableId="1969623587">
    <w:abstractNumId w:val="22"/>
  </w:num>
  <w:num w:numId="30" w16cid:durableId="1084259629">
    <w:abstractNumId w:val="36"/>
  </w:num>
  <w:num w:numId="31" w16cid:durableId="939991760">
    <w:abstractNumId w:val="36"/>
    <w:lvlOverride w:ilvl="0">
      <w:startOverride w:val="2"/>
    </w:lvlOverride>
  </w:num>
  <w:num w:numId="32" w16cid:durableId="2009365851">
    <w:abstractNumId w:val="16"/>
  </w:num>
  <w:num w:numId="33" w16cid:durableId="118695440">
    <w:abstractNumId w:val="29"/>
  </w:num>
  <w:num w:numId="34" w16cid:durableId="881097046">
    <w:abstractNumId w:val="21"/>
  </w:num>
  <w:num w:numId="35" w16cid:durableId="2040470170">
    <w:abstractNumId w:val="53"/>
  </w:num>
  <w:num w:numId="36" w16cid:durableId="1143161559">
    <w:abstractNumId w:val="19"/>
  </w:num>
  <w:num w:numId="37" w16cid:durableId="1983971380">
    <w:abstractNumId w:val="50"/>
  </w:num>
  <w:num w:numId="38" w16cid:durableId="560822641">
    <w:abstractNumId w:val="47"/>
  </w:num>
  <w:num w:numId="39" w16cid:durableId="181629769">
    <w:abstractNumId w:val="48"/>
  </w:num>
  <w:num w:numId="40" w16cid:durableId="1174032181">
    <w:abstractNumId w:val="51"/>
  </w:num>
  <w:num w:numId="41" w16cid:durableId="1074351170">
    <w:abstractNumId w:val="52"/>
  </w:num>
  <w:num w:numId="42" w16cid:durableId="222832081">
    <w:abstractNumId w:val="32"/>
  </w:num>
  <w:num w:numId="43" w16cid:durableId="2015182106">
    <w:abstractNumId w:val="15"/>
  </w:num>
  <w:num w:numId="44" w16cid:durableId="1254897361">
    <w:abstractNumId w:val="43"/>
  </w:num>
  <w:num w:numId="45" w16cid:durableId="2002156994">
    <w:abstractNumId w:val="25"/>
  </w:num>
  <w:num w:numId="46" w16cid:durableId="1199975598">
    <w:abstractNumId w:val="56"/>
  </w:num>
  <w:num w:numId="47" w16cid:durableId="1513059276">
    <w:abstractNumId w:val="42"/>
  </w:num>
  <w:num w:numId="48" w16cid:durableId="1514800163">
    <w:abstractNumId w:val="39"/>
  </w:num>
  <w:num w:numId="49" w16cid:durableId="581181581">
    <w:abstractNumId w:val="31"/>
  </w:num>
  <w:num w:numId="50" w16cid:durableId="1224413910">
    <w:abstractNumId w:val="20"/>
  </w:num>
  <w:num w:numId="51" w16cid:durableId="987979841">
    <w:abstractNumId w:val="12"/>
  </w:num>
  <w:num w:numId="52" w16cid:durableId="1987542932">
    <w:abstractNumId w:val="18"/>
  </w:num>
  <w:num w:numId="53" w16cid:durableId="824277330">
    <w:abstractNumId w:val="13"/>
  </w:num>
  <w:num w:numId="54" w16cid:durableId="1605189035">
    <w:abstractNumId w:val="11"/>
  </w:num>
  <w:num w:numId="55" w16cid:durableId="1113093786">
    <w:abstractNumId w:val="33"/>
  </w:num>
  <w:num w:numId="56" w16cid:durableId="1749813382">
    <w:abstractNumId w:val="23"/>
  </w:num>
  <w:num w:numId="57" w16cid:durableId="1158036948">
    <w:abstractNumId w:val="24"/>
  </w:num>
  <w:num w:numId="58" w16cid:durableId="208799499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547"/>
  <w:clickAndTypeStyle w:val="BodyText"/>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2tDAyN7E0M7UwNjdU0lEKTi0uzszPAykwsagFADmxV20tAAAA"/>
  </w:docVars>
  <w:rsids>
    <w:rsidRoot w:val="00CA0AD3"/>
    <w:rsid w:val="00003A26"/>
    <w:rsid w:val="0000498E"/>
    <w:rsid w:val="00005217"/>
    <w:rsid w:val="000057D8"/>
    <w:rsid w:val="000065A5"/>
    <w:rsid w:val="00007935"/>
    <w:rsid w:val="00007C6A"/>
    <w:rsid w:val="0001055D"/>
    <w:rsid w:val="000114B4"/>
    <w:rsid w:val="00011940"/>
    <w:rsid w:val="0001205C"/>
    <w:rsid w:val="00012B35"/>
    <w:rsid w:val="0001365C"/>
    <w:rsid w:val="00014A7B"/>
    <w:rsid w:val="00015682"/>
    <w:rsid w:val="00016379"/>
    <w:rsid w:val="00016CE2"/>
    <w:rsid w:val="00016E40"/>
    <w:rsid w:val="000172A1"/>
    <w:rsid w:val="000177F9"/>
    <w:rsid w:val="00017FD3"/>
    <w:rsid w:val="00020EB7"/>
    <w:rsid w:val="00021380"/>
    <w:rsid w:val="00021444"/>
    <w:rsid w:val="00021ACB"/>
    <w:rsid w:val="00021ECC"/>
    <w:rsid w:val="00022671"/>
    <w:rsid w:val="00023553"/>
    <w:rsid w:val="00023931"/>
    <w:rsid w:val="00023959"/>
    <w:rsid w:val="00023C58"/>
    <w:rsid w:val="00024B3D"/>
    <w:rsid w:val="0002614D"/>
    <w:rsid w:val="00026F71"/>
    <w:rsid w:val="00027628"/>
    <w:rsid w:val="000305CA"/>
    <w:rsid w:val="00031389"/>
    <w:rsid w:val="000314AF"/>
    <w:rsid w:val="00031616"/>
    <w:rsid w:val="00032D50"/>
    <w:rsid w:val="00035128"/>
    <w:rsid w:val="000358BB"/>
    <w:rsid w:val="00035C6C"/>
    <w:rsid w:val="00035DB7"/>
    <w:rsid w:val="00036B7F"/>
    <w:rsid w:val="000375B6"/>
    <w:rsid w:val="000376C1"/>
    <w:rsid w:val="00037736"/>
    <w:rsid w:val="00037AED"/>
    <w:rsid w:val="00037F84"/>
    <w:rsid w:val="00041132"/>
    <w:rsid w:val="000411A4"/>
    <w:rsid w:val="00042514"/>
    <w:rsid w:val="00042633"/>
    <w:rsid w:val="00042E61"/>
    <w:rsid w:val="00042EFA"/>
    <w:rsid w:val="0004326D"/>
    <w:rsid w:val="000446E6"/>
    <w:rsid w:val="00045341"/>
    <w:rsid w:val="000458AF"/>
    <w:rsid w:val="00045ACE"/>
    <w:rsid w:val="0004737E"/>
    <w:rsid w:val="000473E9"/>
    <w:rsid w:val="00047443"/>
    <w:rsid w:val="00047464"/>
    <w:rsid w:val="000474B7"/>
    <w:rsid w:val="000475D6"/>
    <w:rsid w:val="000477FC"/>
    <w:rsid w:val="00047CF0"/>
    <w:rsid w:val="00051089"/>
    <w:rsid w:val="00051B7F"/>
    <w:rsid w:val="00051B98"/>
    <w:rsid w:val="00052177"/>
    <w:rsid w:val="00052708"/>
    <w:rsid w:val="000539C4"/>
    <w:rsid w:val="00054344"/>
    <w:rsid w:val="00055247"/>
    <w:rsid w:val="000553D2"/>
    <w:rsid w:val="0005593D"/>
    <w:rsid w:val="00055FC0"/>
    <w:rsid w:val="0005649E"/>
    <w:rsid w:val="00056506"/>
    <w:rsid w:val="00056A48"/>
    <w:rsid w:val="0005754C"/>
    <w:rsid w:val="0005777F"/>
    <w:rsid w:val="00057D1A"/>
    <w:rsid w:val="00057D63"/>
    <w:rsid w:val="00060037"/>
    <w:rsid w:val="00060FC7"/>
    <w:rsid w:val="00061DF5"/>
    <w:rsid w:val="00062F44"/>
    <w:rsid w:val="00063A4B"/>
    <w:rsid w:val="000646EC"/>
    <w:rsid w:val="00066B7C"/>
    <w:rsid w:val="00066E21"/>
    <w:rsid w:val="000676AB"/>
    <w:rsid w:val="00067D6C"/>
    <w:rsid w:val="000713DE"/>
    <w:rsid w:val="0007164C"/>
    <w:rsid w:val="00072493"/>
    <w:rsid w:val="00073985"/>
    <w:rsid w:val="00074933"/>
    <w:rsid w:val="0007685B"/>
    <w:rsid w:val="000776B5"/>
    <w:rsid w:val="000817EC"/>
    <w:rsid w:val="000819E9"/>
    <w:rsid w:val="00081A9E"/>
    <w:rsid w:val="00082E5D"/>
    <w:rsid w:val="000830E5"/>
    <w:rsid w:val="0008405B"/>
    <w:rsid w:val="00084EC3"/>
    <w:rsid w:val="00086050"/>
    <w:rsid w:val="00086360"/>
    <w:rsid w:val="00087260"/>
    <w:rsid w:val="00087521"/>
    <w:rsid w:val="00087A11"/>
    <w:rsid w:val="00090040"/>
    <w:rsid w:val="00091704"/>
    <w:rsid w:val="00093013"/>
    <w:rsid w:val="00093125"/>
    <w:rsid w:val="00093497"/>
    <w:rsid w:val="00093FCA"/>
    <w:rsid w:val="000941EA"/>
    <w:rsid w:val="00095D27"/>
    <w:rsid w:val="00096283"/>
    <w:rsid w:val="0009674A"/>
    <w:rsid w:val="00096BCF"/>
    <w:rsid w:val="000976F3"/>
    <w:rsid w:val="00097DFE"/>
    <w:rsid w:val="00097EA8"/>
    <w:rsid w:val="00097F6A"/>
    <w:rsid w:val="000A03C4"/>
    <w:rsid w:val="000A0A48"/>
    <w:rsid w:val="000A0AF0"/>
    <w:rsid w:val="000A0B7C"/>
    <w:rsid w:val="000A4085"/>
    <w:rsid w:val="000A47E1"/>
    <w:rsid w:val="000A4C5E"/>
    <w:rsid w:val="000A5B8B"/>
    <w:rsid w:val="000A5F4E"/>
    <w:rsid w:val="000A6AAC"/>
    <w:rsid w:val="000A6F38"/>
    <w:rsid w:val="000B1676"/>
    <w:rsid w:val="000B2569"/>
    <w:rsid w:val="000B488E"/>
    <w:rsid w:val="000B4D62"/>
    <w:rsid w:val="000B4F5B"/>
    <w:rsid w:val="000B504B"/>
    <w:rsid w:val="000B536E"/>
    <w:rsid w:val="000B55A7"/>
    <w:rsid w:val="000B6F8A"/>
    <w:rsid w:val="000B7D42"/>
    <w:rsid w:val="000C022F"/>
    <w:rsid w:val="000C08CC"/>
    <w:rsid w:val="000C195A"/>
    <w:rsid w:val="000C1E5A"/>
    <w:rsid w:val="000C2139"/>
    <w:rsid w:val="000C28BB"/>
    <w:rsid w:val="000C31CE"/>
    <w:rsid w:val="000C4539"/>
    <w:rsid w:val="000C6B96"/>
    <w:rsid w:val="000C6E77"/>
    <w:rsid w:val="000D0E85"/>
    <w:rsid w:val="000D30BB"/>
    <w:rsid w:val="000D3554"/>
    <w:rsid w:val="000D3765"/>
    <w:rsid w:val="000D37F1"/>
    <w:rsid w:val="000D3BBC"/>
    <w:rsid w:val="000D49F2"/>
    <w:rsid w:val="000D4AFF"/>
    <w:rsid w:val="000D5B43"/>
    <w:rsid w:val="000D5C66"/>
    <w:rsid w:val="000D5F0F"/>
    <w:rsid w:val="000D6230"/>
    <w:rsid w:val="000D6CEC"/>
    <w:rsid w:val="000D7AB4"/>
    <w:rsid w:val="000E0C80"/>
    <w:rsid w:val="000E1392"/>
    <w:rsid w:val="000E3A12"/>
    <w:rsid w:val="000E3DD4"/>
    <w:rsid w:val="000E3E53"/>
    <w:rsid w:val="000E77F1"/>
    <w:rsid w:val="000F2779"/>
    <w:rsid w:val="000F3C22"/>
    <w:rsid w:val="000F3C27"/>
    <w:rsid w:val="000F5035"/>
    <w:rsid w:val="000F53E4"/>
    <w:rsid w:val="000F6223"/>
    <w:rsid w:val="000F696E"/>
    <w:rsid w:val="000F6F62"/>
    <w:rsid w:val="000F75D4"/>
    <w:rsid w:val="000F7FF6"/>
    <w:rsid w:val="00100239"/>
    <w:rsid w:val="001002FC"/>
    <w:rsid w:val="0010051D"/>
    <w:rsid w:val="00100C9A"/>
    <w:rsid w:val="00100E17"/>
    <w:rsid w:val="0010194F"/>
    <w:rsid w:val="00101FAA"/>
    <w:rsid w:val="001023A5"/>
    <w:rsid w:val="00104177"/>
    <w:rsid w:val="001054D8"/>
    <w:rsid w:val="0010557C"/>
    <w:rsid w:val="00105A73"/>
    <w:rsid w:val="00106AD7"/>
    <w:rsid w:val="0010740A"/>
    <w:rsid w:val="00107B7E"/>
    <w:rsid w:val="00107EEF"/>
    <w:rsid w:val="001100DC"/>
    <w:rsid w:val="001103B3"/>
    <w:rsid w:val="001104D2"/>
    <w:rsid w:val="00110B05"/>
    <w:rsid w:val="00110DDB"/>
    <w:rsid w:val="001110B4"/>
    <w:rsid w:val="0011162D"/>
    <w:rsid w:val="001118FC"/>
    <w:rsid w:val="00111F56"/>
    <w:rsid w:val="001127D1"/>
    <w:rsid w:val="0011339F"/>
    <w:rsid w:val="001136E2"/>
    <w:rsid w:val="00114092"/>
    <w:rsid w:val="00114ED6"/>
    <w:rsid w:val="001161A1"/>
    <w:rsid w:val="00116413"/>
    <w:rsid w:val="00117212"/>
    <w:rsid w:val="001179BD"/>
    <w:rsid w:val="00120D6E"/>
    <w:rsid w:val="00120DC7"/>
    <w:rsid w:val="001217F1"/>
    <w:rsid w:val="00121E5B"/>
    <w:rsid w:val="0012237E"/>
    <w:rsid w:val="001254AC"/>
    <w:rsid w:val="00126B43"/>
    <w:rsid w:val="00127F6D"/>
    <w:rsid w:val="00130220"/>
    <w:rsid w:val="00130A59"/>
    <w:rsid w:val="00130C1A"/>
    <w:rsid w:val="00131553"/>
    <w:rsid w:val="00131AF7"/>
    <w:rsid w:val="00131C2B"/>
    <w:rsid w:val="0013410E"/>
    <w:rsid w:val="00134473"/>
    <w:rsid w:val="0013481C"/>
    <w:rsid w:val="00134AC0"/>
    <w:rsid w:val="00135A22"/>
    <w:rsid w:val="00135F67"/>
    <w:rsid w:val="001360AF"/>
    <w:rsid w:val="0014440F"/>
    <w:rsid w:val="001451CF"/>
    <w:rsid w:val="0014590B"/>
    <w:rsid w:val="0014649E"/>
    <w:rsid w:val="001466B4"/>
    <w:rsid w:val="00146948"/>
    <w:rsid w:val="00146DAC"/>
    <w:rsid w:val="001472ED"/>
    <w:rsid w:val="00151097"/>
    <w:rsid w:val="00152FDD"/>
    <w:rsid w:val="001536D2"/>
    <w:rsid w:val="001539CE"/>
    <w:rsid w:val="001546B9"/>
    <w:rsid w:val="00155BAC"/>
    <w:rsid w:val="001563AC"/>
    <w:rsid w:val="00156F19"/>
    <w:rsid w:val="001574F4"/>
    <w:rsid w:val="001577B9"/>
    <w:rsid w:val="00157C0C"/>
    <w:rsid w:val="00160691"/>
    <w:rsid w:val="0016155B"/>
    <w:rsid w:val="0016221E"/>
    <w:rsid w:val="00162242"/>
    <w:rsid w:val="00162996"/>
    <w:rsid w:val="001629D3"/>
    <w:rsid w:val="00162BCA"/>
    <w:rsid w:val="00163359"/>
    <w:rsid w:val="001640EF"/>
    <w:rsid w:val="00164E7B"/>
    <w:rsid w:val="00165216"/>
    <w:rsid w:val="00165717"/>
    <w:rsid w:val="00165B24"/>
    <w:rsid w:val="00165CA2"/>
    <w:rsid w:val="00165E7B"/>
    <w:rsid w:val="001660AD"/>
    <w:rsid w:val="0016689D"/>
    <w:rsid w:val="00166A93"/>
    <w:rsid w:val="00167016"/>
    <w:rsid w:val="00167C76"/>
    <w:rsid w:val="00167DF2"/>
    <w:rsid w:val="00170E68"/>
    <w:rsid w:val="0017165E"/>
    <w:rsid w:val="00172BD1"/>
    <w:rsid w:val="00174D15"/>
    <w:rsid w:val="001768E8"/>
    <w:rsid w:val="00176DC0"/>
    <w:rsid w:val="00176E8C"/>
    <w:rsid w:val="00177BE1"/>
    <w:rsid w:val="00180D4F"/>
    <w:rsid w:val="00180FDD"/>
    <w:rsid w:val="0018136F"/>
    <w:rsid w:val="00181880"/>
    <w:rsid w:val="00182044"/>
    <w:rsid w:val="0018292D"/>
    <w:rsid w:val="0018327B"/>
    <w:rsid w:val="001836BE"/>
    <w:rsid w:val="001837C5"/>
    <w:rsid w:val="00183A10"/>
    <w:rsid w:val="00183ED7"/>
    <w:rsid w:val="0018420E"/>
    <w:rsid w:val="00185E2F"/>
    <w:rsid w:val="001863A4"/>
    <w:rsid w:val="00186719"/>
    <w:rsid w:val="00190F2D"/>
    <w:rsid w:val="0019109B"/>
    <w:rsid w:val="001918C7"/>
    <w:rsid w:val="00191A4E"/>
    <w:rsid w:val="00191EB4"/>
    <w:rsid w:val="00192273"/>
    <w:rsid w:val="00193338"/>
    <w:rsid w:val="001936A0"/>
    <w:rsid w:val="00193896"/>
    <w:rsid w:val="0019441A"/>
    <w:rsid w:val="00194845"/>
    <w:rsid w:val="00194B1B"/>
    <w:rsid w:val="0019564D"/>
    <w:rsid w:val="00195A9D"/>
    <w:rsid w:val="001965E4"/>
    <w:rsid w:val="001A118A"/>
    <w:rsid w:val="001A2909"/>
    <w:rsid w:val="001A4002"/>
    <w:rsid w:val="001A504E"/>
    <w:rsid w:val="001A563A"/>
    <w:rsid w:val="001A58EE"/>
    <w:rsid w:val="001A5C3D"/>
    <w:rsid w:val="001A6869"/>
    <w:rsid w:val="001A6ADA"/>
    <w:rsid w:val="001A6ED6"/>
    <w:rsid w:val="001A7644"/>
    <w:rsid w:val="001B01B9"/>
    <w:rsid w:val="001B063A"/>
    <w:rsid w:val="001B0CF4"/>
    <w:rsid w:val="001B13AF"/>
    <w:rsid w:val="001B1896"/>
    <w:rsid w:val="001B23B5"/>
    <w:rsid w:val="001B287B"/>
    <w:rsid w:val="001B3A07"/>
    <w:rsid w:val="001B5CB7"/>
    <w:rsid w:val="001B632A"/>
    <w:rsid w:val="001B76A1"/>
    <w:rsid w:val="001B7F79"/>
    <w:rsid w:val="001C079D"/>
    <w:rsid w:val="001C1636"/>
    <w:rsid w:val="001C1AD4"/>
    <w:rsid w:val="001C1C53"/>
    <w:rsid w:val="001C21DD"/>
    <w:rsid w:val="001C3C3A"/>
    <w:rsid w:val="001C3D24"/>
    <w:rsid w:val="001C41D5"/>
    <w:rsid w:val="001C4CF1"/>
    <w:rsid w:val="001C7A76"/>
    <w:rsid w:val="001C7B97"/>
    <w:rsid w:val="001C7C9A"/>
    <w:rsid w:val="001D1F2B"/>
    <w:rsid w:val="001D2F43"/>
    <w:rsid w:val="001D397E"/>
    <w:rsid w:val="001D42CE"/>
    <w:rsid w:val="001D447B"/>
    <w:rsid w:val="001D4B7B"/>
    <w:rsid w:val="001D5326"/>
    <w:rsid w:val="001D6431"/>
    <w:rsid w:val="001D654D"/>
    <w:rsid w:val="001D67A9"/>
    <w:rsid w:val="001D687D"/>
    <w:rsid w:val="001D7A94"/>
    <w:rsid w:val="001E0C00"/>
    <w:rsid w:val="001E0C0F"/>
    <w:rsid w:val="001E0DE0"/>
    <w:rsid w:val="001E0FE8"/>
    <w:rsid w:val="001E10DB"/>
    <w:rsid w:val="001E132E"/>
    <w:rsid w:val="001E159F"/>
    <w:rsid w:val="001E1A43"/>
    <w:rsid w:val="001E1A49"/>
    <w:rsid w:val="001E1C8E"/>
    <w:rsid w:val="001E1E4E"/>
    <w:rsid w:val="001E1F63"/>
    <w:rsid w:val="001E2B7E"/>
    <w:rsid w:val="001E2F88"/>
    <w:rsid w:val="001E3523"/>
    <w:rsid w:val="001E51D6"/>
    <w:rsid w:val="001E5375"/>
    <w:rsid w:val="001E5BE0"/>
    <w:rsid w:val="001E6490"/>
    <w:rsid w:val="001E73B2"/>
    <w:rsid w:val="001E75DD"/>
    <w:rsid w:val="001E7FC5"/>
    <w:rsid w:val="001F013B"/>
    <w:rsid w:val="001F03DF"/>
    <w:rsid w:val="001F1A29"/>
    <w:rsid w:val="001F1FD4"/>
    <w:rsid w:val="001F3611"/>
    <w:rsid w:val="001F365F"/>
    <w:rsid w:val="001F3776"/>
    <w:rsid w:val="001F3E56"/>
    <w:rsid w:val="001F439F"/>
    <w:rsid w:val="001F476E"/>
    <w:rsid w:val="001F4BF1"/>
    <w:rsid w:val="001F4CC4"/>
    <w:rsid w:val="001F53D4"/>
    <w:rsid w:val="001F60FB"/>
    <w:rsid w:val="001F630A"/>
    <w:rsid w:val="001F6F67"/>
    <w:rsid w:val="001F7274"/>
    <w:rsid w:val="002016F8"/>
    <w:rsid w:val="0020185A"/>
    <w:rsid w:val="00201EB8"/>
    <w:rsid w:val="002021E3"/>
    <w:rsid w:val="002030DC"/>
    <w:rsid w:val="00203BD3"/>
    <w:rsid w:val="00204697"/>
    <w:rsid w:val="00205475"/>
    <w:rsid w:val="00206625"/>
    <w:rsid w:val="00207027"/>
    <w:rsid w:val="002107F6"/>
    <w:rsid w:val="00210AC3"/>
    <w:rsid w:val="00210CA4"/>
    <w:rsid w:val="00211E7F"/>
    <w:rsid w:val="00212049"/>
    <w:rsid w:val="0021333D"/>
    <w:rsid w:val="0021352E"/>
    <w:rsid w:val="00213763"/>
    <w:rsid w:val="00213792"/>
    <w:rsid w:val="00213EFF"/>
    <w:rsid w:val="00215D7D"/>
    <w:rsid w:val="0021607D"/>
    <w:rsid w:val="002164AE"/>
    <w:rsid w:val="00217BF5"/>
    <w:rsid w:val="00220357"/>
    <w:rsid w:val="00220712"/>
    <w:rsid w:val="00220C7A"/>
    <w:rsid w:val="00221582"/>
    <w:rsid w:val="00221842"/>
    <w:rsid w:val="00221FA2"/>
    <w:rsid w:val="00222428"/>
    <w:rsid w:val="00222B78"/>
    <w:rsid w:val="00222F65"/>
    <w:rsid w:val="002234AF"/>
    <w:rsid w:val="00224C45"/>
    <w:rsid w:val="00224D04"/>
    <w:rsid w:val="00224FFD"/>
    <w:rsid w:val="00225450"/>
    <w:rsid w:val="00226349"/>
    <w:rsid w:val="0023031E"/>
    <w:rsid w:val="002308B8"/>
    <w:rsid w:val="0023092A"/>
    <w:rsid w:val="00231738"/>
    <w:rsid w:val="00231CF9"/>
    <w:rsid w:val="00232097"/>
    <w:rsid w:val="00232666"/>
    <w:rsid w:val="00232ABF"/>
    <w:rsid w:val="00232D87"/>
    <w:rsid w:val="00233463"/>
    <w:rsid w:val="00233862"/>
    <w:rsid w:val="002344D7"/>
    <w:rsid w:val="0023468D"/>
    <w:rsid w:val="00234BF6"/>
    <w:rsid w:val="002355D5"/>
    <w:rsid w:val="00240A21"/>
    <w:rsid w:val="002412CA"/>
    <w:rsid w:val="002415CD"/>
    <w:rsid w:val="00241963"/>
    <w:rsid w:val="0024382A"/>
    <w:rsid w:val="00243C84"/>
    <w:rsid w:val="00244ADF"/>
    <w:rsid w:val="00244C5A"/>
    <w:rsid w:val="002455A2"/>
    <w:rsid w:val="00245C0E"/>
    <w:rsid w:val="002462A9"/>
    <w:rsid w:val="00246BAB"/>
    <w:rsid w:val="00247B4B"/>
    <w:rsid w:val="002500B6"/>
    <w:rsid w:val="00250791"/>
    <w:rsid w:val="002509A5"/>
    <w:rsid w:val="00251F5D"/>
    <w:rsid w:val="0025204F"/>
    <w:rsid w:val="002524A1"/>
    <w:rsid w:val="00254707"/>
    <w:rsid w:val="00254CCD"/>
    <w:rsid w:val="00256197"/>
    <w:rsid w:val="002564D7"/>
    <w:rsid w:val="00256854"/>
    <w:rsid w:val="00256939"/>
    <w:rsid w:val="002569E3"/>
    <w:rsid w:val="00256A48"/>
    <w:rsid w:val="00256B32"/>
    <w:rsid w:val="002572BE"/>
    <w:rsid w:val="00257484"/>
    <w:rsid w:val="00260E46"/>
    <w:rsid w:val="00261265"/>
    <w:rsid w:val="00261B54"/>
    <w:rsid w:val="002625D6"/>
    <w:rsid w:val="0026395C"/>
    <w:rsid w:val="00264232"/>
    <w:rsid w:val="00264E69"/>
    <w:rsid w:val="00264FB3"/>
    <w:rsid w:val="00265982"/>
    <w:rsid w:val="00265C2B"/>
    <w:rsid w:val="002667E3"/>
    <w:rsid w:val="00266D56"/>
    <w:rsid w:val="00267310"/>
    <w:rsid w:val="002677C4"/>
    <w:rsid w:val="00267E5F"/>
    <w:rsid w:val="00270709"/>
    <w:rsid w:val="00270BF5"/>
    <w:rsid w:val="002712C6"/>
    <w:rsid w:val="00272410"/>
    <w:rsid w:val="00272484"/>
    <w:rsid w:val="00272C73"/>
    <w:rsid w:val="00272CEA"/>
    <w:rsid w:val="0027449D"/>
    <w:rsid w:val="00274503"/>
    <w:rsid w:val="00274642"/>
    <w:rsid w:val="00274989"/>
    <w:rsid w:val="002767C5"/>
    <w:rsid w:val="00276C5D"/>
    <w:rsid w:val="00277E85"/>
    <w:rsid w:val="002803A1"/>
    <w:rsid w:val="0028099E"/>
    <w:rsid w:val="00280A7E"/>
    <w:rsid w:val="0028178E"/>
    <w:rsid w:val="002838B2"/>
    <w:rsid w:val="00283C5A"/>
    <w:rsid w:val="002842BC"/>
    <w:rsid w:val="002851DE"/>
    <w:rsid w:val="00285CC8"/>
    <w:rsid w:val="00287739"/>
    <w:rsid w:val="00287A45"/>
    <w:rsid w:val="00291A34"/>
    <w:rsid w:val="002927ED"/>
    <w:rsid w:val="00293027"/>
    <w:rsid w:val="0029334E"/>
    <w:rsid w:val="0029352B"/>
    <w:rsid w:val="00293CF9"/>
    <w:rsid w:val="00294387"/>
    <w:rsid w:val="00294430"/>
    <w:rsid w:val="00294A75"/>
    <w:rsid w:val="00294B7F"/>
    <w:rsid w:val="0029707C"/>
    <w:rsid w:val="00297094"/>
    <w:rsid w:val="00297C14"/>
    <w:rsid w:val="00297D38"/>
    <w:rsid w:val="002A105B"/>
    <w:rsid w:val="002A1D2D"/>
    <w:rsid w:val="002A1D3F"/>
    <w:rsid w:val="002A2335"/>
    <w:rsid w:val="002A2B96"/>
    <w:rsid w:val="002A2C11"/>
    <w:rsid w:val="002A414C"/>
    <w:rsid w:val="002A4B41"/>
    <w:rsid w:val="002A4F1D"/>
    <w:rsid w:val="002A5358"/>
    <w:rsid w:val="002A58BC"/>
    <w:rsid w:val="002A5BE5"/>
    <w:rsid w:val="002A7251"/>
    <w:rsid w:val="002A7433"/>
    <w:rsid w:val="002B06A9"/>
    <w:rsid w:val="002B338B"/>
    <w:rsid w:val="002B366D"/>
    <w:rsid w:val="002B3DD4"/>
    <w:rsid w:val="002B58C0"/>
    <w:rsid w:val="002B75B1"/>
    <w:rsid w:val="002B7CF5"/>
    <w:rsid w:val="002C051C"/>
    <w:rsid w:val="002C1394"/>
    <w:rsid w:val="002C1712"/>
    <w:rsid w:val="002C358E"/>
    <w:rsid w:val="002C5A8C"/>
    <w:rsid w:val="002C5E7D"/>
    <w:rsid w:val="002C6766"/>
    <w:rsid w:val="002C739D"/>
    <w:rsid w:val="002C7A3B"/>
    <w:rsid w:val="002C7A88"/>
    <w:rsid w:val="002C7B41"/>
    <w:rsid w:val="002C7C54"/>
    <w:rsid w:val="002D040F"/>
    <w:rsid w:val="002D09FD"/>
    <w:rsid w:val="002D1340"/>
    <w:rsid w:val="002D13E7"/>
    <w:rsid w:val="002D2999"/>
    <w:rsid w:val="002D3116"/>
    <w:rsid w:val="002D389B"/>
    <w:rsid w:val="002D4A6F"/>
    <w:rsid w:val="002D4E2D"/>
    <w:rsid w:val="002D58B2"/>
    <w:rsid w:val="002D5BE9"/>
    <w:rsid w:val="002D679E"/>
    <w:rsid w:val="002E1460"/>
    <w:rsid w:val="002E169B"/>
    <w:rsid w:val="002E18E8"/>
    <w:rsid w:val="002E1E85"/>
    <w:rsid w:val="002E23AA"/>
    <w:rsid w:val="002E2637"/>
    <w:rsid w:val="002E280F"/>
    <w:rsid w:val="002E4ACA"/>
    <w:rsid w:val="002E64C5"/>
    <w:rsid w:val="002E6930"/>
    <w:rsid w:val="002E6F19"/>
    <w:rsid w:val="002E72FE"/>
    <w:rsid w:val="002E76CC"/>
    <w:rsid w:val="002F030D"/>
    <w:rsid w:val="002F07BD"/>
    <w:rsid w:val="002F11AB"/>
    <w:rsid w:val="002F1D33"/>
    <w:rsid w:val="002F22C4"/>
    <w:rsid w:val="002F3089"/>
    <w:rsid w:val="002F4D44"/>
    <w:rsid w:val="002F5027"/>
    <w:rsid w:val="002F542C"/>
    <w:rsid w:val="002F5490"/>
    <w:rsid w:val="002F6275"/>
    <w:rsid w:val="002F694A"/>
    <w:rsid w:val="002F6DEA"/>
    <w:rsid w:val="003002B8"/>
    <w:rsid w:val="0030067C"/>
    <w:rsid w:val="00300960"/>
    <w:rsid w:val="00300E3D"/>
    <w:rsid w:val="00301E71"/>
    <w:rsid w:val="00303165"/>
    <w:rsid w:val="003036DD"/>
    <w:rsid w:val="00304696"/>
    <w:rsid w:val="00304A36"/>
    <w:rsid w:val="00305692"/>
    <w:rsid w:val="00306475"/>
    <w:rsid w:val="00307105"/>
    <w:rsid w:val="003073C6"/>
    <w:rsid w:val="003074F0"/>
    <w:rsid w:val="00307807"/>
    <w:rsid w:val="00307C34"/>
    <w:rsid w:val="00307EAD"/>
    <w:rsid w:val="00310951"/>
    <w:rsid w:val="00310FB8"/>
    <w:rsid w:val="003113BF"/>
    <w:rsid w:val="00311491"/>
    <w:rsid w:val="003115E9"/>
    <w:rsid w:val="0031268E"/>
    <w:rsid w:val="00312A89"/>
    <w:rsid w:val="00313CD3"/>
    <w:rsid w:val="003141A9"/>
    <w:rsid w:val="0031430A"/>
    <w:rsid w:val="00314576"/>
    <w:rsid w:val="00315A2A"/>
    <w:rsid w:val="00316234"/>
    <w:rsid w:val="003166BE"/>
    <w:rsid w:val="0032001D"/>
    <w:rsid w:val="003209B8"/>
    <w:rsid w:val="003210D5"/>
    <w:rsid w:val="00322CCA"/>
    <w:rsid w:val="003231D9"/>
    <w:rsid w:val="003233CB"/>
    <w:rsid w:val="00323777"/>
    <w:rsid w:val="0032382B"/>
    <w:rsid w:val="0032391A"/>
    <w:rsid w:val="00324D23"/>
    <w:rsid w:val="00325F12"/>
    <w:rsid w:val="003264D2"/>
    <w:rsid w:val="003270CA"/>
    <w:rsid w:val="003275DF"/>
    <w:rsid w:val="003302FD"/>
    <w:rsid w:val="0033032D"/>
    <w:rsid w:val="00330AE7"/>
    <w:rsid w:val="00332EF8"/>
    <w:rsid w:val="003330B5"/>
    <w:rsid w:val="0033314D"/>
    <w:rsid w:val="0033459D"/>
    <w:rsid w:val="00336685"/>
    <w:rsid w:val="00336D50"/>
    <w:rsid w:val="00336EFA"/>
    <w:rsid w:val="0033738C"/>
    <w:rsid w:val="0033770B"/>
    <w:rsid w:val="00337A25"/>
    <w:rsid w:val="00337A71"/>
    <w:rsid w:val="003405D6"/>
    <w:rsid w:val="00340798"/>
    <w:rsid w:val="00340DC5"/>
    <w:rsid w:val="00341837"/>
    <w:rsid w:val="00342F63"/>
    <w:rsid w:val="00343319"/>
    <w:rsid w:val="003441FF"/>
    <w:rsid w:val="00344D32"/>
    <w:rsid w:val="003464F4"/>
    <w:rsid w:val="003467A2"/>
    <w:rsid w:val="00347017"/>
    <w:rsid w:val="003472DA"/>
    <w:rsid w:val="00347589"/>
    <w:rsid w:val="00347598"/>
    <w:rsid w:val="00347732"/>
    <w:rsid w:val="00347763"/>
    <w:rsid w:val="00350EB7"/>
    <w:rsid w:val="0035178A"/>
    <w:rsid w:val="00351D3D"/>
    <w:rsid w:val="00351E87"/>
    <w:rsid w:val="00351EA3"/>
    <w:rsid w:val="00351FD0"/>
    <w:rsid w:val="00352260"/>
    <w:rsid w:val="00353B3E"/>
    <w:rsid w:val="00353BD9"/>
    <w:rsid w:val="00353F54"/>
    <w:rsid w:val="0035405A"/>
    <w:rsid w:val="003554B9"/>
    <w:rsid w:val="00355C25"/>
    <w:rsid w:val="00356D16"/>
    <w:rsid w:val="003574B6"/>
    <w:rsid w:val="00357B47"/>
    <w:rsid w:val="0036021F"/>
    <w:rsid w:val="00360E10"/>
    <w:rsid w:val="0036206D"/>
    <w:rsid w:val="0036350C"/>
    <w:rsid w:val="003636F9"/>
    <w:rsid w:val="00363890"/>
    <w:rsid w:val="00364702"/>
    <w:rsid w:val="00364AA1"/>
    <w:rsid w:val="00367425"/>
    <w:rsid w:val="00371AE7"/>
    <w:rsid w:val="003726F6"/>
    <w:rsid w:val="00373AAE"/>
    <w:rsid w:val="00373DCD"/>
    <w:rsid w:val="0037451E"/>
    <w:rsid w:val="00374AD7"/>
    <w:rsid w:val="00375A50"/>
    <w:rsid w:val="003774AB"/>
    <w:rsid w:val="00380056"/>
    <w:rsid w:val="00380172"/>
    <w:rsid w:val="003807F3"/>
    <w:rsid w:val="003811FC"/>
    <w:rsid w:val="00381776"/>
    <w:rsid w:val="00382610"/>
    <w:rsid w:val="00382DD3"/>
    <w:rsid w:val="0038424D"/>
    <w:rsid w:val="00384278"/>
    <w:rsid w:val="00385B93"/>
    <w:rsid w:val="00385BDC"/>
    <w:rsid w:val="00386479"/>
    <w:rsid w:val="003865A0"/>
    <w:rsid w:val="00390EE3"/>
    <w:rsid w:val="00390EF4"/>
    <w:rsid w:val="0039102A"/>
    <w:rsid w:val="0039214C"/>
    <w:rsid w:val="00393C75"/>
    <w:rsid w:val="00393E0C"/>
    <w:rsid w:val="0039543B"/>
    <w:rsid w:val="00396946"/>
    <w:rsid w:val="00396A1B"/>
    <w:rsid w:val="0039753C"/>
    <w:rsid w:val="00397DD3"/>
    <w:rsid w:val="003A06DE"/>
    <w:rsid w:val="003A1BA2"/>
    <w:rsid w:val="003A230A"/>
    <w:rsid w:val="003A27C4"/>
    <w:rsid w:val="003A2C99"/>
    <w:rsid w:val="003A3480"/>
    <w:rsid w:val="003A3E04"/>
    <w:rsid w:val="003A3E7B"/>
    <w:rsid w:val="003A44F7"/>
    <w:rsid w:val="003A679B"/>
    <w:rsid w:val="003A6B01"/>
    <w:rsid w:val="003A6E45"/>
    <w:rsid w:val="003A79BD"/>
    <w:rsid w:val="003B1583"/>
    <w:rsid w:val="003B1750"/>
    <w:rsid w:val="003B231E"/>
    <w:rsid w:val="003B2747"/>
    <w:rsid w:val="003B2C5C"/>
    <w:rsid w:val="003B2F0F"/>
    <w:rsid w:val="003B3830"/>
    <w:rsid w:val="003B3E61"/>
    <w:rsid w:val="003B4167"/>
    <w:rsid w:val="003B41D9"/>
    <w:rsid w:val="003B41DF"/>
    <w:rsid w:val="003B4A46"/>
    <w:rsid w:val="003B4A69"/>
    <w:rsid w:val="003B5897"/>
    <w:rsid w:val="003B6467"/>
    <w:rsid w:val="003B675C"/>
    <w:rsid w:val="003B72C1"/>
    <w:rsid w:val="003B74C7"/>
    <w:rsid w:val="003B763F"/>
    <w:rsid w:val="003C0AD6"/>
    <w:rsid w:val="003C1926"/>
    <w:rsid w:val="003C1A1C"/>
    <w:rsid w:val="003C2790"/>
    <w:rsid w:val="003C2FB6"/>
    <w:rsid w:val="003C3E93"/>
    <w:rsid w:val="003C3EFF"/>
    <w:rsid w:val="003C5890"/>
    <w:rsid w:val="003C5DD1"/>
    <w:rsid w:val="003C6C2F"/>
    <w:rsid w:val="003C7D6F"/>
    <w:rsid w:val="003C7E79"/>
    <w:rsid w:val="003C7F98"/>
    <w:rsid w:val="003D0A4C"/>
    <w:rsid w:val="003D10D7"/>
    <w:rsid w:val="003D16C6"/>
    <w:rsid w:val="003D1D2E"/>
    <w:rsid w:val="003D1FC4"/>
    <w:rsid w:val="003D2389"/>
    <w:rsid w:val="003D2726"/>
    <w:rsid w:val="003D3FA2"/>
    <w:rsid w:val="003D41F5"/>
    <w:rsid w:val="003D4CFC"/>
    <w:rsid w:val="003D4D29"/>
    <w:rsid w:val="003D4F05"/>
    <w:rsid w:val="003D6C42"/>
    <w:rsid w:val="003E13F9"/>
    <w:rsid w:val="003E222D"/>
    <w:rsid w:val="003E2D66"/>
    <w:rsid w:val="003E2F3D"/>
    <w:rsid w:val="003E347E"/>
    <w:rsid w:val="003E3A00"/>
    <w:rsid w:val="003E3C08"/>
    <w:rsid w:val="003E401E"/>
    <w:rsid w:val="003E408D"/>
    <w:rsid w:val="003E4187"/>
    <w:rsid w:val="003E4462"/>
    <w:rsid w:val="003E56CE"/>
    <w:rsid w:val="003E5D6C"/>
    <w:rsid w:val="003E6E74"/>
    <w:rsid w:val="003E729D"/>
    <w:rsid w:val="003E7AC0"/>
    <w:rsid w:val="003F16E0"/>
    <w:rsid w:val="003F1A5E"/>
    <w:rsid w:val="003F2EA5"/>
    <w:rsid w:val="003F312A"/>
    <w:rsid w:val="003F328E"/>
    <w:rsid w:val="003F3A2F"/>
    <w:rsid w:val="003F3D6E"/>
    <w:rsid w:val="003F4F82"/>
    <w:rsid w:val="003F5575"/>
    <w:rsid w:val="003F57B3"/>
    <w:rsid w:val="003F5ABB"/>
    <w:rsid w:val="003F5E40"/>
    <w:rsid w:val="003F616A"/>
    <w:rsid w:val="003F6B96"/>
    <w:rsid w:val="003F74B1"/>
    <w:rsid w:val="00400ED5"/>
    <w:rsid w:val="00402C1F"/>
    <w:rsid w:val="004038CB"/>
    <w:rsid w:val="00403964"/>
    <w:rsid w:val="00403C44"/>
    <w:rsid w:val="00404B38"/>
    <w:rsid w:val="004057C1"/>
    <w:rsid w:val="004062A6"/>
    <w:rsid w:val="0040676C"/>
    <w:rsid w:val="00406D23"/>
    <w:rsid w:val="00407947"/>
    <w:rsid w:val="00410AAC"/>
    <w:rsid w:val="004118A3"/>
    <w:rsid w:val="004134C4"/>
    <w:rsid w:val="004138DA"/>
    <w:rsid w:val="00414157"/>
    <w:rsid w:val="004152BC"/>
    <w:rsid w:val="0041588F"/>
    <w:rsid w:val="00416AA7"/>
    <w:rsid w:val="00417E10"/>
    <w:rsid w:val="0042025A"/>
    <w:rsid w:val="00420292"/>
    <w:rsid w:val="004206D9"/>
    <w:rsid w:val="0042205E"/>
    <w:rsid w:val="00425189"/>
    <w:rsid w:val="00425B34"/>
    <w:rsid w:val="00425D70"/>
    <w:rsid w:val="00425E27"/>
    <w:rsid w:val="0042673E"/>
    <w:rsid w:val="00426F66"/>
    <w:rsid w:val="00427FA2"/>
    <w:rsid w:val="00430BBC"/>
    <w:rsid w:val="00432303"/>
    <w:rsid w:val="00433E42"/>
    <w:rsid w:val="004342A5"/>
    <w:rsid w:val="00434397"/>
    <w:rsid w:val="004357DF"/>
    <w:rsid w:val="00436756"/>
    <w:rsid w:val="004369F6"/>
    <w:rsid w:val="0043713B"/>
    <w:rsid w:val="00437226"/>
    <w:rsid w:val="00437A58"/>
    <w:rsid w:val="00437B31"/>
    <w:rsid w:val="00437BD6"/>
    <w:rsid w:val="00437F17"/>
    <w:rsid w:val="004411B7"/>
    <w:rsid w:val="0044158A"/>
    <w:rsid w:val="0044183D"/>
    <w:rsid w:val="004418CA"/>
    <w:rsid w:val="0044192A"/>
    <w:rsid w:val="00441BE8"/>
    <w:rsid w:val="00441E26"/>
    <w:rsid w:val="00442B79"/>
    <w:rsid w:val="00443D47"/>
    <w:rsid w:val="00444CFC"/>
    <w:rsid w:val="004454C6"/>
    <w:rsid w:val="0044601D"/>
    <w:rsid w:val="00447DB3"/>
    <w:rsid w:val="00451877"/>
    <w:rsid w:val="00451F1B"/>
    <w:rsid w:val="00452BF0"/>
    <w:rsid w:val="0045364B"/>
    <w:rsid w:val="00453EAC"/>
    <w:rsid w:val="00453FEA"/>
    <w:rsid w:val="00454D0E"/>
    <w:rsid w:val="00455074"/>
    <w:rsid w:val="00455097"/>
    <w:rsid w:val="004559BE"/>
    <w:rsid w:val="00455DC4"/>
    <w:rsid w:val="00455EBD"/>
    <w:rsid w:val="00456DBF"/>
    <w:rsid w:val="00456FB5"/>
    <w:rsid w:val="00457318"/>
    <w:rsid w:val="00457CDB"/>
    <w:rsid w:val="00460E71"/>
    <w:rsid w:val="00460F6E"/>
    <w:rsid w:val="004615D2"/>
    <w:rsid w:val="00461924"/>
    <w:rsid w:val="00461D1D"/>
    <w:rsid w:val="00463184"/>
    <w:rsid w:val="00464215"/>
    <w:rsid w:val="0046619A"/>
    <w:rsid w:val="00470A09"/>
    <w:rsid w:val="00470F57"/>
    <w:rsid w:val="00471D6C"/>
    <w:rsid w:val="00471F88"/>
    <w:rsid w:val="00472380"/>
    <w:rsid w:val="0047534E"/>
    <w:rsid w:val="00475783"/>
    <w:rsid w:val="00475ED5"/>
    <w:rsid w:val="00476FAC"/>
    <w:rsid w:val="00477610"/>
    <w:rsid w:val="00481070"/>
    <w:rsid w:val="004812C8"/>
    <w:rsid w:val="004822C1"/>
    <w:rsid w:val="00483240"/>
    <w:rsid w:val="00483C05"/>
    <w:rsid w:val="00484169"/>
    <w:rsid w:val="004850AB"/>
    <w:rsid w:val="004854C3"/>
    <w:rsid w:val="00485690"/>
    <w:rsid w:val="00485762"/>
    <w:rsid w:val="00485FCB"/>
    <w:rsid w:val="0048717D"/>
    <w:rsid w:val="00487273"/>
    <w:rsid w:val="00487318"/>
    <w:rsid w:val="00487E10"/>
    <w:rsid w:val="00491AC5"/>
    <w:rsid w:val="00491CE2"/>
    <w:rsid w:val="004924C3"/>
    <w:rsid w:val="00492836"/>
    <w:rsid w:val="0049293B"/>
    <w:rsid w:val="00492EE1"/>
    <w:rsid w:val="0049390E"/>
    <w:rsid w:val="00494026"/>
    <w:rsid w:val="00494343"/>
    <w:rsid w:val="004944AB"/>
    <w:rsid w:val="00495923"/>
    <w:rsid w:val="004979E8"/>
    <w:rsid w:val="004A08F4"/>
    <w:rsid w:val="004A1180"/>
    <w:rsid w:val="004A1194"/>
    <w:rsid w:val="004A2C73"/>
    <w:rsid w:val="004A2E92"/>
    <w:rsid w:val="004A31BA"/>
    <w:rsid w:val="004A3243"/>
    <w:rsid w:val="004A4482"/>
    <w:rsid w:val="004A5C2F"/>
    <w:rsid w:val="004A60C0"/>
    <w:rsid w:val="004A67C5"/>
    <w:rsid w:val="004A6C01"/>
    <w:rsid w:val="004A7D79"/>
    <w:rsid w:val="004B01E5"/>
    <w:rsid w:val="004B03DA"/>
    <w:rsid w:val="004B0554"/>
    <w:rsid w:val="004B0F57"/>
    <w:rsid w:val="004B107E"/>
    <w:rsid w:val="004B17EB"/>
    <w:rsid w:val="004B1F7A"/>
    <w:rsid w:val="004B2040"/>
    <w:rsid w:val="004B2A60"/>
    <w:rsid w:val="004B2C6B"/>
    <w:rsid w:val="004B3928"/>
    <w:rsid w:val="004B4CB0"/>
    <w:rsid w:val="004B4F0F"/>
    <w:rsid w:val="004B51C7"/>
    <w:rsid w:val="004B53E5"/>
    <w:rsid w:val="004B552D"/>
    <w:rsid w:val="004B5D14"/>
    <w:rsid w:val="004B5FCD"/>
    <w:rsid w:val="004B6C0F"/>
    <w:rsid w:val="004B738C"/>
    <w:rsid w:val="004B7A5F"/>
    <w:rsid w:val="004B7FF7"/>
    <w:rsid w:val="004C02EF"/>
    <w:rsid w:val="004C1D18"/>
    <w:rsid w:val="004C2526"/>
    <w:rsid w:val="004C2561"/>
    <w:rsid w:val="004C260D"/>
    <w:rsid w:val="004C382C"/>
    <w:rsid w:val="004C4365"/>
    <w:rsid w:val="004C496B"/>
    <w:rsid w:val="004C53B2"/>
    <w:rsid w:val="004C60AC"/>
    <w:rsid w:val="004C6AA7"/>
    <w:rsid w:val="004C78E0"/>
    <w:rsid w:val="004C7B5D"/>
    <w:rsid w:val="004C7F56"/>
    <w:rsid w:val="004D16CE"/>
    <w:rsid w:val="004D19EC"/>
    <w:rsid w:val="004D2CA6"/>
    <w:rsid w:val="004D325C"/>
    <w:rsid w:val="004D5132"/>
    <w:rsid w:val="004D5C5D"/>
    <w:rsid w:val="004D7A20"/>
    <w:rsid w:val="004E095C"/>
    <w:rsid w:val="004E1699"/>
    <w:rsid w:val="004E1866"/>
    <w:rsid w:val="004E235C"/>
    <w:rsid w:val="004E3A33"/>
    <w:rsid w:val="004E43AB"/>
    <w:rsid w:val="004E49E4"/>
    <w:rsid w:val="004E4A68"/>
    <w:rsid w:val="004E5066"/>
    <w:rsid w:val="004E6288"/>
    <w:rsid w:val="004E7007"/>
    <w:rsid w:val="004E7318"/>
    <w:rsid w:val="004E7362"/>
    <w:rsid w:val="004F0184"/>
    <w:rsid w:val="004F04A3"/>
    <w:rsid w:val="004F14CB"/>
    <w:rsid w:val="004F25C0"/>
    <w:rsid w:val="004F2A60"/>
    <w:rsid w:val="004F2BF4"/>
    <w:rsid w:val="004F36C6"/>
    <w:rsid w:val="004F37BE"/>
    <w:rsid w:val="004F4BDD"/>
    <w:rsid w:val="004F563E"/>
    <w:rsid w:val="004F5B60"/>
    <w:rsid w:val="004F6614"/>
    <w:rsid w:val="004F6B4E"/>
    <w:rsid w:val="004F738D"/>
    <w:rsid w:val="00500906"/>
    <w:rsid w:val="00501A65"/>
    <w:rsid w:val="00503132"/>
    <w:rsid w:val="005035B5"/>
    <w:rsid w:val="00503D34"/>
    <w:rsid w:val="00504203"/>
    <w:rsid w:val="0050566D"/>
    <w:rsid w:val="0050600E"/>
    <w:rsid w:val="005062E5"/>
    <w:rsid w:val="005071AE"/>
    <w:rsid w:val="00507D40"/>
    <w:rsid w:val="0051013D"/>
    <w:rsid w:val="00511046"/>
    <w:rsid w:val="005120D0"/>
    <w:rsid w:val="00512F5B"/>
    <w:rsid w:val="00513CD6"/>
    <w:rsid w:val="00514CD1"/>
    <w:rsid w:val="0051508E"/>
    <w:rsid w:val="00516527"/>
    <w:rsid w:val="00516C04"/>
    <w:rsid w:val="00516F48"/>
    <w:rsid w:val="00517117"/>
    <w:rsid w:val="00520489"/>
    <w:rsid w:val="00520660"/>
    <w:rsid w:val="00520A71"/>
    <w:rsid w:val="00520D13"/>
    <w:rsid w:val="00521DEE"/>
    <w:rsid w:val="005225F7"/>
    <w:rsid w:val="0052272F"/>
    <w:rsid w:val="005242A2"/>
    <w:rsid w:val="00524B67"/>
    <w:rsid w:val="00524CB6"/>
    <w:rsid w:val="00524D0E"/>
    <w:rsid w:val="005255DE"/>
    <w:rsid w:val="00525DC6"/>
    <w:rsid w:val="00525E04"/>
    <w:rsid w:val="00527120"/>
    <w:rsid w:val="00527860"/>
    <w:rsid w:val="00527C10"/>
    <w:rsid w:val="00530E4B"/>
    <w:rsid w:val="00531001"/>
    <w:rsid w:val="00531173"/>
    <w:rsid w:val="005324A8"/>
    <w:rsid w:val="00533CF7"/>
    <w:rsid w:val="00534052"/>
    <w:rsid w:val="0053478B"/>
    <w:rsid w:val="00534C8F"/>
    <w:rsid w:val="005350F3"/>
    <w:rsid w:val="0053583F"/>
    <w:rsid w:val="00536FB3"/>
    <w:rsid w:val="00540018"/>
    <w:rsid w:val="005413A1"/>
    <w:rsid w:val="00542A91"/>
    <w:rsid w:val="00542E50"/>
    <w:rsid w:val="00543363"/>
    <w:rsid w:val="00544CFF"/>
    <w:rsid w:val="005464F5"/>
    <w:rsid w:val="00547059"/>
    <w:rsid w:val="005477CD"/>
    <w:rsid w:val="00550726"/>
    <w:rsid w:val="00550AE3"/>
    <w:rsid w:val="00550C9D"/>
    <w:rsid w:val="00550F41"/>
    <w:rsid w:val="00551389"/>
    <w:rsid w:val="0055159F"/>
    <w:rsid w:val="0055212A"/>
    <w:rsid w:val="005528A4"/>
    <w:rsid w:val="00553177"/>
    <w:rsid w:val="00554EB3"/>
    <w:rsid w:val="00555683"/>
    <w:rsid w:val="00555B7B"/>
    <w:rsid w:val="00556B3D"/>
    <w:rsid w:val="00557345"/>
    <w:rsid w:val="00560A45"/>
    <w:rsid w:val="00560E92"/>
    <w:rsid w:val="00561545"/>
    <w:rsid w:val="0056186C"/>
    <w:rsid w:val="00562807"/>
    <w:rsid w:val="00562FC8"/>
    <w:rsid w:val="00564360"/>
    <w:rsid w:val="00564B25"/>
    <w:rsid w:val="00565C07"/>
    <w:rsid w:val="00565C2F"/>
    <w:rsid w:val="00565F9A"/>
    <w:rsid w:val="005667BA"/>
    <w:rsid w:val="005669AD"/>
    <w:rsid w:val="00566CBA"/>
    <w:rsid w:val="00570873"/>
    <w:rsid w:val="00570E84"/>
    <w:rsid w:val="0057148E"/>
    <w:rsid w:val="005714A8"/>
    <w:rsid w:val="005717E3"/>
    <w:rsid w:val="00571F9B"/>
    <w:rsid w:val="00575767"/>
    <w:rsid w:val="0057601E"/>
    <w:rsid w:val="0057636E"/>
    <w:rsid w:val="005764EC"/>
    <w:rsid w:val="0057652E"/>
    <w:rsid w:val="00577796"/>
    <w:rsid w:val="0057795C"/>
    <w:rsid w:val="0058078A"/>
    <w:rsid w:val="00580943"/>
    <w:rsid w:val="00580DE0"/>
    <w:rsid w:val="00581DD4"/>
    <w:rsid w:val="00582014"/>
    <w:rsid w:val="005826C6"/>
    <w:rsid w:val="00583413"/>
    <w:rsid w:val="00584E6D"/>
    <w:rsid w:val="00586584"/>
    <w:rsid w:val="005866AA"/>
    <w:rsid w:val="005867F9"/>
    <w:rsid w:val="00586B22"/>
    <w:rsid w:val="00586BB9"/>
    <w:rsid w:val="00587A52"/>
    <w:rsid w:val="00587C0F"/>
    <w:rsid w:val="00587D9C"/>
    <w:rsid w:val="00590133"/>
    <w:rsid w:val="0059025B"/>
    <w:rsid w:val="005910BF"/>
    <w:rsid w:val="0059188D"/>
    <w:rsid w:val="00591C75"/>
    <w:rsid w:val="005927A1"/>
    <w:rsid w:val="00592C5E"/>
    <w:rsid w:val="00592D9C"/>
    <w:rsid w:val="00592DAA"/>
    <w:rsid w:val="00592FA1"/>
    <w:rsid w:val="00593163"/>
    <w:rsid w:val="005935C6"/>
    <w:rsid w:val="00593B4B"/>
    <w:rsid w:val="00593C01"/>
    <w:rsid w:val="00593D52"/>
    <w:rsid w:val="005944AE"/>
    <w:rsid w:val="00595054"/>
    <w:rsid w:val="00595AB9"/>
    <w:rsid w:val="0059613E"/>
    <w:rsid w:val="00596249"/>
    <w:rsid w:val="00597498"/>
    <w:rsid w:val="005A00BA"/>
    <w:rsid w:val="005A0610"/>
    <w:rsid w:val="005A09A0"/>
    <w:rsid w:val="005A1621"/>
    <w:rsid w:val="005A260F"/>
    <w:rsid w:val="005A6479"/>
    <w:rsid w:val="005A6F48"/>
    <w:rsid w:val="005A75BE"/>
    <w:rsid w:val="005A78E3"/>
    <w:rsid w:val="005A7C22"/>
    <w:rsid w:val="005B0BEF"/>
    <w:rsid w:val="005B11EC"/>
    <w:rsid w:val="005B1C33"/>
    <w:rsid w:val="005B1E34"/>
    <w:rsid w:val="005B35C8"/>
    <w:rsid w:val="005B40BB"/>
    <w:rsid w:val="005B5553"/>
    <w:rsid w:val="005B5AC0"/>
    <w:rsid w:val="005B6339"/>
    <w:rsid w:val="005B7331"/>
    <w:rsid w:val="005B78C2"/>
    <w:rsid w:val="005C08F4"/>
    <w:rsid w:val="005C12FA"/>
    <w:rsid w:val="005C17AC"/>
    <w:rsid w:val="005C1AD0"/>
    <w:rsid w:val="005C2A3F"/>
    <w:rsid w:val="005C2A46"/>
    <w:rsid w:val="005C2BF8"/>
    <w:rsid w:val="005C3564"/>
    <w:rsid w:val="005C3981"/>
    <w:rsid w:val="005C552A"/>
    <w:rsid w:val="005C6AFC"/>
    <w:rsid w:val="005C702C"/>
    <w:rsid w:val="005C766D"/>
    <w:rsid w:val="005D01DF"/>
    <w:rsid w:val="005D08D3"/>
    <w:rsid w:val="005D0ACF"/>
    <w:rsid w:val="005D258E"/>
    <w:rsid w:val="005D3FFE"/>
    <w:rsid w:val="005D4A64"/>
    <w:rsid w:val="005D4F4E"/>
    <w:rsid w:val="005D57BE"/>
    <w:rsid w:val="005D658E"/>
    <w:rsid w:val="005D6633"/>
    <w:rsid w:val="005D7967"/>
    <w:rsid w:val="005E0E3C"/>
    <w:rsid w:val="005E2316"/>
    <w:rsid w:val="005E254E"/>
    <w:rsid w:val="005E4125"/>
    <w:rsid w:val="005E5477"/>
    <w:rsid w:val="005E75B5"/>
    <w:rsid w:val="005E7657"/>
    <w:rsid w:val="005E7800"/>
    <w:rsid w:val="005F0198"/>
    <w:rsid w:val="005F0600"/>
    <w:rsid w:val="005F1EB6"/>
    <w:rsid w:val="005F2B28"/>
    <w:rsid w:val="005F337F"/>
    <w:rsid w:val="005F3B95"/>
    <w:rsid w:val="005F3D1F"/>
    <w:rsid w:val="005F557B"/>
    <w:rsid w:val="005F6471"/>
    <w:rsid w:val="005F664C"/>
    <w:rsid w:val="005F6AB7"/>
    <w:rsid w:val="005F6D3C"/>
    <w:rsid w:val="005F751D"/>
    <w:rsid w:val="005F7ACA"/>
    <w:rsid w:val="005F7B63"/>
    <w:rsid w:val="005F7C62"/>
    <w:rsid w:val="006005C4"/>
    <w:rsid w:val="00601B2E"/>
    <w:rsid w:val="00603549"/>
    <w:rsid w:val="0060367D"/>
    <w:rsid w:val="00603DED"/>
    <w:rsid w:val="0060467D"/>
    <w:rsid w:val="00604918"/>
    <w:rsid w:val="00604A2F"/>
    <w:rsid w:val="00604E32"/>
    <w:rsid w:val="00604F7D"/>
    <w:rsid w:val="00605518"/>
    <w:rsid w:val="00606FD9"/>
    <w:rsid w:val="00610536"/>
    <w:rsid w:val="006108FA"/>
    <w:rsid w:val="006117A9"/>
    <w:rsid w:val="00612D59"/>
    <w:rsid w:val="006138CD"/>
    <w:rsid w:val="00614941"/>
    <w:rsid w:val="00614C0A"/>
    <w:rsid w:val="006172C6"/>
    <w:rsid w:val="0061789C"/>
    <w:rsid w:val="00620B95"/>
    <w:rsid w:val="006212DF"/>
    <w:rsid w:val="006212EC"/>
    <w:rsid w:val="00621488"/>
    <w:rsid w:val="00622947"/>
    <w:rsid w:val="00622FE6"/>
    <w:rsid w:val="00623039"/>
    <w:rsid w:val="00623F75"/>
    <w:rsid w:val="00624483"/>
    <w:rsid w:val="00624EE4"/>
    <w:rsid w:val="00626D9A"/>
    <w:rsid w:val="00626E51"/>
    <w:rsid w:val="00627301"/>
    <w:rsid w:val="0062784F"/>
    <w:rsid w:val="00627969"/>
    <w:rsid w:val="006304F4"/>
    <w:rsid w:val="00630CFE"/>
    <w:rsid w:val="00631568"/>
    <w:rsid w:val="00631D52"/>
    <w:rsid w:val="00632464"/>
    <w:rsid w:val="00632B9F"/>
    <w:rsid w:val="00635754"/>
    <w:rsid w:val="00637A19"/>
    <w:rsid w:val="00637BFF"/>
    <w:rsid w:val="006406E2"/>
    <w:rsid w:val="006409E4"/>
    <w:rsid w:val="00641BB7"/>
    <w:rsid w:val="0064219F"/>
    <w:rsid w:val="00642A8A"/>
    <w:rsid w:val="006434E3"/>
    <w:rsid w:val="00644F6B"/>
    <w:rsid w:val="00645AC2"/>
    <w:rsid w:val="0064686D"/>
    <w:rsid w:val="006507B4"/>
    <w:rsid w:val="0065152D"/>
    <w:rsid w:val="00652AA0"/>
    <w:rsid w:val="00652DA9"/>
    <w:rsid w:val="00653967"/>
    <w:rsid w:val="00653D9A"/>
    <w:rsid w:val="006545A6"/>
    <w:rsid w:val="00654913"/>
    <w:rsid w:val="0065525B"/>
    <w:rsid w:val="00655ED8"/>
    <w:rsid w:val="00656935"/>
    <w:rsid w:val="00661388"/>
    <w:rsid w:val="00664161"/>
    <w:rsid w:val="006656D6"/>
    <w:rsid w:val="00666124"/>
    <w:rsid w:val="006661BC"/>
    <w:rsid w:val="00666CCE"/>
    <w:rsid w:val="0066734C"/>
    <w:rsid w:val="00667AB6"/>
    <w:rsid w:val="00667D8D"/>
    <w:rsid w:val="006715B4"/>
    <w:rsid w:val="006715E3"/>
    <w:rsid w:val="0067260B"/>
    <w:rsid w:val="006728A5"/>
    <w:rsid w:val="00672E19"/>
    <w:rsid w:val="006730D8"/>
    <w:rsid w:val="0067637E"/>
    <w:rsid w:val="00676720"/>
    <w:rsid w:val="0067701F"/>
    <w:rsid w:val="0067713C"/>
    <w:rsid w:val="00677F90"/>
    <w:rsid w:val="006800A1"/>
    <w:rsid w:val="006806CF"/>
    <w:rsid w:val="00681F60"/>
    <w:rsid w:val="00684025"/>
    <w:rsid w:val="00684C42"/>
    <w:rsid w:val="00686315"/>
    <w:rsid w:val="00686C0B"/>
    <w:rsid w:val="00687775"/>
    <w:rsid w:val="006877C1"/>
    <w:rsid w:val="006879C8"/>
    <w:rsid w:val="00687EF9"/>
    <w:rsid w:val="00690161"/>
    <w:rsid w:val="00690477"/>
    <w:rsid w:val="00691084"/>
    <w:rsid w:val="00691148"/>
    <w:rsid w:val="00692074"/>
    <w:rsid w:val="00692325"/>
    <w:rsid w:val="006926C5"/>
    <w:rsid w:val="00694BC2"/>
    <w:rsid w:val="00694CA0"/>
    <w:rsid w:val="00695123"/>
    <w:rsid w:val="00695243"/>
    <w:rsid w:val="006956CE"/>
    <w:rsid w:val="006958BB"/>
    <w:rsid w:val="00697756"/>
    <w:rsid w:val="00697B7A"/>
    <w:rsid w:val="00697F12"/>
    <w:rsid w:val="006A0B97"/>
    <w:rsid w:val="006A192A"/>
    <w:rsid w:val="006A1FD7"/>
    <w:rsid w:val="006A2461"/>
    <w:rsid w:val="006A2CA0"/>
    <w:rsid w:val="006A38E3"/>
    <w:rsid w:val="006A4474"/>
    <w:rsid w:val="006A4FAC"/>
    <w:rsid w:val="006A5A27"/>
    <w:rsid w:val="006A5BE8"/>
    <w:rsid w:val="006A6064"/>
    <w:rsid w:val="006A6122"/>
    <w:rsid w:val="006B014D"/>
    <w:rsid w:val="006B04B0"/>
    <w:rsid w:val="006B0596"/>
    <w:rsid w:val="006B14BE"/>
    <w:rsid w:val="006B1EB6"/>
    <w:rsid w:val="006B23F3"/>
    <w:rsid w:val="006B3414"/>
    <w:rsid w:val="006B3D87"/>
    <w:rsid w:val="006B509C"/>
    <w:rsid w:val="006B57CE"/>
    <w:rsid w:val="006B5B34"/>
    <w:rsid w:val="006B64F2"/>
    <w:rsid w:val="006B683A"/>
    <w:rsid w:val="006C06BD"/>
    <w:rsid w:val="006C089B"/>
    <w:rsid w:val="006C1A57"/>
    <w:rsid w:val="006C408A"/>
    <w:rsid w:val="006C4403"/>
    <w:rsid w:val="006C5FB3"/>
    <w:rsid w:val="006C65E6"/>
    <w:rsid w:val="006C6CEB"/>
    <w:rsid w:val="006C7077"/>
    <w:rsid w:val="006C74B9"/>
    <w:rsid w:val="006D08C6"/>
    <w:rsid w:val="006D1F25"/>
    <w:rsid w:val="006D2479"/>
    <w:rsid w:val="006D39D6"/>
    <w:rsid w:val="006D3BFC"/>
    <w:rsid w:val="006D40A0"/>
    <w:rsid w:val="006D4353"/>
    <w:rsid w:val="006D486E"/>
    <w:rsid w:val="006D4E36"/>
    <w:rsid w:val="006D5408"/>
    <w:rsid w:val="006D5555"/>
    <w:rsid w:val="006D589E"/>
    <w:rsid w:val="006D5D58"/>
    <w:rsid w:val="006D67F3"/>
    <w:rsid w:val="006D67FD"/>
    <w:rsid w:val="006D6986"/>
    <w:rsid w:val="006D76F1"/>
    <w:rsid w:val="006E0898"/>
    <w:rsid w:val="006E10C6"/>
    <w:rsid w:val="006E1517"/>
    <w:rsid w:val="006E1729"/>
    <w:rsid w:val="006E2AA2"/>
    <w:rsid w:val="006E2CE9"/>
    <w:rsid w:val="006E2EDA"/>
    <w:rsid w:val="006E308F"/>
    <w:rsid w:val="006E463D"/>
    <w:rsid w:val="006E594B"/>
    <w:rsid w:val="006E65D1"/>
    <w:rsid w:val="006E7916"/>
    <w:rsid w:val="006F00F4"/>
    <w:rsid w:val="006F0764"/>
    <w:rsid w:val="006F14A1"/>
    <w:rsid w:val="006F162B"/>
    <w:rsid w:val="006F1B13"/>
    <w:rsid w:val="006F49FC"/>
    <w:rsid w:val="006F4C38"/>
    <w:rsid w:val="006F5268"/>
    <w:rsid w:val="006F67BE"/>
    <w:rsid w:val="006F69A1"/>
    <w:rsid w:val="006F75D9"/>
    <w:rsid w:val="006F7632"/>
    <w:rsid w:val="006F7AE4"/>
    <w:rsid w:val="00700F03"/>
    <w:rsid w:val="00701F55"/>
    <w:rsid w:val="00702898"/>
    <w:rsid w:val="00702ADF"/>
    <w:rsid w:val="00702CA8"/>
    <w:rsid w:val="00702DE2"/>
    <w:rsid w:val="00702EA6"/>
    <w:rsid w:val="00702FEC"/>
    <w:rsid w:val="00704E72"/>
    <w:rsid w:val="00704EAE"/>
    <w:rsid w:val="007059BD"/>
    <w:rsid w:val="00705A26"/>
    <w:rsid w:val="0070712F"/>
    <w:rsid w:val="007071BD"/>
    <w:rsid w:val="00711D73"/>
    <w:rsid w:val="00711F01"/>
    <w:rsid w:val="00712034"/>
    <w:rsid w:val="007123B4"/>
    <w:rsid w:val="007131A3"/>
    <w:rsid w:val="007132DB"/>
    <w:rsid w:val="00713954"/>
    <w:rsid w:val="00713CED"/>
    <w:rsid w:val="00714630"/>
    <w:rsid w:val="007149B4"/>
    <w:rsid w:val="00714A2D"/>
    <w:rsid w:val="00715210"/>
    <w:rsid w:val="00717523"/>
    <w:rsid w:val="00721123"/>
    <w:rsid w:val="00721C9C"/>
    <w:rsid w:val="0072249E"/>
    <w:rsid w:val="0072281D"/>
    <w:rsid w:val="00722CAB"/>
    <w:rsid w:val="00722E24"/>
    <w:rsid w:val="00723BE6"/>
    <w:rsid w:val="00724FFF"/>
    <w:rsid w:val="0072590F"/>
    <w:rsid w:val="00725E07"/>
    <w:rsid w:val="00725E61"/>
    <w:rsid w:val="00726410"/>
    <w:rsid w:val="00726BC5"/>
    <w:rsid w:val="00726C6F"/>
    <w:rsid w:val="00727363"/>
    <w:rsid w:val="007276CE"/>
    <w:rsid w:val="00727F1C"/>
    <w:rsid w:val="00730271"/>
    <w:rsid w:val="007312A4"/>
    <w:rsid w:val="00732647"/>
    <w:rsid w:val="00733EA7"/>
    <w:rsid w:val="00734BC5"/>
    <w:rsid w:val="0074021C"/>
    <w:rsid w:val="00741127"/>
    <w:rsid w:val="00742C10"/>
    <w:rsid w:val="0074396E"/>
    <w:rsid w:val="00743E69"/>
    <w:rsid w:val="00744867"/>
    <w:rsid w:val="00745567"/>
    <w:rsid w:val="00745939"/>
    <w:rsid w:val="00745E90"/>
    <w:rsid w:val="007463FB"/>
    <w:rsid w:val="00746472"/>
    <w:rsid w:val="007468CE"/>
    <w:rsid w:val="00746C2D"/>
    <w:rsid w:val="00746E37"/>
    <w:rsid w:val="00746F1C"/>
    <w:rsid w:val="007472D2"/>
    <w:rsid w:val="007479AC"/>
    <w:rsid w:val="00747E33"/>
    <w:rsid w:val="007502BB"/>
    <w:rsid w:val="007506D6"/>
    <w:rsid w:val="00752DEA"/>
    <w:rsid w:val="0075457B"/>
    <w:rsid w:val="007552CB"/>
    <w:rsid w:val="00755958"/>
    <w:rsid w:val="007572CF"/>
    <w:rsid w:val="0075745D"/>
    <w:rsid w:val="0075766F"/>
    <w:rsid w:val="00760A66"/>
    <w:rsid w:val="007610BC"/>
    <w:rsid w:val="007611B9"/>
    <w:rsid w:val="00762606"/>
    <w:rsid w:val="00762934"/>
    <w:rsid w:val="00763710"/>
    <w:rsid w:val="00763B6A"/>
    <w:rsid w:val="0076429E"/>
    <w:rsid w:val="00764912"/>
    <w:rsid w:val="00765233"/>
    <w:rsid w:val="00766712"/>
    <w:rsid w:val="00767B67"/>
    <w:rsid w:val="00770D17"/>
    <w:rsid w:val="00771349"/>
    <w:rsid w:val="0077175F"/>
    <w:rsid w:val="00771B28"/>
    <w:rsid w:val="00772411"/>
    <w:rsid w:val="00772743"/>
    <w:rsid w:val="0077276E"/>
    <w:rsid w:val="00772EA2"/>
    <w:rsid w:val="0077307B"/>
    <w:rsid w:val="00773A54"/>
    <w:rsid w:val="007740EE"/>
    <w:rsid w:val="007743B4"/>
    <w:rsid w:val="007753E2"/>
    <w:rsid w:val="0077548D"/>
    <w:rsid w:val="00775600"/>
    <w:rsid w:val="007758FD"/>
    <w:rsid w:val="00775CA3"/>
    <w:rsid w:val="00775FCC"/>
    <w:rsid w:val="007765B3"/>
    <w:rsid w:val="00776A2D"/>
    <w:rsid w:val="00776D6B"/>
    <w:rsid w:val="007810EB"/>
    <w:rsid w:val="007812FD"/>
    <w:rsid w:val="00781EE5"/>
    <w:rsid w:val="0078278A"/>
    <w:rsid w:val="00782DCD"/>
    <w:rsid w:val="00783090"/>
    <w:rsid w:val="00783166"/>
    <w:rsid w:val="00784B37"/>
    <w:rsid w:val="00786D92"/>
    <w:rsid w:val="00790250"/>
    <w:rsid w:val="00790406"/>
    <w:rsid w:val="00790ED4"/>
    <w:rsid w:val="0079140E"/>
    <w:rsid w:val="00791778"/>
    <w:rsid w:val="007921C6"/>
    <w:rsid w:val="007928FC"/>
    <w:rsid w:val="00793FB5"/>
    <w:rsid w:val="007943B3"/>
    <w:rsid w:val="00794948"/>
    <w:rsid w:val="007950DC"/>
    <w:rsid w:val="0079590C"/>
    <w:rsid w:val="00796ABB"/>
    <w:rsid w:val="00796BC1"/>
    <w:rsid w:val="00796F7B"/>
    <w:rsid w:val="007A0003"/>
    <w:rsid w:val="007A0B3A"/>
    <w:rsid w:val="007A0C11"/>
    <w:rsid w:val="007A0EEA"/>
    <w:rsid w:val="007A1B09"/>
    <w:rsid w:val="007A254F"/>
    <w:rsid w:val="007A58A6"/>
    <w:rsid w:val="007A738B"/>
    <w:rsid w:val="007A7686"/>
    <w:rsid w:val="007B00E9"/>
    <w:rsid w:val="007B0417"/>
    <w:rsid w:val="007B0ACC"/>
    <w:rsid w:val="007B0CB0"/>
    <w:rsid w:val="007B1564"/>
    <w:rsid w:val="007B1B9C"/>
    <w:rsid w:val="007B296C"/>
    <w:rsid w:val="007B2CB3"/>
    <w:rsid w:val="007B350B"/>
    <w:rsid w:val="007B488E"/>
    <w:rsid w:val="007B4BBF"/>
    <w:rsid w:val="007B5914"/>
    <w:rsid w:val="007B5D77"/>
    <w:rsid w:val="007B60F1"/>
    <w:rsid w:val="007B65FE"/>
    <w:rsid w:val="007B68ED"/>
    <w:rsid w:val="007B75AF"/>
    <w:rsid w:val="007C1739"/>
    <w:rsid w:val="007C1869"/>
    <w:rsid w:val="007C1C64"/>
    <w:rsid w:val="007C3A88"/>
    <w:rsid w:val="007C42BD"/>
    <w:rsid w:val="007C5F8A"/>
    <w:rsid w:val="007C6146"/>
    <w:rsid w:val="007C6ED7"/>
    <w:rsid w:val="007D0151"/>
    <w:rsid w:val="007D0736"/>
    <w:rsid w:val="007D07C2"/>
    <w:rsid w:val="007D0C97"/>
    <w:rsid w:val="007D0D1B"/>
    <w:rsid w:val="007D1934"/>
    <w:rsid w:val="007D1EEF"/>
    <w:rsid w:val="007D1FE1"/>
    <w:rsid w:val="007D2804"/>
    <w:rsid w:val="007D2AD8"/>
    <w:rsid w:val="007D312C"/>
    <w:rsid w:val="007D3373"/>
    <w:rsid w:val="007D3ACD"/>
    <w:rsid w:val="007D3F4B"/>
    <w:rsid w:val="007D467C"/>
    <w:rsid w:val="007D4738"/>
    <w:rsid w:val="007D5948"/>
    <w:rsid w:val="007D63CC"/>
    <w:rsid w:val="007E1D3F"/>
    <w:rsid w:val="007E2463"/>
    <w:rsid w:val="007E30FB"/>
    <w:rsid w:val="007E3160"/>
    <w:rsid w:val="007E31C9"/>
    <w:rsid w:val="007E37E0"/>
    <w:rsid w:val="007E3922"/>
    <w:rsid w:val="007E3974"/>
    <w:rsid w:val="007E3C4A"/>
    <w:rsid w:val="007E603F"/>
    <w:rsid w:val="007E6301"/>
    <w:rsid w:val="007E673A"/>
    <w:rsid w:val="007E7200"/>
    <w:rsid w:val="007E745E"/>
    <w:rsid w:val="007E755D"/>
    <w:rsid w:val="007E7CA5"/>
    <w:rsid w:val="007F01F9"/>
    <w:rsid w:val="007F1D7C"/>
    <w:rsid w:val="007F1D92"/>
    <w:rsid w:val="007F22A6"/>
    <w:rsid w:val="007F2A43"/>
    <w:rsid w:val="007F451F"/>
    <w:rsid w:val="007F47B8"/>
    <w:rsid w:val="007F47FA"/>
    <w:rsid w:val="007F4CE8"/>
    <w:rsid w:val="007F5E11"/>
    <w:rsid w:val="007F6425"/>
    <w:rsid w:val="007F687C"/>
    <w:rsid w:val="007F7494"/>
    <w:rsid w:val="007F7626"/>
    <w:rsid w:val="007F778E"/>
    <w:rsid w:val="007F7A36"/>
    <w:rsid w:val="00800503"/>
    <w:rsid w:val="00800A05"/>
    <w:rsid w:val="00801248"/>
    <w:rsid w:val="008016FC"/>
    <w:rsid w:val="00802CB9"/>
    <w:rsid w:val="008035F4"/>
    <w:rsid w:val="00803D2A"/>
    <w:rsid w:val="00805BC0"/>
    <w:rsid w:val="00806FF5"/>
    <w:rsid w:val="008072A8"/>
    <w:rsid w:val="0080772E"/>
    <w:rsid w:val="00807AE9"/>
    <w:rsid w:val="008100C7"/>
    <w:rsid w:val="008104EF"/>
    <w:rsid w:val="00810CAD"/>
    <w:rsid w:val="00810DF1"/>
    <w:rsid w:val="00811194"/>
    <w:rsid w:val="0081161F"/>
    <w:rsid w:val="00811EB2"/>
    <w:rsid w:val="00812351"/>
    <w:rsid w:val="0081252D"/>
    <w:rsid w:val="0081268E"/>
    <w:rsid w:val="00812BE9"/>
    <w:rsid w:val="00813410"/>
    <w:rsid w:val="00813DAA"/>
    <w:rsid w:val="008143DB"/>
    <w:rsid w:val="0081447F"/>
    <w:rsid w:val="0081481E"/>
    <w:rsid w:val="00814C55"/>
    <w:rsid w:val="00815110"/>
    <w:rsid w:val="00815777"/>
    <w:rsid w:val="008157CB"/>
    <w:rsid w:val="008204C3"/>
    <w:rsid w:val="008207DC"/>
    <w:rsid w:val="0082134E"/>
    <w:rsid w:val="008249A0"/>
    <w:rsid w:val="00826861"/>
    <w:rsid w:val="008274BD"/>
    <w:rsid w:val="00830514"/>
    <w:rsid w:val="00830E5F"/>
    <w:rsid w:val="00831115"/>
    <w:rsid w:val="00831C73"/>
    <w:rsid w:val="00831D9A"/>
    <w:rsid w:val="00832B8F"/>
    <w:rsid w:val="00833315"/>
    <w:rsid w:val="00834029"/>
    <w:rsid w:val="00834A1D"/>
    <w:rsid w:val="00834CDE"/>
    <w:rsid w:val="00834D5D"/>
    <w:rsid w:val="008353E9"/>
    <w:rsid w:val="00835888"/>
    <w:rsid w:val="00835E7B"/>
    <w:rsid w:val="008363C7"/>
    <w:rsid w:val="008403AC"/>
    <w:rsid w:val="0084097B"/>
    <w:rsid w:val="00840E4C"/>
    <w:rsid w:val="00842ECA"/>
    <w:rsid w:val="00844049"/>
    <w:rsid w:val="0084436B"/>
    <w:rsid w:val="0084483E"/>
    <w:rsid w:val="00844F43"/>
    <w:rsid w:val="0084581E"/>
    <w:rsid w:val="00845BDF"/>
    <w:rsid w:val="00846244"/>
    <w:rsid w:val="008462A2"/>
    <w:rsid w:val="008505CA"/>
    <w:rsid w:val="008506D0"/>
    <w:rsid w:val="00850902"/>
    <w:rsid w:val="0085093F"/>
    <w:rsid w:val="00851A16"/>
    <w:rsid w:val="00851B8F"/>
    <w:rsid w:val="00852095"/>
    <w:rsid w:val="0085225E"/>
    <w:rsid w:val="0085248B"/>
    <w:rsid w:val="00852AF2"/>
    <w:rsid w:val="00852C79"/>
    <w:rsid w:val="00853339"/>
    <w:rsid w:val="00855117"/>
    <w:rsid w:val="008554FA"/>
    <w:rsid w:val="0085603C"/>
    <w:rsid w:val="008567AB"/>
    <w:rsid w:val="00857716"/>
    <w:rsid w:val="00862584"/>
    <w:rsid w:val="00862D49"/>
    <w:rsid w:val="00863126"/>
    <w:rsid w:val="0086337E"/>
    <w:rsid w:val="00863FC4"/>
    <w:rsid w:val="00864AB0"/>
    <w:rsid w:val="008657FB"/>
    <w:rsid w:val="00865C81"/>
    <w:rsid w:val="008660AB"/>
    <w:rsid w:val="008679C4"/>
    <w:rsid w:val="00867F9A"/>
    <w:rsid w:val="00870751"/>
    <w:rsid w:val="00871607"/>
    <w:rsid w:val="00871DC1"/>
    <w:rsid w:val="0087220D"/>
    <w:rsid w:val="00872948"/>
    <w:rsid w:val="00872A9C"/>
    <w:rsid w:val="00872B49"/>
    <w:rsid w:val="00872B70"/>
    <w:rsid w:val="00872C60"/>
    <w:rsid w:val="00872FAF"/>
    <w:rsid w:val="00873124"/>
    <w:rsid w:val="008741AE"/>
    <w:rsid w:val="0087516C"/>
    <w:rsid w:val="008755ED"/>
    <w:rsid w:val="008755F2"/>
    <w:rsid w:val="008759ED"/>
    <w:rsid w:val="00875F05"/>
    <w:rsid w:val="008762B9"/>
    <w:rsid w:val="00876902"/>
    <w:rsid w:val="00876B2B"/>
    <w:rsid w:val="00876B65"/>
    <w:rsid w:val="008774D7"/>
    <w:rsid w:val="0087755C"/>
    <w:rsid w:val="00881529"/>
    <w:rsid w:val="00881EDE"/>
    <w:rsid w:val="00882019"/>
    <w:rsid w:val="0088264A"/>
    <w:rsid w:val="00882EB3"/>
    <w:rsid w:val="00882F11"/>
    <w:rsid w:val="008830AE"/>
    <w:rsid w:val="00883CE4"/>
    <w:rsid w:val="00884C7F"/>
    <w:rsid w:val="008854CE"/>
    <w:rsid w:val="008858E3"/>
    <w:rsid w:val="00885E28"/>
    <w:rsid w:val="0088657B"/>
    <w:rsid w:val="0088673B"/>
    <w:rsid w:val="008868D1"/>
    <w:rsid w:val="0088747E"/>
    <w:rsid w:val="00887AAB"/>
    <w:rsid w:val="008919C8"/>
    <w:rsid w:val="008924AD"/>
    <w:rsid w:val="0089401B"/>
    <w:rsid w:val="008947B6"/>
    <w:rsid w:val="008949C4"/>
    <w:rsid w:val="00894F47"/>
    <w:rsid w:val="0089526C"/>
    <w:rsid w:val="00896F15"/>
    <w:rsid w:val="0089742A"/>
    <w:rsid w:val="008977F4"/>
    <w:rsid w:val="00897871"/>
    <w:rsid w:val="008A0A93"/>
    <w:rsid w:val="008A15A8"/>
    <w:rsid w:val="008A16FD"/>
    <w:rsid w:val="008A1926"/>
    <w:rsid w:val="008A193B"/>
    <w:rsid w:val="008A1E98"/>
    <w:rsid w:val="008A27FF"/>
    <w:rsid w:val="008A2BBF"/>
    <w:rsid w:val="008A2BDA"/>
    <w:rsid w:val="008A2E08"/>
    <w:rsid w:val="008A338D"/>
    <w:rsid w:val="008A3670"/>
    <w:rsid w:val="008A38FF"/>
    <w:rsid w:val="008A4168"/>
    <w:rsid w:val="008A4635"/>
    <w:rsid w:val="008A4CBC"/>
    <w:rsid w:val="008A6465"/>
    <w:rsid w:val="008A72F3"/>
    <w:rsid w:val="008A7CD9"/>
    <w:rsid w:val="008B0C54"/>
    <w:rsid w:val="008B11AB"/>
    <w:rsid w:val="008B1D7F"/>
    <w:rsid w:val="008B1FBE"/>
    <w:rsid w:val="008B201F"/>
    <w:rsid w:val="008B236B"/>
    <w:rsid w:val="008B23F0"/>
    <w:rsid w:val="008B2D08"/>
    <w:rsid w:val="008B2FF1"/>
    <w:rsid w:val="008B3580"/>
    <w:rsid w:val="008B395B"/>
    <w:rsid w:val="008B3A74"/>
    <w:rsid w:val="008B3E37"/>
    <w:rsid w:val="008B4D65"/>
    <w:rsid w:val="008B531A"/>
    <w:rsid w:val="008B534D"/>
    <w:rsid w:val="008B5DAC"/>
    <w:rsid w:val="008B5FC5"/>
    <w:rsid w:val="008B61FC"/>
    <w:rsid w:val="008B74BF"/>
    <w:rsid w:val="008B7D89"/>
    <w:rsid w:val="008C04ED"/>
    <w:rsid w:val="008C1382"/>
    <w:rsid w:val="008C1590"/>
    <w:rsid w:val="008C1BAF"/>
    <w:rsid w:val="008C1E32"/>
    <w:rsid w:val="008C2AB6"/>
    <w:rsid w:val="008C3418"/>
    <w:rsid w:val="008C395F"/>
    <w:rsid w:val="008C39E5"/>
    <w:rsid w:val="008C3ED5"/>
    <w:rsid w:val="008C3FF1"/>
    <w:rsid w:val="008C45D5"/>
    <w:rsid w:val="008C5380"/>
    <w:rsid w:val="008C66C4"/>
    <w:rsid w:val="008C6C2A"/>
    <w:rsid w:val="008C7C68"/>
    <w:rsid w:val="008D1E2B"/>
    <w:rsid w:val="008D225C"/>
    <w:rsid w:val="008D2F5E"/>
    <w:rsid w:val="008D4926"/>
    <w:rsid w:val="008D4C35"/>
    <w:rsid w:val="008D5760"/>
    <w:rsid w:val="008D5A5F"/>
    <w:rsid w:val="008D6C9F"/>
    <w:rsid w:val="008D7C89"/>
    <w:rsid w:val="008E0159"/>
    <w:rsid w:val="008E09DE"/>
    <w:rsid w:val="008E0DFF"/>
    <w:rsid w:val="008E10A4"/>
    <w:rsid w:val="008E115E"/>
    <w:rsid w:val="008E1DBC"/>
    <w:rsid w:val="008E201F"/>
    <w:rsid w:val="008E20F9"/>
    <w:rsid w:val="008E2B53"/>
    <w:rsid w:val="008E33DD"/>
    <w:rsid w:val="008E37DF"/>
    <w:rsid w:val="008E4138"/>
    <w:rsid w:val="008E4B8E"/>
    <w:rsid w:val="008E5278"/>
    <w:rsid w:val="008E52F1"/>
    <w:rsid w:val="008E5ED0"/>
    <w:rsid w:val="008E7B76"/>
    <w:rsid w:val="008F02AD"/>
    <w:rsid w:val="008F02D2"/>
    <w:rsid w:val="008F2310"/>
    <w:rsid w:val="008F3B20"/>
    <w:rsid w:val="008F3E6D"/>
    <w:rsid w:val="008F4DC2"/>
    <w:rsid w:val="008F4F68"/>
    <w:rsid w:val="008F5465"/>
    <w:rsid w:val="008F54B2"/>
    <w:rsid w:val="008F599C"/>
    <w:rsid w:val="008F63F6"/>
    <w:rsid w:val="008F69BF"/>
    <w:rsid w:val="008F6F97"/>
    <w:rsid w:val="008F7985"/>
    <w:rsid w:val="008F7B43"/>
    <w:rsid w:val="00902A7B"/>
    <w:rsid w:val="00902B40"/>
    <w:rsid w:val="00902F13"/>
    <w:rsid w:val="00903A5D"/>
    <w:rsid w:val="00903C54"/>
    <w:rsid w:val="00904C68"/>
    <w:rsid w:val="00904D1D"/>
    <w:rsid w:val="00905276"/>
    <w:rsid w:val="0090527B"/>
    <w:rsid w:val="00905C82"/>
    <w:rsid w:val="009070CF"/>
    <w:rsid w:val="00907109"/>
    <w:rsid w:val="00907D74"/>
    <w:rsid w:val="0091017F"/>
    <w:rsid w:val="00910773"/>
    <w:rsid w:val="00911617"/>
    <w:rsid w:val="0091191C"/>
    <w:rsid w:val="00913C3A"/>
    <w:rsid w:val="009140F3"/>
    <w:rsid w:val="009149A9"/>
    <w:rsid w:val="00914D6F"/>
    <w:rsid w:val="009150B8"/>
    <w:rsid w:val="009157F7"/>
    <w:rsid w:val="00915EFC"/>
    <w:rsid w:val="0091627B"/>
    <w:rsid w:val="009163B6"/>
    <w:rsid w:val="00916D47"/>
    <w:rsid w:val="00917ADC"/>
    <w:rsid w:val="00920DFA"/>
    <w:rsid w:val="009214A0"/>
    <w:rsid w:val="00921B63"/>
    <w:rsid w:val="009226C6"/>
    <w:rsid w:val="00922780"/>
    <w:rsid w:val="009239D0"/>
    <w:rsid w:val="00926379"/>
    <w:rsid w:val="00926806"/>
    <w:rsid w:val="0092686F"/>
    <w:rsid w:val="00926BDD"/>
    <w:rsid w:val="00927EE1"/>
    <w:rsid w:val="009301C8"/>
    <w:rsid w:val="009302C0"/>
    <w:rsid w:val="0093106F"/>
    <w:rsid w:val="00931337"/>
    <w:rsid w:val="009324D1"/>
    <w:rsid w:val="009324F1"/>
    <w:rsid w:val="00932A6C"/>
    <w:rsid w:val="00933D84"/>
    <w:rsid w:val="00933F05"/>
    <w:rsid w:val="00934999"/>
    <w:rsid w:val="009350A1"/>
    <w:rsid w:val="009359B4"/>
    <w:rsid w:val="00936BB5"/>
    <w:rsid w:val="00936D72"/>
    <w:rsid w:val="009378BA"/>
    <w:rsid w:val="009404EB"/>
    <w:rsid w:val="009410A5"/>
    <w:rsid w:val="009424C0"/>
    <w:rsid w:val="00942ADF"/>
    <w:rsid w:val="009434D4"/>
    <w:rsid w:val="009436EC"/>
    <w:rsid w:val="00943ADB"/>
    <w:rsid w:val="00944ACB"/>
    <w:rsid w:val="009458A1"/>
    <w:rsid w:val="00945B94"/>
    <w:rsid w:val="00946ACC"/>
    <w:rsid w:val="00946F80"/>
    <w:rsid w:val="00950A28"/>
    <w:rsid w:val="00950E5C"/>
    <w:rsid w:val="0095201A"/>
    <w:rsid w:val="0095297E"/>
    <w:rsid w:val="00952D65"/>
    <w:rsid w:val="00954E80"/>
    <w:rsid w:val="009553F2"/>
    <w:rsid w:val="0095616D"/>
    <w:rsid w:val="00956854"/>
    <w:rsid w:val="00956E86"/>
    <w:rsid w:val="0096055E"/>
    <w:rsid w:val="009607A8"/>
    <w:rsid w:val="00960E49"/>
    <w:rsid w:val="00960F51"/>
    <w:rsid w:val="009613EA"/>
    <w:rsid w:val="00961EDE"/>
    <w:rsid w:val="009624AD"/>
    <w:rsid w:val="0096373F"/>
    <w:rsid w:val="00964865"/>
    <w:rsid w:val="00964A38"/>
    <w:rsid w:val="0096595A"/>
    <w:rsid w:val="00970247"/>
    <w:rsid w:val="00970E73"/>
    <w:rsid w:val="009710E1"/>
    <w:rsid w:val="009717ED"/>
    <w:rsid w:val="009719EF"/>
    <w:rsid w:val="009735D5"/>
    <w:rsid w:val="009745E1"/>
    <w:rsid w:val="00974E8C"/>
    <w:rsid w:val="009764B8"/>
    <w:rsid w:val="009764BD"/>
    <w:rsid w:val="00976C4E"/>
    <w:rsid w:val="00976E80"/>
    <w:rsid w:val="00976FD7"/>
    <w:rsid w:val="009772BF"/>
    <w:rsid w:val="009778A0"/>
    <w:rsid w:val="00977CF0"/>
    <w:rsid w:val="009804F2"/>
    <w:rsid w:val="0098094D"/>
    <w:rsid w:val="00980D00"/>
    <w:rsid w:val="0098280E"/>
    <w:rsid w:val="00982D8B"/>
    <w:rsid w:val="00983224"/>
    <w:rsid w:val="009838B4"/>
    <w:rsid w:val="00983CA5"/>
    <w:rsid w:val="009845A2"/>
    <w:rsid w:val="0098495B"/>
    <w:rsid w:val="009857D9"/>
    <w:rsid w:val="0098649D"/>
    <w:rsid w:val="00987BE6"/>
    <w:rsid w:val="00990E8B"/>
    <w:rsid w:val="00990EB0"/>
    <w:rsid w:val="00991789"/>
    <w:rsid w:val="0099181F"/>
    <w:rsid w:val="00991DEA"/>
    <w:rsid w:val="00991E77"/>
    <w:rsid w:val="00991F3B"/>
    <w:rsid w:val="00992652"/>
    <w:rsid w:val="00993387"/>
    <w:rsid w:val="00993BBF"/>
    <w:rsid w:val="009943AE"/>
    <w:rsid w:val="00994AB6"/>
    <w:rsid w:val="00994DB8"/>
    <w:rsid w:val="009963F2"/>
    <w:rsid w:val="009966AE"/>
    <w:rsid w:val="00996B99"/>
    <w:rsid w:val="00996D02"/>
    <w:rsid w:val="0099721B"/>
    <w:rsid w:val="009A008E"/>
    <w:rsid w:val="009A0E45"/>
    <w:rsid w:val="009A2756"/>
    <w:rsid w:val="009A2792"/>
    <w:rsid w:val="009A2CDB"/>
    <w:rsid w:val="009A34BD"/>
    <w:rsid w:val="009A4A9F"/>
    <w:rsid w:val="009A4C7A"/>
    <w:rsid w:val="009A5F1E"/>
    <w:rsid w:val="009A6BE5"/>
    <w:rsid w:val="009A6E61"/>
    <w:rsid w:val="009A70CF"/>
    <w:rsid w:val="009B012B"/>
    <w:rsid w:val="009B0E55"/>
    <w:rsid w:val="009B1761"/>
    <w:rsid w:val="009B1CE0"/>
    <w:rsid w:val="009B2E05"/>
    <w:rsid w:val="009B3A18"/>
    <w:rsid w:val="009B41A9"/>
    <w:rsid w:val="009B4420"/>
    <w:rsid w:val="009B5933"/>
    <w:rsid w:val="009B6956"/>
    <w:rsid w:val="009C094C"/>
    <w:rsid w:val="009C0F72"/>
    <w:rsid w:val="009C1A5D"/>
    <w:rsid w:val="009C21F5"/>
    <w:rsid w:val="009C2859"/>
    <w:rsid w:val="009C3223"/>
    <w:rsid w:val="009C3F6E"/>
    <w:rsid w:val="009C7564"/>
    <w:rsid w:val="009D11F4"/>
    <w:rsid w:val="009D1314"/>
    <w:rsid w:val="009D2896"/>
    <w:rsid w:val="009D29A8"/>
    <w:rsid w:val="009D3395"/>
    <w:rsid w:val="009D46F0"/>
    <w:rsid w:val="009D5913"/>
    <w:rsid w:val="009D6458"/>
    <w:rsid w:val="009D6520"/>
    <w:rsid w:val="009D6586"/>
    <w:rsid w:val="009D703B"/>
    <w:rsid w:val="009D71C0"/>
    <w:rsid w:val="009D743F"/>
    <w:rsid w:val="009D77C0"/>
    <w:rsid w:val="009E37A9"/>
    <w:rsid w:val="009E3EE4"/>
    <w:rsid w:val="009E416A"/>
    <w:rsid w:val="009E4988"/>
    <w:rsid w:val="009E4A54"/>
    <w:rsid w:val="009E5804"/>
    <w:rsid w:val="009E5BC2"/>
    <w:rsid w:val="009E6A19"/>
    <w:rsid w:val="009E6A6D"/>
    <w:rsid w:val="009E731A"/>
    <w:rsid w:val="009F05F9"/>
    <w:rsid w:val="009F1F2A"/>
    <w:rsid w:val="009F2437"/>
    <w:rsid w:val="009F268A"/>
    <w:rsid w:val="009F2FCF"/>
    <w:rsid w:val="009F48B2"/>
    <w:rsid w:val="009F4950"/>
    <w:rsid w:val="009F541C"/>
    <w:rsid w:val="009F59B2"/>
    <w:rsid w:val="009F68E8"/>
    <w:rsid w:val="009F6BC8"/>
    <w:rsid w:val="009F7CDD"/>
    <w:rsid w:val="00A00BC1"/>
    <w:rsid w:val="00A025E5"/>
    <w:rsid w:val="00A0271E"/>
    <w:rsid w:val="00A033A4"/>
    <w:rsid w:val="00A03680"/>
    <w:rsid w:val="00A0377B"/>
    <w:rsid w:val="00A03BC6"/>
    <w:rsid w:val="00A04189"/>
    <w:rsid w:val="00A04D60"/>
    <w:rsid w:val="00A056CC"/>
    <w:rsid w:val="00A05AC4"/>
    <w:rsid w:val="00A0601B"/>
    <w:rsid w:val="00A0624E"/>
    <w:rsid w:val="00A079E1"/>
    <w:rsid w:val="00A10163"/>
    <w:rsid w:val="00A105CC"/>
    <w:rsid w:val="00A106AB"/>
    <w:rsid w:val="00A11487"/>
    <w:rsid w:val="00A115D0"/>
    <w:rsid w:val="00A11B94"/>
    <w:rsid w:val="00A11F3B"/>
    <w:rsid w:val="00A12F80"/>
    <w:rsid w:val="00A130CB"/>
    <w:rsid w:val="00A13559"/>
    <w:rsid w:val="00A13B35"/>
    <w:rsid w:val="00A13BB7"/>
    <w:rsid w:val="00A13E07"/>
    <w:rsid w:val="00A141E8"/>
    <w:rsid w:val="00A145D7"/>
    <w:rsid w:val="00A14D21"/>
    <w:rsid w:val="00A16258"/>
    <w:rsid w:val="00A171DB"/>
    <w:rsid w:val="00A17432"/>
    <w:rsid w:val="00A209A9"/>
    <w:rsid w:val="00A2193F"/>
    <w:rsid w:val="00A21A12"/>
    <w:rsid w:val="00A21F23"/>
    <w:rsid w:val="00A2226D"/>
    <w:rsid w:val="00A225B0"/>
    <w:rsid w:val="00A22963"/>
    <w:rsid w:val="00A23A4E"/>
    <w:rsid w:val="00A23C68"/>
    <w:rsid w:val="00A24554"/>
    <w:rsid w:val="00A2457F"/>
    <w:rsid w:val="00A2480F"/>
    <w:rsid w:val="00A24FB0"/>
    <w:rsid w:val="00A25916"/>
    <w:rsid w:val="00A25B5A"/>
    <w:rsid w:val="00A25F2A"/>
    <w:rsid w:val="00A260BC"/>
    <w:rsid w:val="00A26163"/>
    <w:rsid w:val="00A2795B"/>
    <w:rsid w:val="00A30B25"/>
    <w:rsid w:val="00A30E68"/>
    <w:rsid w:val="00A3132F"/>
    <w:rsid w:val="00A32CC0"/>
    <w:rsid w:val="00A339CD"/>
    <w:rsid w:val="00A33B7B"/>
    <w:rsid w:val="00A34375"/>
    <w:rsid w:val="00A35241"/>
    <w:rsid w:val="00A35EC5"/>
    <w:rsid w:val="00A36A85"/>
    <w:rsid w:val="00A36A86"/>
    <w:rsid w:val="00A3704F"/>
    <w:rsid w:val="00A37354"/>
    <w:rsid w:val="00A37FEE"/>
    <w:rsid w:val="00A4022B"/>
    <w:rsid w:val="00A4049F"/>
    <w:rsid w:val="00A41F50"/>
    <w:rsid w:val="00A42476"/>
    <w:rsid w:val="00A429E1"/>
    <w:rsid w:val="00A44083"/>
    <w:rsid w:val="00A44118"/>
    <w:rsid w:val="00A446D6"/>
    <w:rsid w:val="00A45195"/>
    <w:rsid w:val="00A45C9D"/>
    <w:rsid w:val="00A46098"/>
    <w:rsid w:val="00A463C9"/>
    <w:rsid w:val="00A468F9"/>
    <w:rsid w:val="00A46925"/>
    <w:rsid w:val="00A5028F"/>
    <w:rsid w:val="00A503E0"/>
    <w:rsid w:val="00A50CC1"/>
    <w:rsid w:val="00A51164"/>
    <w:rsid w:val="00A5139E"/>
    <w:rsid w:val="00A51988"/>
    <w:rsid w:val="00A530A8"/>
    <w:rsid w:val="00A53269"/>
    <w:rsid w:val="00A53324"/>
    <w:rsid w:val="00A53ED8"/>
    <w:rsid w:val="00A54F69"/>
    <w:rsid w:val="00A55A4A"/>
    <w:rsid w:val="00A55F73"/>
    <w:rsid w:val="00A56A5C"/>
    <w:rsid w:val="00A57294"/>
    <w:rsid w:val="00A57661"/>
    <w:rsid w:val="00A603DA"/>
    <w:rsid w:val="00A616FC"/>
    <w:rsid w:val="00A619DE"/>
    <w:rsid w:val="00A62199"/>
    <w:rsid w:val="00A6224D"/>
    <w:rsid w:val="00A6270B"/>
    <w:rsid w:val="00A63690"/>
    <w:rsid w:val="00A63756"/>
    <w:rsid w:val="00A64E4C"/>
    <w:rsid w:val="00A6517A"/>
    <w:rsid w:val="00A66AFC"/>
    <w:rsid w:val="00A66F68"/>
    <w:rsid w:val="00A672E6"/>
    <w:rsid w:val="00A674C5"/>
    <w:rsid w:val="00A702F4"/>
    <w:rsid w:val="00A70943"/>
    <w:rsid w:val="00A711E1"/>
    <w:rsid w:val="00A714B6"/>
    <w:rsid w:val="00A71FD1"/>
    <w:rsid w:val="00A7244F"/>
    <w:rsid w:val="00A727DA"/>
    <w:rsid w:val="00A73594"/>
    <w:rsid w:val="00A73922"/>
    <w:rsid w:val="00A74BE7"/>
    <w:rsid w:val="00A754D1"/>
    <w:rsid w:val="00A75BA9"/>
    <w:rsid w:val="00A76AEB"/>
    <w:rsid w:val="00A76C26"/>
    <w:rsid w:val="00A76CDE"/>
    <w:rsid w:val="00A776A9"/>
    <w:rsid w:val="00A7795E"/>
    <w:rsid w:val="00A8093A"/>
    <w:rsid w:val="00A80C5F"/>
    <w:rsid w:val="00A81805"/>
    <w:rsid w:val="00A823DA"/>
    <w:rsid w:val="00A8347D"/>
    <w:rsid w:val="00A83CA8"/>
    <w:rsid w:val="00A84E27"/>
    <w:rsid w:val="00A84FCF"/>
    <w:rsid w:val="00A85DB6"/>
    <w:rsid w:val="00A85FB5"/>
    <w:rsid w:val="00A86140"/>
    <w:rsid w:val="00A86223"/>
    <w:rsid w:val="00A87307"/>
    <w:rsid w:val="00A87519"/>
    <w:rsid w:val="00A87811"/>
    <w:rsid w:val="00A905D7"/>
    <w:rsid w:val="00A91998"/>
    <w:rsid w:val="00A919CD"/>
    <w:rsid w:val="00A92E88"/>
    <w:rsid w:val="00A94093"/>
    <w:rsid w:val="00A966E6"/>
    <w:rsid w:val="00A96A7C"/>
    <w:rsid w:val="00A97A6C"/>
    <w:rsid w:val="00AA00A8"/>
    <w:rsid w:val="00AA1069"/>
    <w:rsid w:val="00AA12F2"/>
    <w:rsid w:val="00AA13A6"/>
    <w:rsid w:val="00AA261E"/>
    <w:rsid w:val="00AA27EB"/>
    <w:rsid w:val="00AA3228"/>
    <w:rsid w:val="00AA53E6"/>
    <w:rsid w:val="00AA69BE"/>
    <w:rsid w:val="00AB074C"/>
    <w:rsid w:val="00AB1BB3"/>
    <w:rsid w:val="00AB3000"/>
    <w:rsid w:val="00AB3B7D"/>
    <w:rsid w:val="00AB4713"/>
    <w:rsid w:val="00AB49F5"/>
    <w:rsid w:val="00AB4A92"/>
    <w:rsid w:val="00AB6E71"/>
    <w:rsid w:val="00AB6ED7"/>
    <w:rsid w:val="00AC014E"/>
    <w:rsid w:val="00AC08B1"/>
    <w:rsid w:val="00AC238F"/>
    <w:rsid w:val="00AC2BB3"/>
    <w:rsid w:val="00AC30B8"/>
    <w:rsid w:val="00AC3210"/>
    <w:rsid w:val="00AC432F"/>
    <w:rsid w:val="00AC44EF"/>
    <w:rsid w:val="00AC465A"/>
    <w:rsid w:val="00AC4894"/>
    <w:rsid w:val="00AC5695"/>
    <w:rsid w:val="00AC69B5"/>
    <w:rsid w:val="00AC70B5"/>
    <w:rsid w:val="00AC7F6E"/>
    <w:rsid w:val="00AD0012"/>
    <w:rsid w:val="00AD0487"/>
    <w:rsid w:val="00AD05B6"/>
    <w:rsid w:val="00AD148F"/>
    <w:rsid w:val="00AD2018"/>
    <w:rsid w:val="00AD3220"/>
    <w:rsid w:val="00AD413A"/>
    <w:rsid w:val="00AD523C"/>
    <w:rsid w:val="00AD57E5"/>
    <w:rsid w:val="00AD5B72"/>
    <w:rsid w:val="00AE0E86"/>
    <w:rsid w:val="00AE143D"/>
    <w:rsid w:val="00AE1B42"/>
    <w:rsid w:val="00AE1CC0"/>
    <w:rsid w:val="00AE331F"/>
    <w:rsid w:val="00AE3CA8"/>
    <w:rsid w:val="00AE4B6D"/>
    <w:rsid w:val="00AE4FC6"/>
    <w:rsid w:val="00AE51EF"/>
    <w:rsid w:val="00AE626E"/>
    <w:rsid w:val="00AE6714"/>
    <w:rsid w:val="00AE6760"/>
    <w:rsid w:val="00AE695F"/>
    <w:rsid w:val="00AE6A4A"/>
    <w:rsid w:val="00AE76CF"/>
    <w:rsid w:val="00AE7E8E"/>
    <w:rsid w:val="00AF161D"/>
    <w:rsid w:val="00AF1AAC"/>
    <w:rsid w:val="00AF1FBA"/>
    <w:rsid w:val="00AF222D"/>
    <w:rsid w:val="00AF233D"/>
    <w:rsid w:val="00AF2517"/>
    <w:rsid w:val="00AF2DD4"/>
    <w:rsid w:val="00AF345A"/>
    <w:rsid w:val="00AF3AE5"/>
    <w:rsid w:val="00AF5723"/>
    <w:rsid w:val="00AF614A"/>
    <w:rsid w:val="00AF67D1"/>
    <w:rsid w:val="00AF70E9"/>
    <w:rsid w:val="00AF767D"/>
    <w:rsid w:val="00AF7798"/>
    <w:rsid w:val="00AF7E7E"/>
    <w:rsid w:val="00B009D7"/>
    <w:rsid w:val="00B00A2E"/>
    <w:rsid w:val="00B00A39"/>
    <w:rsid w:val="00B020E6"/>
    <w:rsid w:val="00B0248C"/>
    <w:rsid w:val="00B05260"/>
    <w:rsid w:val="00B05325"/>
    <w:rsid w:val="00B05C49"/>
    <w:rsid w:val="00B05CA1"/>
    <w:rsid w:val="00B06DD1"/>
    <w:rsid w:val="00B06EDB"/>
    <w:rsid w:val="00B0704B"/>
    <w:rsid w:val="00B07DA9"/>
    <w:rsid w:val="00B10D7D"/>
    <w:rsid w:val="00B121B2"/>
    <w:rsid w:val="00B12244"/>
    <w:rsid w:val="00B1285C"/>
    <w:rsid w:val="00B14559"/>
    <w:rsid w:val="00B1504F"/>
    <w:rsid w:val="00B153FA"/>
    <w:rsid w:val="00B15973"/>
    <w:rsid w:val="00B15C9E"/>
    <w:rsid w:val="00B163B1"/>
    <w:rsid w:val="00B163D6"/>
    <w:rsid w:val="00B170F7"/>
    <w:rsid w:val="00B17C40"/>
    <w:rsid w:val="00B20F80"/>
    <w:rsid w:val="00B2120F"/>
    <w:rsid w:val="00B22BF4"/>
    <w:rsid w:val="00B23284"/>
    <w:rsid w:val="00B239B6"/>
    <w:rsid w:val="00B23E29"/>
    <w:rsid w:val="00B25A5B"/>
    <w:rsid w:val="00B25D1C"/>
    <w:rsid w:val="00B25E6B"/>
    <w:rsid w:val="00B26AFF"/>
    <w:rsid w:val="00B27793"/>
    <w:rsid w:val="00B30964"/>
    <w:rsid w:val="00B30EC5"/>
    <w:rsid w:val="00B31051"/>
    <w:rsid w:val="00B32586"/>
    <w:rsid w:val="00B3277B"/>
    <w:rsid w:val="00B34795"/>
    <w:rsid w:val="00B3549F"/>
    <w:rsid w:val="00B363F2"/>
    <w:rsid w:val="00B3681B"/>
    <w:rsid w:val="00B36AB1"/>
    <w:rsid w:val="00B371CA"/>
    <w:rsid w:val="00B3764D"/>
    <w:rsid w:val="00B400FF"/>
    <w:rsid w:val="00B41BFF"/>
    <w:rsid w:val="00B42127"/>
    <w:rsid w:val="00B4259A"/>
    <w:rsid w:val="00B4380E"/>
    <w:rsid w:val="00B4403F"/>
    <w:rsid w:val="00B44453"/>
    <w:rsid w:val="00B45AE3"/>
    <w:rsid w:val="00B45DBC"/>
    <w:rsid w:val="00B46561"/>
    <w:rsid w:val="00B477CF"/>
    <w:rsid w:val="00B504DE"/>
    <w:rsid w:val="00B50A64"/>
    <w:rsid w:val="00B5105E"/>
    <w:rsid w:val="00B511E3"/>
    <w:rsid w:val="00B51B26"/>
    <w:rsid w:val="00B52CCA"/>
    <w:rsid w:val="00B53AE7"/>
    <w:rsid w:val="00B544CA"/>
    <w:rsid w:val="00B54612"/>
    <w:rsid w:val="00B546AA"/>
    <w:rsid w:val="00B560B4"/>
    <w:rsid w:val="00B560DE"/>
    <w:rsid w:val="00B56E69"/>
    <w:rsid w:val="00B57774"/>
    <w:rsid w:val="00B57BD4"/>
    <w:rsid w:val="00B57DC9"/>
    <w:rsid w:val="00B60214"/>
    <w:rsid w:val="00B607C0"/>
    <w:rsid w:val="00B61ED6"/>
    <w:rsid w:val="00B6380F"/>
    <w:rsid w:val="00B639FB"/>
    <w:rsid w:val="00B6557C"/>
    <w:rsid w:val="00B65973"/>
    <w:rsid w:val="00B66060"/>
    <w:rsid w:val="00B66101"/>
    <w:rsid w:val="00B66865"/>
    <w:rsid w:val="00B66C5D"/>
    <w:rsid w:val="00B67A58"/>
    <w:rsid w:val="00B67B21"/>
    <w:rsid w:val="00B67B6C"/>
    <w:rsid w:val="00B700F3"/>
    <w:rsid w:val="00B7105D"/>
    <w:rsid w:val="00B71158"/>
    <w:rsid w:val="00B7141F"/>
    <w:rsid w:val="00B719DD"/>
    <w:rsid w:val="00B73A65"/>
    <w:rsid w:val="00B73BC6"/>
    <w:rsid w:val="00B73DB2"/>
    <w:rsid w:val="00B742B8"/>
    <w:rsid w:val="00B747AC"/>
    <w:rsid w:val="00B76180"/>
    <w:rsid w:val="00B76824"/>
    <w:rsid w:val="00B76CD1"/>
    <w:rsid w:val="00B816F9"/>
    <w:rsid w:val="00B82762"/>
    <w:rsid w:val="00B837A8"/>
    <w:rsid w:val="00B85043"/>
    <w:rsid w:val="00B8505A"/>
    <w:rsid w:val="00B85452"/>
    <w:rsid w:val="00B87464"/>
    <w:rsid w:val="00B87C8D"/>
    <w:rsid w:val="00B9031E"/>
    <w:rsid w:val="00B914E8"/>
    <w:rsid w:val="00B924C6"/>
    <w:rsid w:val="00B92F80"/>
    <w:rsid w:val="00B93AEA"/>
    <w:rsid w:val="00B93C37"/>
    <w:rsid w:val="00B93F60"/>
    <w:rsid w:val="00B95005"/>
    <w:rsid w:val="00B95929"/>
    <w:rsid w:val="00B95B11"/>
    <w:rsid w:val="00B96FB2"/>
    <w:rsid w:val="00B97482"/>
    <w:rsid w:val="00B97661"/>
    <w:rsid w:val="00B97C1E"/>
    <w:rsid w:val="00BA2109"/>
    <w:rsid w:val="00BA25F8"/>
    <w:rsid w:val="00BA2F34"/>
    <w:rsid w:val="00BA3125"/>
    <w:rsid w:val="00BA37C8"/>
    <w:rsid w:val="00BA38B9"/>
    <w:rsid w:val="00BA57F0"/>
    <w:rsid w:val="00BA6339"/>
    <w:rsid w:val="00BA6502"/>
    <w:rsid w:val="00BB106E"/>
    <w:rsid w:val="00BB2206"/>
    <w:rsid w:val="00BB2879"/>
    <w:rsid w:val="00BB3E28"/>
    <w:rsid w:val="00BB606A"/>
    <w:rsid w:val="00BB7132"/>
    <w:rsid w:val="00BC219A"/>
    <w:rsid w:val="00BC2F6B"/>
    <w:rsid w:val="00BC4527"/>
    <w:rsid w:val="00BC6415"/>
    <w:rsid w:val="00BC6A5B"/>
    <w:rsid w:val="00BC726C"/>
    <w:rsid w:val="00BC7468"/>
    <w:rsid w:val="00BC786E"/>
    <w:rsid w:val="00BD1296"/>
    <w:rsid w:val="00BD186B"/>
    <w:rsid w:val="00BD1C57"/>
    <w:rsid w:val="00BD2B68"/>
    <w:rsid w:val="00BD40B3"/>
    <w:rsid w:val="00BD4406"/>
    <w:rsid w:val="00BD4579"/>
    <w:rsid w:val="00BD5112"/>
    <w:rsid w:val="00BD5395"/>
    <w:rsid w:val="00BD5C5B"/>
    <w:rsid w:val="00BD5C75"/>
    <w:rsid w:val="00BD5E56"/>
    <w:rsid w:val="00BD632C"/>
    <w:rsid w:val="00BD6DBA"/>
    <w:rsid w:val="00BD6E0F"/>
    <w:rsid w:val="00BD74EE"/>
    <w:rsid w:val="00BD7642"/>
    <w:rsid w:val="00BD7DAC"/>
    <w:rsid w:val="00BE0313"/>
    <w:rsid w:val="00BE0D86"/>
    <w:rsid w:val="00BE1140"/>
    <w:rsid w:val="00BE1913"/>
    <w:rsid w:val="00BE2155"/>
    <w:rsid w:val="00BE221C"/>
    <w:rsid w:val="00BE3363"/>
    <w:rsid w:val="00BE3BDF"/>
    <w:rsid w:val="00BE542D"/>
    <w:rsid w:val="00BE5B44"/>
    <w:rsid w:val="00BE673D"/>
    <w:rsid w:val="00BE7059"/>
    <w:rsid w:val="00BF000E"/>
    <w:rsid w:val="00BF0F00"/>
    <w:rsid w:val="00BF156C"/>
    <w:rsid w:val="00BF2784"/>
    <w:rsid w:val="00BF39EE"/>
    <w:rsid w:val="00BF3C2F"/>
    <w:rsid w:val="00BF406D"/>
    <w:rsid w:val="00BF419A"/>
    <w:rsid w:val="00BF46AB"/>
    <w:rsid w:val="00BF48F9"/>
    <w:rsid w:val="00BF64D7"/>
    <w:rsid w:val="00BF6763"/>
    <w:rsid w:val="00BF7886"/>
    <w:rsid w:val="00C004FF"/>
    <w:rsid w:val="00C00DCE"/>
    <w:rsid w:val="00C013AE"/>
    <w:rsid w:val="00C01716"/>
    <w:rsid w:val="00C01C0A"/>
    <w:rsid w:val="00C03003"/>
    <w:rsid w:val="00C031A2"/>
    <w:rsid w:val="00C03A92"/>
    <w:rsid w:val="00C046A9"/>
    <w:rsid w:val="00C04E3E"/>
    <w:rsid w:val="00C05987"/>
    <w:rsid w:val="00C112B2"/>
    <w:rsid w:val="00C12DDD"/>
    <w:rsid w:val="00C14F14"/>
    <w:rsid w:val="00C1541A"/>
    <w:rsid w:val="00C15627"/>
    <w:rsid w:val="00C159AF"/>
    <w:rsid w:val="00C15AFF"/>
    <w:rsid w:val="00C17775"/>
    <w:rsid w:val="00C17F9A"/>
    <w:rsid w:val="00C2009D"/>
    <w:rsid w:val="00C20C7D"/>
    <w:rsid w:val="00C21027"/>
    <w:rsid w:val="00C21A97"/>
    <w:rsid w:val="00C21ABB"/>
    <w:rsid w:val="00C228FD"/>
    <w:rsid w:val="00C232D3"/>
    <w:rsid w:val="00C23749"/>
    <w:rsid w:val="00C247AA"/>
    <w:rsid w:val="00C250A4"/>
    <w:rsid w:val="00C25603"/>
    <w:rsid w:val="00C265AE"/>
    <w:rsid w:val="00C26D4F"/>
    <w:rsid w:val="00C26F82"/>
    <w:rsid w:val="00C2783A"/>
    <w:rsid w:val="00C27C9D"/>
    <w:rsid w:val="00C30461"/>
    <w:rsid w:val="00C30510"/>
    <w:rsid w:val="00C3204C"/>
    <w:rsid w:val="00C3211B"/>
    <w:rsid w:val="00C324AB"/>
    <w:rsid w:val="00C33265"/>
    <w:rsid w:val="00C33266"/>
    <w:rsid w:val="00C33818"/>
    <w:rsid w:val="00C338B2"/>
    <w:rsid w:val="00C34AE6"/>
    <w:rsid w:val="00C35B02"/>
    <w:rsid w:val="00C3678B"/>
    <w:rsid w:val="00C367E5"/>
    <w:rsid w:val="00C36B4D"/>
    <w:rsid w:val="00C36BA9"/>
    <w:rsid w:val="00C36F0D"/>
    <w:rsid w:val="00C401C1"/>
    <w:rsid w:val="00C41FB1"/>
    <w:rsid w:val="00C43C53"/>
    <w:rsid w:val="00C44686"/>
    <w:rsid w:val="00C452EA"/>
    <w:rsid w:val="00C45DC9"/>
    <w:rsid w:val="00C466A4"/>
    <w:rsid w:val="00C46EC0"/>
    <w:rsid w:val="00C46FA5"/>
    <w:rsid w:val="00C471B0"/>
    <w:rsid w:val="00C514D1"/>
    <w:rsid w:val="00C514F7"/>
    <w:rsid w:val="00C51823"/>
    <w:rsid w:val="00C51AA9"/>
    <w:rsid w:val="00C5340E"/>
    <w:rsid w:val="00C53D4F"/>
    <w:rsid w:val="00C54805"/>
    <w:rsid w:val="00C54E12"/>
    <w:rsid w:val="00C54F5B"/>
    <w:rsid w:val="00C551AE"/>
    <w:rsid w:val="00C553F0"/>
    <w:rsid w:val="00C5574C"/>
    <w:rsid w:val="00C55C27"/>
    <w:rsid w:val="00C55D5A"/>
    <w:rsid w:val="00C579B9"/>
    <w:rsid w:val="00C6166E"/>
    <w:rsid w:val="00C61E0E"/>
    <w:rsid w:val="00C62EE6"/>
    <w:rsid w:val="00C6335D"/>
    <w:rsid w:val="00C63FB0"/>
    <w:rsid w:val="00C64412"/>
    <w:rsid w:val="00C64961"/>
    <w:rsid w:val="00C64C9C"/>
    <w:rsid w:val="00C652D2"/>
    <w:rsid w:val="00C65609"/>
    <w:rsid w:val="00C65C4F"/>
    <w:rsid w:val="00C65D5C"/>
    <w:rsid w:val="00C660AB"/>
    <w:rsid w:val="00C66B6C"/>
    <w:rsid w:val="00C67096"/>
    <w:rsid w:val="00C7217F"/>
    <w:rsid w:val="00C72442"/>
    <w:rsid w:val="00C724DB"/>
    <w:rsid w:val="00C72732"/>
    <w:rsid w:val="00C73032"/>
    <w:rsid w:val="00C734A6"/>
    <w:rsid w:val="00C74CE2"/>
    <w:rsid w:val="00C750E4"/>
    <w:rsid w:val="00C75DEC"/>
    <w:rsid w:val="00C75E8E"/>
    <w:rsid w:val="00C76F92"/>
    <w:rsid w:val="00C772AA"/>
    <w:rsid w:val="00C804E3"/>
    <w:rsid w:val="00C8065F"/>
    <w:rsid w:val="00C809EA"/>
    <w:rsid w:val="00C80C22"/>
    <w:rsid w:val="00C80F29"/>
    <w:rsid w:val="00C815D9"/>
    <w:rsid w:val="00C82D47"/>
    <w:rsid w:val="00C83B01"/>
    <w:rsid w:val="00C85EF5"/>
    <w:rsid w:val="00C85F52"/>
    <w:rsid w:val="00C85FD2"/>
    <w:rsid w:val="00C87167"/>
    <w:rsid w:val="00C871D8"/>
    <w:rsid w:val="00C8735C"/>
    <w:rsid w:val="00C873CB"/>
    <w:rsid w:val="00C90D82"/>
    <w:rsid w:val="00C90F04"/>
    <w:rsid w:val="00C9186D"/>
    <w:rsid w:val="00C949D3"/>
    <w:rsid w:val="00C94A6E"/>
    <w:rsid w:val="00C9573C"/>
    <w:rsid w:val="00C95864"/>
    <w:rsid w:val="00C95CAB"/>
    <w:rsid w:val="00C965C7"/>
    <w:rsid w:val="00C96B00"/>
    <w:rsid w:val="00C97D27"/>
    <w:rsid w:val="00CA0AD3"/>
    <w:rsid w:val="00CA17C3"/>
    <w:rsid w:val="00CA1901"/>
    <w:rsid w:val="00CA1CD7"/>
    <w:rsid w:val="00CA1DC2"/>
    <w:rsid w:val="00CA2692"/>
    <w:rsid w:val="00CA2D7D"/>
    <w:rsid w:val="00CA380B"/>
    <w:rsid w:val="00CA6ADB"/>
    <w:rsid w:val="00CA6B7A"/>
    <w:rsid w:val="00CA7958"/>
    <w:rsid w:val="00CB00F1"/>
    <w:rsid w:val="00CB1173"/>
    <w:rsid w:val="00CB2938"/>
    <w:rsid w:val="00CB3D50"/>
    <w:rsid w:val="00CB4C00"/>
    <w:rsid w:val="00CB55CF"/>
    <w:rsid w:val="00CB5E51"/>
    <w:rsid w:val="00CB6033"/>
    <w:rsid w:val="00CB6785"/>
    <w:rsid w:val="00CB6791"/>
    <w:rsid w:val="00CB6EA4"/>
    <w:rsid w:val="00CB76B8"/>
    <w:rsid w:val="00CC104D"/>
    <w:rsid w:val="00CC15B2"/>
    <w:rsid w:val="00CC2143"/>
    <w:rsid w:val="00CC24E2"/>
    <w:rsid w:val="00CC2628"/>
    <w:rsid w:val="00CC2642"/>
    <w:rsid w:val="00CC2ACF"/>
    <w:rsid w:val="00CC4088"/>
    <w:rsid w:val="00CC48BE"/>
    <w:rsid w:val="00CC4A15"/>
    <w:rsid w:val="00CC4CE9"/>
    <w:rsid w:val="00CC4E5F"/>
    <w:rsid w:val="00CC59FA"/>
    <w:rsid w:val="00CC5F25"/>
    <w:rsid w:val="00CC6312"/>
    <w:rsid w:val="00CC64D9"/>
    <w:rsid w:val="00CC7D5E"/>
    <w:rsid w:val="00CD03BF"/>
    <w:rsid w:val="00CD07E8"/>
    <w:rsid w:val="00CD1010"/>
    <w:rsid w:val="00CD13C6"/>
    <w:rsid w:val="00CD15B3"/>
    <w:rsid w:val="00CD2293"/>
    <w:rsid w:val="00CD44DF"/>
    <w:rsid w:val="00CD47AC"/>
    <w:rsid w:val="00CD4AD8"/>
    <w:rsid w:val="00CD5A61"/>
    <w:rsid w:val="00CD5D38"/>
    <w:rsid w:val="00CD616A"/>
    <w:rsid w:val="00CD6CAE"/>
    <w:rsid w:val="00CD73A0"/>
    <w:rsid w:val="00CD7BBA"/>
    <w:rsid w:val="00CE19AF"/>
    <w:rsid w:val="00CE490C"/>
    <w:rsid w:val="00CE4996"/>
    <w:rsid w:val="00CE4E1C"/>
    <w:rsid w:val="00CE5236"/>
    <w:rsid w:val="00CE5D94"/>
    <w:rsid w:val="00CE670F"/>
    <w:rsid w:val="00CE6E40"/>
    <w:rsid w:val="00CF1100"/>
    <w:rsid w:val="00CF18F1"/>
    <w:rsid w:val="00CF24F6"/>
    <w:rsid w:val="00CF2864"/>
    <w:rsid w:val="00CF2F8E"/>
    <w:rsid w:val="00CF3260"/>
    <w:rsid w:val="00CF372A"/>
    <w:rsid w:val="00CF37F5"/>
    <w:rsid w:val="00CF4181"/>
    <w:rsid w:val="00CF5217"/>
    <w:rsid w:val="00CF580F"/>
    <w:rsid w:val="00CF5A7D"/>
    <w:rsid w:val="00CF6732"/>
    <w:rsid w:val="00CF6C26"/>
    <w:rsid w:val="00D00688"/>
    <w:rsid w:val="00D01A18"/>
    <w:rsid w:val="00D01E8C"/>
    <w:rsid w:val="00D02E61"/>
    <w:rsid w:val="00D035F1"/>
    <w:rsid w:val="00D03601"/>
    <w:rsid w:val="00D0372E"/>
    <w:rsid w:val="00D04730"/>
    <w:rsid w:val="00D0478A"/>
    <w:rsid w:val="00D047D4"/>
    <w:rsid w:val="00D05C2C"/>
    <w:rsid w:val="00D07D81"/>
    <w:rsid w:val="00D1049C"/>
    <w:rsid w:val="00D108F5"/>
    <w:rsid w:val="00D11BAE"/>
    <w:rsid w:val="00D11C0E"/>
    <w:rsid w:val="00D123CD"/>
    <w:rsid w:val="00D12A9D"/>
    <w:rsid w:val="00D12D50"/>
    <w:rsid w:val="00D13396"/>
    <w:rsid w:val="00D14AE8"/>
    <w:rsid w:val="00D15043"/>
    <w:rsid w:val="00D15220"/>
    <w:rsid w:val="00D157C4"/>
    <w:rsid w:val="00D15E48"/>
    <w:rsid w:val="00D1623B"/>
    <w:rsid w:val="00D1677C"/>
    <w:rsid w:val="00D173D7"/>
    <w:rsid w:val="00D20963"/>
    <w:rsid w:val="00D21449"/>
    <w:rsid w:val="00D2170D"/>
    <w:rsid w:val="00D22D44"/>
    <w:rsid w:val="00D2443B"/>
    <w:rsid w:val="00D259FF"/>
    <w:rsid w:val="00D261BD"/>
    <w:rsid w:val="00D26CC0"/>
    <w:rsid w:val="00D26D9C"/>
    <w:rsid w:val="00D2714E"/>
    <w:rsid w:val="00D27474"/>
    <w:rsid w:val="00D27857"/>
    <w:rsid w:val="00D27A38"/>
    <w:rsid w:val="00D27F86"/>
    <w:rsid w:val="00D30AD6"/>
    <w:rsid w:val="00D31D20"/>
    <w:rsid w:val="00D329BD"/>
    <w:rsid w:val="00D3378F"/>
    <w:rsid w:val="00D340CF"/>
    <w:rsid w:val="00D348F9"/>
    <w:rsid w:val="00D352C6"/>
    <w:rsid w:val="00D35519"/>
    <w:rsid w:val="00D359B3"/>
    <w:rsid w:val="00D36E50"/>
    <w:rsid w:val="00D37D15"/>
    <w:rsid w:val="00D40040"/>
    <w:rsid w:val="00D40287"/>
    <w:rsid w:val="00D40AE8"/>
    <w:rsid w:val="00D40CC5"/>
    <w:rsid w:val="00D40F52"/>
    <w:rsid w:val="00D4219E"/>
    <w:rsid w:val="00D42B2D"/>
    <w:rsid w:val="00D43440"/>
    <w:rsid w:val="00D4398D"/>
    <w:rsid w:val="00D43B5C"/>
    <w:rsid w:val="00D44331"/>
    <w:rsid w:val="00D4464A"/>
    <w:rsid w:val="00D44A48"/>
    <w:rsid w:val="00D44EB6"/>
    <w:rsid w:val="00D45638"/>
    <w:rsid w:val="00D46162"/>
    <w:rsid w:val="00D462D1"/>
    <w:rsid w:val="00D46846"/>
    <w:rsid w:val="00D46942"/>
    <w:rsid w:val="00D47B44"/>
    <w:rsid w:val="00D505B2"/>
    <w:rsid w:val="00D516DE"/>
    <w:rsid w:val="00D517F9"/>
    <w:rsid w:val="00D52411"/>
    <w:rsid w:val="00D52A09"/>
    <w:rsid w:val="00D532E1"/>
    <w:rsid w:val="00D534ED"/>
    <w:rsid w:val="00D53E50"/>
    <w:rsid w:val="00D54DF6"/>
    <w:rsid w:val="00D54F98"/>
    <w:rsid w:val="00D54FD8"/>
    <w:rsid w:val="00D55009"/>
    <w:rsid w:val="00D552EB"/>
    <w:rsid w:val="00D557FF"/>
    <w:rsid w:val="00D56BFF"/>
    <w:rsid w:val="00D56F38"/>
    <w:rsid w:val="00D57BAC"/>
    <w:rsid w:val="00D60F38"/>
    <w:rsid w:val="00D61106"/>
    <w:rsid w:val="00D62449"/>
    <w:rsid w:val="00D6348A"/>
    <w:rsid w:val="00D63A08"/>
    <w:rsid w:val="00D6464A"/>
    <w:rsid w:val="00D648C5"/>
    <w:rsid w:val="00D65DC6"/>
    <w:rsid w:val="00D66049"/>
    <w:rsid w:val="00D66C23"/>
    <w:rsid w:val="00D67060"/>
    <w:rsid w:val="00D677A8"/>
    <w:rsid w:val="00D707B1"/>
    <w:rsid w:val="00D72EF3"/>
    <w:rsid w:val="00D73F61"/>
    <w:rsid w:val="00D753D5"/>
    <w:rsid w:val="00D75AD5"/>
    <w:rsid w:val="00D75D6A"/>
    <w:rsid w:val="00D7634E"/>
    <w:rsid w:val="00D8087D"/>
    <w:rsid w:val="00D80D47"/>
    <w:rsid w:val="00D80D67"/>
    <w:rsid w:val="00D81167"/>
    <w:rsid w:val="00D813D0"/>
    <w:rsid w:val="00D815D7"/>
    <w:rsid w:val="00D819F7"/>
    <w:rsid w:val="00D8206F"/>
    <w:rsid w:val="00D82A05"/>
    <w:rsid w:val="00D83FE3"/>
    <w:rsid w:val="00D84891"/>
    <w:rsid w:val="00D84E0B"/>
    <w:rsid w:val="00D8525E"/>
    <w:rsid w:val="00D85657"/>
    <w:rsid w:val="00D9218C"/>
    <w:rsid w:val="00D93FE5"/>
    <w:rsid w:val="00D94585"/>
    <w:rsid w:val="00D94FDD"/>
    <w:rsid w:val="00D963D1"/>
    <w:rsid w:val="00D9699F"/>
    <w:rsid w:val="00D97863"/>
    <w:rsid w:val="00D97D03"/>
    <w:rsid w:val="00D97D53"/>
    <w:rsid w:val="00DA00CE"/>
    <w:rsid w:val="00DA0154"/>
    <w:rsid w:val="00DA135F"/>
    <w:rsid w:val="00DA25E9"/>
    <w:rsid w:val="00DA2A66"/>
    <w:rsid w:val="00DA3A32"/>
    <w:rsid w:val="00DA3E21"/>
    <w:rsid w:val="00DA448E"/>
    <w:rsid w:val="00DA4573"/>
    <w:rsid w:val="00DA59CF"/>
    <w:rsid w:val="00DA5BB9"/>
    <w:rsid w:val="00DA609E"/>
    <w:rsid w:val="00DA64BE"/>
    <w:rsid w:val="00DA6DA0"/>
    <w:rsid w:val="00DA702B"/>
    <w:rsid w:val="00DA79B2"/>
    <w:rsid w:val="00DA7FA6"/>
    <w:rsid w:val="00DB0645"/>
    <w:rsid w:val="00DB071C"/>
    <w:rsid w:val="00DB0F6F"/>
    <w:rsid w:val="00DB15C1"/>
    <w:rsid w:val="00DB1A96"/>
    <w:rsid w:val="00DB2798"/>
    <w:rsid w:val="00DB2ADD"/>
    <w:rsid w:val="00DB362B"/>
    <w:rsid w:val="00DB39A1"/>
    <w:rsid w:val="00DB4120"/>
    <w:rsid w:val="00DB4498"/>
    <w:rsid w:val="00DB4585"/>
    <w:rsid w:val="00DB4900"/>
    <w:rsid w:val="00DB4DEB"/>
    <w:rsid w:val="00DB51D8"/>
    <w:rsid w:val="00DB524A"/>
    <w:rsid w:val="00DB553B"/>
    <w:rsid w:val="00DB742C"/>
    <w:rsid w:val="00DB788B"/>
    <w:rsid w:val="00DC0298"/>
    <w:rsid w:val="00DC185F"/>
    <w:rsid w:val="00DC18BD"/>
    <w:rsid w:val="00DC253A"/>
    <w:rsid w:val="00DC3FCD"/>
    <w:rsid w:val="00DC5151"/>
    <w:rsid w:val="00DC56D7"/>
    <w:rsid w:val="00DC5CFE"/>
    <w:rsid w:val="00DC6372"/>
    <w:rsid w:val="00DC6809"/>
    <w:rsid w:val="00DC74ED"/>
    <w:rsid w:val="00DC7669"/>
    <w:rsid w:val="00DC7B9F"/>
    <w:rsid w:val="00DD00F7"/>
    <w:rsid w:val="00DD0BE4"/>
    <w:rsid w:val="00DD20BF"/>
    <w:rsid w:val="00DD3D3F"/>
    <w:rsid w:val="00DD3D63"/>
    <w:rsid w:val="00DD3F1B"/>
    <w:rsid w:val="00DD550C"/>
    <w:rsid w:val="00DD56F8"/>
    <w:rsid w:val="00DD6D91"/>
    <w:rsid w:val="00DD71EE"/>
    <w:rsid w:val="00DD73E7"/>
    <w:rsid w:val="00DD76FD"/>
    <w:rsid w:val="00DD7D1B"/>
    <w:rsid w:val="00DE0C22"/>
    <w:rsid w:val="00DE1E23"/>
    <w:rsid w:val="00DE2506"/>
    <w:rsid w:val="00DE339F"/>
    <w:rsid w:val="00DE4043"/>
    <w:rsid w:val="00DE4ADB"/>
    <w:rsid w:val="00DE55EE"/>
    <w:rsid w:val="00DE5A15"/>
    <w:rsid w:val="00DE5DAB"/>
    <w:rsid w:val="00DE643B"/>
    <w:rsid w:val="00DE7ADA"/>
    <w:rsid w:val="00DF0E33"/>
    <w:rsid w:val="00DF10EA"/>
    <w:rsid w:val="00DF1B20"/>
    <w:rsid w:val="00DF205E"/>
    <w:rsid w:val="00DF219F"/>
    <w:rsid w:val="00DF2940"/>
    <w:rsid w:val="00DF3958"/>
    <w:rsid w:val="00DF4588"/>
    <w:rsid w:val="00DF5897"/>
    <w:rsid w:val="00DF6476"/>
    <w:rsid w:val="00DF7177"/>
    <w:rsid w:val="00E01181"/>
    <w:rsid w:val="00E0143A"/>
    <w:rsid w:val="00E01C13"/>
    <w:rsid w:val="00E027CD"/>
    <w:rsid w:val="00E03230"/>
    <w:rsid w:val="00E03505"/>
    <w:rsid w:val="00E042B2"/>
    <w:rsid w:val="00E0646D"/>
    <w:rsid w:val="00E06561"/>
    <w:rsid w:val="00E06D9F"/>
    <w:rsid w:val="00E11038"/>
    <w:rsid w:val="00E1163E"/>
    <w:rsid w:val="00E116D2"/>
    <w:rsid w:val="00E11968"/>
    <w:rsid w:val="00E12B8E"/>
    <w:rsid w:val="00E12C76"/>
    <w:rsid w:val="00E14779"/>
    <w:rsid w:val="00E14844"/>
    <w:rsid w:val="00E14C3E"/>
    <w:rsid w:val="00E15425"/>
    <w:rsid w:val="00E15CF7"/>
    <w:rsid w:val="00E15D3F"/>
    <w:rsid w:val="00E163E2"/>
    <w:rsid w:val="00E16861"/>
    <w:rsid w:val="00E17B84"/>
    <w:rsid w:val="00E201AC"/>
    <w:rsid w:val="00E2037D"/>
    <w:rsid w:val="00E20685"/>
    <w:rsid w:val="00E20F06"/>
    <w:rsid w:val="00E20F27"/>
    <w:rsid w:val="00E211AC"/>
    <w:rsid w:val="00E21D85"/>
    <w:rsid w:val="00E22342"/>
    <w:rsid w:val="00E224A2"/>
    <w:rsid w:val="00E224B5"/>
    <w:rsid w:val="00E22EA0"/>
    <w:rsid w:val="00E24370"/>
    <w:rsid w:val="00E244CB"/>
    <w:rsid w:val="00E24BFD"/>
    <w:rsid w:val="00E24F6E"/>
    <w:rsid w:val="00E253F3"/>
    <w:rsid w:val="00E272E2"/>
    <w:rsid w:val="00E272F4"/>
    <w:rsid w:val="00E27828"/>
    <w:rsid w:val="00E27DCD"/>
    <w:rsid w:val="00E27F6F"/>
    <w:rsid w:val="00E303DC"/>
    <w:rsid w:val="00E30F02"/>
    <w:rsid w:val="00E3161D"/>
    <w:rsid w:val="00E31647"/>
    <w:rsid w:val="00E31A2F"/>
    <w:rsid w:val="00E32766"/>
    <w:rsid w:val="00E32CEB"/>
    <w:rsid w:val="00E332CD"/>
    <w:rsid w:val="00E33D41"/>
    <w:rsid w:val="00E3425E"/>
    <w:rsid w:val="00E36242"/>
    <w:rsid w:val="00E36BAA"/>
    <w:rsid w:val="00E36CC8"/>
    <w:rsid w:val="00E36E9F"/>
    <w:rsid w:val="00E36EDF"/>
    <w:rsid w:val="00E377B5"/>
    <w:rsid w:val="00E403D6"/>
    <w:rsid w:val="00E40508"/>
    <w:rsid w:val="00E40935"/>
    <w:rsid w:val="00E40DAA"/>
    <w:rsid w:val="00E41434"/>
    <w:rsid w:val="00E414CA"/>
    <w:rsid w:val="00E41935"/>
    <w:rsid w:val="00E44014"/>
    <w:rsid w:val="00E4408A"/>
    <w:rsid w:val="00E443C2"/>
    <w:rsid w:val="00E4479D"/>
    <w:rsid w:val="00E447EC"/>
    <w:rsid w:val="00E45CC8"/>
    <w:rsid w:val="00E45D1E"/>
    <w:rsid w:val="00E45DB5"/>
    <w:rsid w:val="00E45E32"/>
    <w:rsid w:val="00E479D1"/>
    <w:rsid w:val="00E50DA1"/>
    <w:rsid w:val="00E50F04"/>
    <w:rsid w:val="00E51E8C"/>
    <w:rsid w:val="00E5259B"/>
    <w:rsid w:val="00E52934"/>
    <w:rsid w:val="00E53A05"/>
    <w:rsid w:val="00E557BB"/>
    <w:rsid w:val="00E55837"/>
    <w:rsid w:val="00E55E20"/>
    <w:rsid w:val="00E5601C"/>
    <w:rsid w:val="00E56BE9"/>
    <w:rsid w:val="00E56C74"/>
    <w:rsid w:val="00E56E93"/>
    <w:rsid w:val="00E602DA"/>
    <w:rsid w:val="00E60A2B"/>
    <w:rsid w:val="00E60EDE"/>
    <w:rsid w:val="00E61CF6"/>
    <w:rsid w:val="00E61E29"/>
    <w:rsid w:val="00E623FF"/>
    <w:rsid w:val="00E627AF"/>
    <w:rsid w:val="00E62A27"/>
    <w:rsid w:val="00E645CC"/>
    <w:rsid w:val="00E66926"/>
    <w:rsid w:val="00E67C85"/>
    <w:rsid w:val="00E67D82"/>
    <w:rsid w:val="00E70D25"/>
    <w:rsid w:val="00E7200A"/>
    <w:rsid w:val="00E72455"/>
    <w:rsid w:val="00E73C95"/>
    <w:rsid w:val="00E747A9"/>
    <w:rsid w:val="00E76818"/>
    <w:rsid w:val="00E7694A"/>
    <w:rsid w:val="00E776AE"/>
    <w:rsid w:val="00E809F8"/>
    <w:rsid w:val="00E80AC4"/>
    <w:rsid w:val="00E81689"/>
    <w:rsid w:val="00E81B0A"/>
    <w:rsid w:val="00E81C24"/>
    <w:rsid w:val="00E82961"/>
    <w:rsid w:val="00E83C63"/>
    <w:rsid w:val="00E84758"/>
    <w:rsid w:val="00E85B3F"/>
    <w:rsid w:val="00E91454"/>
    <w:rsid w:val="00E91CCE"/>
    <w:rsid w:val="00E92875"/>
    <w:rsid w:val="00E92ED4"/>
    <w:rsid w:val="00E9313B"/>
    <w:rsid w:val="00E931FC"/>
    <w:rsid w:val="00E93849"/>
    <w:rsid w:val="00E943FA"/>
    <w:rsid w:val="00E95AD2"/>
    <w:rsid w:val="00E95C9B"/>
    <w:rsid w:val="00E97103"/>
    <w:rsid w:val="00E9717C"/>
    <w:rsid w:val="00E97185"/>
    <w:rsid w:val="00EA0FAC"/>
    <w:rsid w:val="00EA1E8F"/>
    <w:rsid w:val="00EA2E93"/>
    <w:rsid w:val="00EA4221"/>
    <w:rsid w:val="00EA59E9"/>
    <w:rsid w:val="00EA5C73"/>
    <w:rsid w:val="00EA65B0"/>
    <w:rsid w:val="00EA6B88"/>
    <w:rsid w:val="00EA726A"/>
    <w:rsid w:val="00EA77E7"/>
    <w:rsid w:val="00EB029D"/>
    <w:rsid w:val="00EB04A0"/>
    <w:rsid w:val="00EB1148"/>
    <w:rsid w:val="00EB27B2"/>
    <w:rsid w:val="00EB2DDE"/>
    <w:rsid w:val="00EB3168"/>
    <w:rsid w:val="00EB3B51"/>
    <w:rsid w:val="00EB3D89"/>
    <w:rsid w:val="00EB464D"/>
    <w:rsid w:val="00EB4D17"/>
    <w:rsid w:val="00EB4E1D"/>
    <w:rsid w:val="00EB5235"/>
    <w:rsid w:val="00EB525D"/>
    <w:rsid w:val="00EB5CD7"/>
    <w:rsid w:val="00EB7C7B"/>
    <w:rsid w:val="00EC0043"/>
    <w:rsid w:val="00EC122B"/>
    <w:rsid w:val="00EC1633"/>
    <w:rsid w:val="00EC2395"/>
    <w:rsid w:val="00EC2E35"/>
    <w:rsid w:val="00EC344A"/>
    <w:rsid w:val="00EC3CB3"/>
    <w:rsid w:val="00EC3EEF"/>
    <w:rsid w:val="00EC48C0"/>
    <w:rsid w:val="00EC52E8"/>
    <w:rsid w:val="00EC58E0"/>
    <w:rsid w:val="00EC5E23"/>
    <w:rsid w:val="00EC63F2"/>
    <w:rsid w:val="00EC6659"/>
    <w:rsid w:val="00EC7EA3"/>
    <w:rsid w:val="00ED0050"/>
    <w:rsid w:val="00ED021F"/>
    <w:rsid w:val="00ED0841"/>
    <w:rsid w:val="00ED15A8"/>
    <w:rsid w:val="00ED1665"/>
    <w:rsid w:val="00ED1A1B"/>
    <w:rsid w:val="00ED2E66"/>
    <w:rsid w:val="00ED3122"/>
    <w:rsid w:val="00ED3815"/>
    <w:rsid w:val="00ED3B18"/>
    <w:rsid w:val="00ED45F4"/>
    <w:rsid w:val="00ED4A58"/>
    <w:rsid w:val="00ED5042"/>
    <w:rsid w:val="00ED61AA"/>
    <w:rsid w:val="00ED6819"/>
    <w:rsid w:val="00ED71E0"/>
    <w:rsid w:val="00ED7C6B"/>
    <w:rsid w:val="00ED7E8F"/>
    <w:rsid w:val="00ED7EC3"/>
    <w:rsid w:val="00EE009A"/>
    <w:rsid w:val="00EE0B2A"/>
    <w:rsid w:val="00EE0BDA"/>
    <w:rsid w:val="00EE25CF"/>
    <w:rsid w:val="00EE3D2F"/>
    <w:rsid w:val="00EE4164"/>
    <w:rsid w:val="00EE48D1"/>
    <w:rsid w:val="00EE52A6"/>
    <w:rsid w:val="00EE6447"/>
    <w:rsid w:val="00EE70B9"/>
    <w:rsid w:val="00EE767E"/>
    <w:rsid w:val="00EF044D"/>
    <w:rsid w:val="00EF0585"/>
    <w:rsid w:val="00EF0801"/>
    <w:rsid w:val="00EF0BC1"/>
    <w:rsid w:val="00EF0C55"/>
    <w:rsid w:val="00EF0EFC"/>
    <w:rsid w:val="00EF0FFB"/>
    <w:rsid w:val="00EF13F0"/>
    <w:rsid w:val="00EF1C01"/>
    <w:rsid w:val="00EF1CD1"/>
    <w:rsid w:val="00EF30BA"/>
    <w:rsid w:val="00EF3449"/>
    <w:rsid w:val="00EF3AA4"/>
    <w:rsid w:val="00EF488B"/>
    <w:rsid w:val="00EF524A"/>
    <w:rsid w:val="00EF5C27"/>
    <w:rsid w:val="00EF6A56"/>
    <w:rsid w:val="00EF70DD"/>
    <w:rsid w:val="00EF7620"/>
    <w:rsid w:val="00F00176"/>
    <w:rsid w:val="00F005F5"/>
    <w:rsid w:val="00F0204A"/>
    <w:rsid w:val="00F0293E"/>
    <w:rsid w:val="00F0329D"/>
    <w:rsid w:val="00F041F1"/>
    <w:rsid w:val="00F041FE"/>
    <w:rsid w:val="00F04696"/>
    <w:rsid w:val="00F059C6"/>
    <w:rsid w:val="00F06381"/>
    <w:rsid w:val="00F0638A"/>
    <w:rsid w:val="00F0667C"/>
    <w:rsid w:val="00F06864"/>
    <w:rsid w:val="00F06979"/>
    <w:rsid w:val="00F069A3"/>
    <w:rsid w:val="00F07090"/>
    <w:rsid w:val="00F10708"/>
    <w:rsid w:val="00F107A2"/>
    <w:rsid w:val="00F10B4E"/>
    <w:rsid w:val="00F138E6"/>
    <w:rsid w:val="00F13DB5"/>
    <w:rsid w:val="00F13E65"/>
    <w:rsid w:val="00F13F93"/>
    <w:rsid w:val="00F147B5"/>
    <w:rsid w:val="00F15ADD"/>
    <w:rsid w:val="00F15D06"/>
    <w:rsid w:val="00F15D63"/>
    <w:rsid w:val="00F17205"/>
    <w:rsid w:val="00F20169"/>
    <w:rsid w:val="00F2194A"/>
    <w:rsid w:val="00F21D0F"/>
    <w:rsid w:val="00F22677"/>
    <w:rsid w:val="00F232CC"/>
    <w:rsid w:val="00F23C7C"/>
    <w:rsid w:val="00F240C5"/>
    <w:rsid w:val="00F24C19"/>
    <w:rsid w:val="00F251FF"/>
    <w:rsid w:val="00F26039"/>
    <w:rsid w:val="00F266D4"/>
    <w:rsid w:val="00F2677A"/>
    <w:rsid w:val="00F27974"/>
    <w:rsid w:val="00F3017E"/>
    <w:rsid w:val="00F3067D"/>
    <w:rsid w:val="00F30D0E"/>
    <w:rsid w:val="00F31013"/>
    <w:rsid w:val="00F31B27"/>
    <w:rsid w:val="00F3241E"/>
    <w:rsid w:val="00F32540"/>
    <w:rsid w:val="00F34CE1"/>
    <w:rsid w:val="00F34DDF"/>
    <w:rsid w:val="00F353D7"/>
    <w:rsid w:val="00F35504"/>
    <w:rsid w:val="00F37D7F"/>
    <w:rsid w:val="00F403C6"/>
    <w:rsid w:val="00F40C5D"/>
    <w:rsid w:val="00F42500"/>
    <w:rsid w:val="00F42802"/>
    <w:rsid w:val="00F438AB"/>
    <w:rsid w:val="00F4402B"/>
    <w:rsid w:val="00F443EC"/>
    <w:rsid w:val="00F47022"/>
    <w:rsid w:val="00F47956"/>
    <w:rsid w:val="00F5049A"/>
    <w:rsid w:val="00F504FF"/>
    <w:rsid w:val="00F512DF"/>
    <w:rsid w:val="00F51613"/>
    <w:rsid w:val="00F52BAE"/>
    <w:rsid w:val="00F5360C"/>
    <w:rsid w:val="00F5385F"/>
    <w:rsid w:val="00F550AC"/>
    <w:rsid w:val="00F55463"/>
    <w:rsid w:val="00F56A6D"/>
    <w:rsid w:val="00F56C2A"/>
    <w:rsid w:val="00F56E78"/>
    <w:rsid w:val="00F57A8F"/>
    <w:rsid w:val="00F57CB5"/>
    <w:rsid w:val="00F607B8"/>
    <w:rsid w:val="00F60D99"/>
    <w:rsid w:val="00F61923"/>
    <w:rsid w:val="00F63EAC"/>
    <w:rsid w:val="00F6403C"/>
    <w:rsid w:val="00F6427E"/>
    <w:rsid w:val="00F64635"/>
    <w:rsid w:val="00F661B6"/>
    <w:rsid w:val="00F66628"/>
    <w:rsid w:val="00F673E7"/>
    <w:rsid w:val="00F70D64"/>
    <w:rsid w:val="00F71BDE"/>
    <w:rsid w:val="00F721FD"/>
    <w:rsid w:val="00F72D89"/>
    <w:rsid w:val="00F76B3C"/>
    <w:rsid w:val="00F7768C"/>
    <w:rsid w:val="00F77BAD"/>
    <w:rsid w:val="00F808DF"/>
    <w:rsid w:val="00F80F2B"/>
    <w:rsid w:val="00F81444"/>
    <w:rsid w:val="00F8236B"/>
    <w:rsid w:val="00F83E85"/>
    <w:rsid w:val="00F84331"/>
    <w:rsid w:val="00F84C3B"/>
    <w:rsid w:val="00F8522A"/>
    <w:rsid w:val="00F855B3"/>
    <w:rsid w:val="00F85709"/>
    <w:rsid w:val="00F85822"/>
    <w:rsid w:val="00F861CF"/>
    <w:rsid w:val="00F8648D"/>
    <w:rsid w:val="00F86D00"/>
    <w:rsid w:val="00F86F70"/>
    <w:rsid w:val="00F87684"/>
    <w:rsid w:val="00F87BEF"/>
    <w:rsid w:val="00F90D6F"/>
    <w:rsid w:val="00F92572"/>
    <w:rsid w:val="00F92D6F"/>
    <w:rsid w:val="00F92F04"/>
    <w:rsid w:val="00F95899"/>
    <w:rsid w:val="00F95BC9"/>
    <w:rsid w:val="00F961BB"/>
    <w:rsid w:val="00F9639E"/>
    <w:rsid w:val="00F97560"/>
    <w:rsid w:val="00F979F7"/>
    <w:rsid w:val="00F97B38"/>
    <w:rsid w:val="00F97D6F"/>
    <w:rsid w:val="00FA0640"/>
    <w:rsid w:val="00FA18A2"/>
    <w:rsid w:val="00FA1DFA"/>
    <w:rsid w:val="00FA214A"/>
    <w:rsid w:val="00FA2152"/>
    <w:rsid w:val="00FA3957"/>
    <w:rsid w:val="00FA44B7"/>
    <w:rsid w:val="00FA452F"/>
    <w:rsid w:val="00FA476E"/>
    <w:rsid w:val="00FA5D13"/>
    <w:rsid w:val="00FA6217"/>
    <w:rsid w:val="00FA6C51"/>
    <w:rsid w:val="00FA7986"/>
    <w:rsid w:val="00FB046D"/>
    <w:rsid w:val="00FB050E"/>
    <w:rsid w:val="00FB1714"/>
    <w:rsid w:val="00FB1DEC"/>
    <w:rsid w:val="00FB27CB"/>
    <w:rsid w:val="00FB32E2"/>
    <w:rsid w:val="00FB359E"/>
    <w:rsid w:val="00FB36FF"/>
    <w:rsid w:val="00FB3733"/>
    <w:rsid w:val="00FB3CD7"/>
    <w:rsid w:val="00FB46D7"/>
    <w:rsid w:val="00FB49C8"/>
    <w:rsid w:val="00FB557F"/>
    <w:rsid w:val="00FB5C92"/>
    <w:rsid w:val="00FB5CFB"/>
    <w:rsid w:val="00FB6459"/>
    <w:rsid w:val="00FB6CFD"/>
    <w:rsid w:val="00FB7C10"/>
    <w:rsid w:val="00FC00AF"/>
    <w:rsid w:val="00FC041A"/>
    <w:rsid w:val="00FC08A6"/>
    <w:rsid w:val="00FC0A8D"/>
    <w:rsid w:val="00FC12D2"/>
    <w:rsid w:val="00FC185D"/>
    <w:rsid w:val="00FC1B1E"/>
    <w:rsid w:val="00FC2120"/>
    <w:rsid w:val="00FC54C2"/>
    <w:rsid w:val="00FC5FBC"/>
    <w:rsid w:val="00FC6A39"/>
    <w:rsid w:val="00FD0A8A"/>
    <w:rsid w:val="00FD0B21"/>
    <w:rsid w:val="00FD1557"/>
    <w:rsid w:val="00FD2929"/>
    <w:rsid w:val="00FD5227"/>
    <w:rsid w:val="00FD6364"/>
    <w:rsid w:val="00FD70AB"/>
    <w:rsid w:val="00FD74DF"/>
    <w:rsid w:val="00FD7888"/>
    <w:rsid w:val="00FD798F"/>
    <w:rsid w:val="00FD7CA5"/>
    <w:rsid w:val="00FE3AD3"/>
    <w:rsid w:val="00FE442A"/>
    <w:rsid w:val="00FE4542"/>
    <w:rsid w:val="00FE52EE"/>
    <w:rsid w:val="00FE5CA4"/>
    <w:rsid w:val="00FE5DEA"/>
    <w:rsid w:val="00FE7514"/>
    <w:rsid w:val="00FF00B5"/>
    <w:rsid w:val="00FF0848"/>
    <w:rsid w:val="00FF099F"/>
    <w:rsid w:val="00FF22D2"/>
    <w:rsid w:val="00FF3DC1"/>
    <w:rsid w:val="00FF4256"/>
    <w:rsid w:val="00FF4E9C"/>
    <w:rsid w:val="00FF547C"/>
    <w:rsid w:val="00FF609A"/>
    <w:rsid w:val="00FF7260"/>
    <w:rsid w:val="00FF7451"/>
    <w:rsid w:val="00FF77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6491"/>
  <w15:docId w15:val="{FCCE0E6D-9D58-4579-AA24-49B6F8D8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Calibri" w:hAnsi="Georgia" w:cs="Times New Roman"/>
        <w:lang w:val="en-US" w:eastAsia="en-US" w:bidi="ar-SA"/>
      </w:rPr>
    </w:rPrDefault>
    <w:pPrDefault/>
  </w:docDefaults>
  <w:latentStyles w:defLockedState="0" w:defUIPriority="0" w:defSemiHidden="0" w:defUnhideWhenUsed="0" w:defQFormat="0" w:count="376">
    <w:lsdException w:name="Normal" w:uiPriority="4" w:qFormat="1"/>
    <w:lsdException w:name="heading 1" w:uiPriority="9" w:qFormat="1"/>
    <w:lsdException w:name="heading 2" w:semiHidden="1" w:uiPriority="9" w:unhideWhenUsed="1"/>
    <w:lsdException w:name="heading 3" w:semiHidden="1" w:uiPriority="9" w:unhideWhenUsed="1"/>
    <w:lsdException w:name="heading 4" w:uiPriority="9"/>
    <w:lsdException w:name="heading 5" w:semiHidden="1" w:uiPriority="9" w:unhideWhenUsed="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uiPriority="5"/>
    <w:lsdException w:name="List Number" w:uiPriority="5"/>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
    <w:lsdException w:name="Bibliography" w:semiHidden="1" w:uiPriority="8" w:unhideWhenUsed="1"/>
    <w:lsdException w:name="TOC Heading" w:semiHidden="1" w:uiPriority="1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
    <w:qFormat/>
    <w:rsid w:val="00EB3D89"/>
    <w:rPr>
      <w:rFonts w:ascii="Times New Roman" w:eastAsia="Times New Roman" w:hAnsi="Times New Roman"/>
      <w:sz w:val="22"/>
      <w:szCs w:val="22"/>
      <w:lang w:bidi="en-US"/>
    </w:rPr>
  </w:style>
  <w:style w:type="paragraph" w:styleId="Heading1">
    <w:name w:val="heading 1"/>
    <w:basedOn w:val="Normal"/>
    <w:next w:val="BodyText"/>
    <w:link w:val="Heading1Char"/>
    <w:uiPriority w:val="9"/>
    <w:qFormat/>
    <w:rsid w:val="00DD73E7"/>
    <w:pPr>
      <w:numPr>
        <w:numId w:val="56"/>
      </w:numPr>
      <w:contextualSpacing/>
      <w:jc w:val="center"/>
      <w:outlineLvl w:val="0"/>
    </w:pPr>
    <w:rPr>
      <w:b/>
    </w:rPr>
  </w:style>
  <w:style w:type="paragraph" w:styleId="Heading2">
    <w:name w:val="heading 2"/>
    <w:basedOn w:val="Heading1"/>
    <w:next w:val="BodyText"/>
    <w:link w:val="Heading2Char"/>
    <w:uiPriority w:val="9"/>
    <w:rsid w:val="00AB074C"/>
    <w:pPr>
      <w:numPr>
        <w:ilvl w:val="1"/>
      </w:numPr>
      <w:spacing w:before="200"/>
      <w:outlineLvl w:val="1"/>
    </w:pPr>
    <w:rPr>
      <w:i/>
      <w:sz w:val="32"/>
      <w:szCs w:val="26"/>
    </w:rPr>
  </w:style>
  <w:style w:type="paragraph" w:styleId="Heading3">
    <w:name w:val="heading 3"/>
    <w:basedOn w:val="Heading2"/>
    <w:next w:val="BodyText"/>
    <w:link w:val="Heading3Char"/>
    <w:uiPriority w:val="9"/>
    <w:rsid w:val="00AB074C"/>
    <w:pPr>
      <w:numPr>
        <w:ilvl w:val="2"/>
      </w:numPr>
      <w:outlineLvl w:val="2"/>
    </w:pPr>
    <w:rPr>
      <w:i w:val="0"/>
      <w:sz w:val="28"/>
    </w:rPr>
  </w:style>
  <w:style w:type="paragraph" w:styleId="Heading4">
    <w:name w:val="heading 4"/>
    <w:basedOn w:val="Heading3"/>
    <w:next w:val="BodyText"/>
    <w:link w:val="Heading4Char"/>
    <w:uiPriority w:val="9"/>
    <w:rsid w:val="00116413"/>
    <w:pPr>
      <w:numPr>
        <w:ilvl w:val="3"/>
      </w:numPr>
      <w:outlineLvl w:val="3"/>
    </w:pPr>
    <w:rPr>
      <w:iCs/>
      <w:sz w:val="24"/>
    </w:rPr>
  </w:style>
  <w:style w:type="paragraph" w:styleId="Heading5">
    <w:name w:val="heading 5"/>
    <w:basedOn w:val="Heading4"/>
    <w:next w:val="BodyText"/>
    <w:link w:val="Heading5Char"/>
    <w:uiPriority w:val="9"/>
    <w:unhideWhenUsed/>
    <w:rsid w:val="00AB074C"/>
    <w:pPr>
      <w:numPr>
        <w:ilvl w:val="4"/>
      </w:numPr>
      <w:outlineLvl w:val="4"/>
    </w:pPr>
    <w:rPr>
      <w:b w:val="0"/>
      <w:i/>
    </w:rPr>
  </w:style>
  <w:style w:type="paragraph" w:styleId="Heading6">
    <w:name w:val="heading 6"/>
    <w:basedOn w:val="Normal"/>
    <w:next w:val="Normal"/>
    <w:link w:val="Heading6Char"/>
    <w:uiPriority w:val="9"/>
    <w:unhideWhenUsed/>
    <w:rsid w:val="00AB074C"/>
    <w:pPr>
      <w:keepNext/>
      <w:keepLines/>
      <w:numPr>
        <w:ilvl w:val="5"/>
        <w:numId w:val="56"/>
      </w:numPr>
      <w:spacing w:before="200"/>
      <w:outlineLvl w:val="5"/>
    </w:pPr>
    <w:rPr>
      <w:rFonts w:ascii="Tahoma" w:hAnsi="Tahoma"/>
      <w:iCs/>
    </w:rPr>
  </w:style>
  <w:style w:type="paragraph" w:styleId="Heading7">
    <w:name w:val="heading 7"/>
    <w:aliases w:val="Cover Page"/>
    <w:basedOn w:val="Normal"/>
    <w:next w:val="Title"/>
    <w:link w:val="Heading7Char"/>
    <w:uiPriority w:val="99"/>
    <w:rsid w:val="007943B3"/>
    <w:pPr>
      <w:numPr>
        <w:ilvl w:val="6"/>
        <w:numId w:val="56"/>
      </w:numPr>
      <w:outlineLvl w:val="6"/>
    </w:pPr>
    <w:rPr>
      <w:b/>
      <w:sz w:val="40"/>
    </w:rPr>
  </w:style>
  <w:style w:type="paragraph" w:styleId="Heading8">
    <w:name w:val="heading 8"/>
    <w:basedOn w:val="Normal"/>
    <w:next w:val="Normal"/>
    <w:link w:val="Heading8Char"/>
    <w:uiPriority w:val="99"/>
    <w:rsid w:val="00AB074C"/>
    <w:pPr>
      <w:numPr>
        <w:ilvl w:val="7"/>
        <w:numId w:val="56"/>
      </w:numPr>
      <w:spacing w:before="240" w:after="60"/>
      <w:outlineLvl w:val="7"/>
    </w:pPr>
    <w:rPr>
      <w:i/>
      <w:iCs/>
    </w:rPr>
  </w:style>
  <w:style w:type="paragraph" w:styleId="Heading9">
    <w:name w:val="heading 9"/>
    <w:basedOn w:val="Normal"/>
    <w:next w:val="Normal"/>
    <w:link w:val="Heading9Char"/>
    <w:uiPriority w:val="99"/>
    <w:rsid w:val="00AB074C"/>
    <w:pPr>
      <w:numPr>
        <w:ilvl w:val="8"/>
        <w:numId w:val="5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73E7"/>
    <w:rPr>
      <w:rFonts w:ascii="Times New Roman" w:eastAsia="Times New Roman" w:hAnsi="Times New Roman"/>
      <w:b/>
      <w:sz w:val="22"/>
      <w:szCs w:val="22"/>
      <w:lang w:bidi="en-US"/>
    </w:rPr>
  </w:style>
  <w:style w:type="character" w:customStyle="1" w:styleId="Heading2Char">
    <w:name w:val="Heading 2 Char"/>
    <w:link w:val="Heading2"/>
    <w:uiPriority w:val="9"/>
    <w:rsid w:val="00AB074C"/>
    <w:rPr>
      <w:rFonts w:ascii="Tahoma" w:eastAsia="Times New Roman" w:hAnsi="Tahoma" w:cs="Times New Roman"/>
      <w:b/>
      <w:bCs/>
      <w:i/>
      <w:sz w:val="32"/>
      <w:szCs w:val="26"/>
    </w:rPr>
  </w:style>
  <w:style w:type="character" w:customStyle="1" w:styleId="Heading3Char">
    <w:name w:val="Heading 3 Char"/>
    <w:link w:val="Heading3"/>
    <w:uiPriority w:val="9"/>
    <w:rsid w:val="00AB074C"/>
    <w:rPr>
      <w:rFonts w:ascii="Tahoma" w:eastAsia="Times New Roman" w:hAnsi="Tahoma" w:cs="Times New Roman"/>
      <w:b/>
      <w:bCs/>
      <w:sz w:val="28"/>
      <w:szCs w:val="26"/>
    </w:rPr>
  </w:style>
  <w:style w:type="paragraph" w:styleId="Title">
    <w:name w:val="Title"/>
    <w:basedOn w:val="Heading1"/>
    <w:next w:val="Subtitle"/>
    <w:link w:val="TitleChar"/>
    <w:uiPriority w:val="10"/>
    <w:unhideWhenUsed/>
    <w:rsid w:val="00AB074C"/>
    <w:pPr>
      <w:pBdr>
        <w:bottom w:val="single" w:sz="8" w:space="4" w:color="4F81BD"/>
      </w:pBdr>
      <w:spacing w:after="300"/>
    </w:pPr>
    <w:rPr>
      <w:spacing w:val="5"/>
      <w:kern w:val="28"/>
      <w:sz w:val="52"/>
      <w:szCs w:val="52"/>
    </w:rPr>
  </w:style>
  <w:style w:type="character" w:customStyle="1" w:styleId="TitleChar">
    <w:name w:val="Title Char"/>
    <w:link w:val="Title"/>
    <w:uiPriority w:val="10"/>
    <w:rsid w:val="00AB074C"/>
    <w:rPr>
      <w:rFonts w:ascii="Tahoma" w:eastAsia="Times New Roman" w:hAnsi="Tahoma" w:cs="Times New Roman"/>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BA25F8"/>
    <w:pPr>
      <w:spacing w:after="120"/>
      <w:ind w:left="1267" w:hanging="547"/>
    </w:pPr>
    <w:rPr>
      <w:rFonts w:ascii="Times New Roman" w:hAnsi="Times New Roman"/>
      <w:sz w:val="22"/>
      <w:szCs w:val="22"/>
      <w:lang w:bidi="en-US"/>
    </w:rPr>
  </w:style>
  <w:style w:type="character" w:customStyle="1" w:styleId="BodyTextChar">
    <w:name w:val="Body Text Char"/>
    <w:link w:val="BodyText"/>
    <w:rsid w:val="00BA25F8"/>
    <w:rPr>
      <w:rFonts w:ascii="Times New Roman" w:hAnsi="Times New Roman"/>
      <w:sz w:val="22"/>
      <w:szCs w:val="22"/>
      <w:lang w:bidi="en-US"/>
    </w:rPr>
  </w:style>
  <w:style w:type="paragraph" w:styleId="List">
    <w:name w:val="List"/>
    <w:basedOn w:val="BodyText"/>
    <w:uiPriority w:val="5"/>
    <w:rsid w:val="00116413"/>
    <w:pPr>
      <w:ind w:left="360" w:hanging="360"/>
      <w:contextualSpacing/>
    </w:pPr>
  </w:style>
  <w:style w:type="paragraph" w:styleId="ListBullet">
    <w:name w:val="List Bullet"/>
    <w:basedOn w:val="BodyText"/>
    <w:uiPriority w:val="5"/>
    <w:rsid w:val="0075745D"/>
    <w:pPr>
      <w:numPr>
        <w:numId w:val="12"/>
      </w:numPr>
    </w:pPr>
  </w:style>
  <w:style w:type="paragraph" w:styleId="ListContinue">
    <w:name w:val="List Continue"/>
    <w:basedOn w:val="BodyText"/>
    <w:uiPriority w:val="6"/>
    <w:rsid w:val="00116413"/>
    <w:pPr>
      <w:ind w:left="360"/>
      <w:contextualSpacing/>
    </w:pPr>
  </w:style>
  <w:style w:type="paragraph" w:styleId="ListNumber">
    <w:name w:val="List Number"/>
    <w:basedOn w:val="BodyText"/>
    <w:uiPriority w:val="5"/>
    <w:rsid w:val="0075745D"/>
    <w:pPr>
      <w:numPr>
        <w:numId w:val="13"/>
      </w:numPr>
    </w:pPr>
  </w:style>
  <w:style w:type="character" w:styleId="Emphasis">
    <w:name w:val="Emphasis"/>
    <w:uiPriority w:val="2"/>
    <w:rsid w:val="00AB074C"/>
    <w:rPr>
      <w:i/>
      <w:iCs/>
    </w:rPr>
  </w:style>
  <w:style w:type="character" w:styleId="Strong">
    <w:name w:val="Strong"/>
    <w:uiPriority w:val="2"/>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rsid w:val="007F1D92"/>
    <w:pPr>
      <w:ind w:left="965" w:right="720"/>
    </w:pPr>
    <w:rPr>
      <w:iCs/>
      <w:color w:val="000000"/>
    </w:rPr>
  </w:style>
  <w:style w:type="character" w:customStyle="1" w:styleId="QuoteChar">
    <w:name w:val="Quote Char"/>
    <w:link w:val="Quote"/>
    <w:rsid w:val="007F1D92"/>
    <w:rPr>
      <w:rFonts w:ascii="Georgia" w:hAnsi="Georgia" w:cs="Times New Roman"/>
      <w:iCs/>
      <w:color w:val="000000"/>
      <w:sz w:val="24"/>
      <w:szCs w:val="24"/>
    </w:rPr>
  </w:style>
  <w:style w:type="character" w:customStyle="1" w:styleId="Heading4Char">
    <w:name w:val="Heading 4 Char"/>
    <w:link w:val="Heading4"/>
    <w:uiPriority w:val="9"/>
    <w:rsid w:val="00116413"/>
    <w:rPr>
      <w:rFonts w:ascii="Tahoma" w:eastAsia="Times New Roman" w:hAnsi="Tahoma" w:cs="Times New Roman"/>
      <w:b/>
      <w:iCs/>
      <w:sz w:val="24"/>
      <w:szCs w:val="26"/>
    </w:rPr>
  </w:style>
  <w:style w:type="character" w:customStyle="1" w:styleId="Heading5Char">
    <w:name w:val="Heading 5 Char"/>
    <w:link w:val="Heading5"/>
    <w:uiPriority w:val="9"/>
    <w:rsid w:val="00AB074C"/>
    <w:rPr>
      <w:rFonts w:ascii="Tahoma" w:eastAsia="Times New Roman" w:hAnsi="Tahoma" w:cs="Times New Roman"/>
      <w:i/>
      <w:iCs/>
      <w:sz w:val="24"/>
      <w:szCs w:val="26"/>
    </w:rPr>
  </w:style>
  <w:style w:type="character" w:customStyle="1" w:styleId="Heading6Char">
    <w:name w:val="Heading 6 Char"/>
    <w:link w:val="Heading6"/>
    <w:uiPriority w:val="9"/>
    <w:rsid w:val="00AB074C"/>
    <w:rPr>
      <w:rFonts w:ascii="Tahoma" w:eastAsia="Times New Roman" w:hAnsi="Tahoma" w:cs="Times New Roman"/>
      <w:iCs/>
      <w:sz w:val="24"/>
      <w:szCs w:val="24"/>
    </w:rPr>
  </w:style>
  <w:style w:type="paragraph" w:styleId="Subtitle">
    <w:name w:val="Subtitle"/>
    <w:basedOn w:val="Title"/>
    <w:next w:val="BodyText"/>
    <w:link w:val="SubtitleChar"/>
    <w:uiPriority w:val="11"/>
    <w:unhideWhenUsed/>
    <w:rsid w:val="00AB074C"/>
    <w:pPr>
      <w:numPr>
        <w:numId w:val="0"/>
      </w:numPr>
      <w:ind w:left="2189" w:hanging="547"/>
    </w:pPr>
    <w:rPr>
      <w:i/>
      <w:iCs/>
      <w:spacing w:val="15"/>
      <w:sz w:val="48"/>
    </w:rPr>
  </w:style>
  <w:style w:type="character" w:customStyle="1" w:styleId="SubtitleChar">
    <w:name w:val="Subtitle Char"/>
    <w:link w:val="Subtitle"/>
    <w:uiPriority w:val="11"/>
    <w:rsid w:val="00AB074C"/>
    <w:rPr>
      <w:rFonts w:ascii="Times New Roman" w:eastAsia="Times New Roman" w:hAnsi="Times New Roman"/>
      <w:b/>
      <w:i/>
      <w:iCs/>
      <w:spacing w:val="15"/>
      <w:kern w:val="28"/>
      <w:sz w:val="48"/>
      <w:szCs w:val="52"/>
      <w:lang w:bidi="en-US"/>
    </w:rPr>
  </w:style>
  <w:style w:type="paragraph" w:styleId="IntenseQuote">
    <w:name w:val="Intense Quote"/>
    <w:basedOn w:val="Quote"/>
    <w:next w:val="BodyText"/>
    <w:link w:val="IntenseQuoteChar"/>
    <w:uiPriority w:val="30"/>
    <w:rsid w:val="00AB074C"/>
    <w:pPr>
      <w:pBdr>
        <w:bottom w:val="single" w:sz="4" w:space="4" w:color="4F81BD"/>
      </w:pBdr>
      <w:spacing w:before="200" w:after="280"/>
      <w:ind w:left="936" w:right="936"/>
    </w:pPr>
    <w:rPr>
      <w:bCs/>
      <w:i/>
      <w:iCs w:val="0"/>
      <w:color w:val="auto"/>
    </w:rPr>
  </w:style>
  <w:style w:type="character" w:customStyle="1" w:styleId="IntenseQuoteChar">
    <w:name w:val="Intense Quote Char"/>
    <w:link w:val="IntenseQuote"/>
    <w:uiPriority w:val="30"/>
    <w:rsid w:val="00116413"/>
    <w:rPr>
      <w:rFonts w:ascii="Georgia" w:hAnsi="Georgia" w:cs="Times New Roman"/>
      <w:bCs/>
      <w:i/>
      <w:sz w:val="24"/>
      <w:szCs w:val="24"/>
    </w:rPr>
  </w:style>
  <w:style w:type="character" w:styleId="SubtleEmphasis">
    <w:name w:val="Subtle Emphasis"/>
    <w:uiPriority w:val="19"/>
    <w:rsid w:val="00AB074C"/>
    <w:rPr>
      <w:i/>
      <w:iCs/>
      <w:color w:val="4F81BD"/>
    </w:rPr>
  </w:style>
  <w:style w:type="character" w:styleId="IntenseEmphasis">
    <w:name w:val="Intense Emphasis"/>
    <w:uiPriority w:val="21"/>
    <w:rsid w:val="00AB074C"/>
    <w:rPr>
      <w:b/>
      <w:bCs/>
      <w:i/>
      <w:iCs/>
      <w:color w:val="4F81BD"/>
    </w:rPr>
  </w:style>
  <w:style w:type="character" w:styleId="SubtleReference">
    <w:name w:val="Subtle Reference"/>
    <w:uiPriority w:val="31"/>
    <w:rsid w:val="00AB074C"/>
    <w:rPr>
      <w:i/>
      <w:color w:val="C0504D"/>
      <w:u w:val="none"/>
    </w:rPr>
  </w:style>
  <w:style w:type="character" w:styleId="IntenseReference">
    <w:name w:val="Intense Reference"/>
    <w:uiPriority w:val="32"/>
    <w:rsid w:val="00AB074C"/>
    <w:rPr>
      <w:b/>
      <w:bCs/>
      <w:color w:val="C0504D"/>
      <w:spacing w:val="5"/>
      <w:u w:val="none"/>
    </w:rPr>
  </w:style>
  <w:style w:type="paragraph" w:styleId="Caption">
    <w:name w:val="caption"/>
    <w:basedOn w:val="Heading1"/>
    <w:next w:val="BodyText"/>
    <w:uiPriority w:val="8"/>
    <w:rsid w:val="002D4E2D"/>
    <w:pPr>
      <w:spacing w:before="200" w:after="40" w:line="276" w:lineRule="auto"/>
      <w:outlineLvl w:val="9"/>
    </w:pPr>
    <w:rPr>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aliases w:val="Cover Page Char"/>
    <w:link w:val="Heading7"/>
    <w:uiPriority w:val="99"/>
    <w:rsid w:val="007943B3"/>
    <w:rPr>
      <w:rFonts w:cs="Times New Roman"/>
      <w:b/>
      <w:sz w:val="40"/>
    </w:rPr>
  </w:style>
  <w:style w:type="character" w:customStyle="1" w:styleId="Heading8Char">
    <w:name w:val="Heading 8 Char"/>
    <w:link w:val="Heading8"/>
    <w:uiPriority w:val="99"/>
    <w:rsid w:val="00AB074C"/>
    <w:rPr>
      <w:rFonts w:cs="Times New Roman"/>
      <w:i/>
      <w:iCs/>
      <w:sz w:val="24"/>
      <w:szCs w:val="24"/>
    </w:rPr>
  </w:style>
  <w:style w:type="character" w:customStyle="1" w:styleId="Heading9Char">
    <w:name w:val="Heading 9 Char"/>
    <w:link w:val="Heading9"/>
    <w:uiPriority w:val="99"/>
    <w:rsid w:val="00AB074C"/>
    <w:rPr>
      <w:rFonts w:ascii="Arial" w:hAnsi="Arial" w:cs="Arial"/>
      <w:sz w:val="22"/>
      <w:szCs w:val="22"/>
    </w:rPr>
  </w:style>
  <w:style w:type="paragraph" w:styleId="BlockText">
    <w:name w:val="Block Text"/>
    <w:basedOn w:val="BodyText"/>
    <w:rsid w:val="007F1D92"/>
    <w:pPr>
      <w:ind w:left="965"/>
    </w:pPr>
  </w:style>
  <w:style w:type="character" w:customStyle="1" w:styleId="ReferenceTitle">
    <w:name w:val="Reference Title"/>
    <w:unhideWhenUsed/>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rsid w:val="00AB074C"/>
  </w:style>
  <w:style w:type="paragraph" w:styleId="TOC2">
    <w:name w:val="toc 2"/>
    <w:basedOn w:val="Normal"/>
    <w:next w:val="Normal"/>
    <w:autoRedefine/>
    <w:rsid w:val="00AB074C"/>
    <w:pPr>
      <w:ind w:left="240"/>
    </w:pPr>
  </w:style>
  <w:style w:type="paragraph" w:styleId="TOC3">
    <w:name w:val="toc 3"/>
    <w:basedOn w:val="Normal"/>
    <w:next w:val="Normal"/>
    <w:autoRedefine/>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link w:val="FootnoteText"/>
    <w:semiHidden/>
    <w:rsid w:val="00AB074C"/>
    <w:rPr>
      <w:rFonts w:cs="Times New Roman"/>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link w:val="CommentText"/>
    <w:semiHidden/>
    <w:rsid w:val="00AB074C"/>
    <w:rPr>
      <w:rFonts w:ascii="Comic Sans MS" w:hAnsi="Comic Sans MS" w:cs="Times New Roman"/>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link w:val="Header"/>
    <w:semiHidden/>
    <w:rsid w:val="00AB074C"/>
    <w:rPr>
      <w:rFonts w:cs="Times New Roman"/>
      <w:sz w:val="24"/>
      <w:szCs w:val="24"/>
    </w:rPr>
  </w:style>
  <w:style w:type="paragraph" w:styleId="Footer">
    <w:name w:val="footer"/>
    <w:basedOn w:val="Normal"/>
    <w:link w:val="FooterChar"/>
    <w:rsid w:val="00AB074C"/>
    <w:pPr>
      <w:tabs>
        <w:tab w:val="center" w:pos="4320"/>
        <w:tab w:val="right" w:pos="8640"/>
      </w:tabs>
    </w:pPr>
  </w:style>
  <w:style w:type="character" w:customStyle="1" w:styleId="FooterChar">
    <w:name w:val="Footer Char"/>
    <w:link w:val="Footer"/>
    <w:rsid w:val="00AB074C"/>
    <w:rPr>
      <w:rFonts w:cs="Times New Roman"/>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semiHidden/>
    <w:rsid w:val="00AB074C"/>
    <w:rPr>
      <w:vertAlign w:val="superscript"/>
    </w:rPr>
  </w:style>
  <w:style w:type="character" w:styleId="CommentReference">
    <w:name w:val="annotation reference"/>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link w:val="EndnoteText"/>
    <w:semiHidden/>
    <w:rsid w:val="00AB074C"/>
    <w:rPr>
      <w:rFonts w:cs="Times New Roman"/>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ind w:left="1267" w:hanging="547"/>
    </w:pPr>
    <w:rPr>
      <w:rFonts w:ascii="Courier New" w:eastAsia="Times New Roman" w:hAnsi="Courier New" w:cs="Courier New"/>
      <w:sz w:val="22"/>
      <w:szCs w:val="22"/>
      <w:lang w:bidi="en-US"/>
    </w:rPr>
  </w:style>
  <w:style w:type="character" w:customStyle="1" w:styleId="MacroTextChar">
    <w:name w:val="Macro Text Char"/>
    <w:link w:val="MacroText"/>
    <w:semiHidden/>
    <w:rsid w:val="00AB074C"/>
    <w:rPr>
      <w:rFonts w:ascii="Courier New" w:eastAsia="Times New Roman" w:hAnsi="Courier New" w:cs="Courier New"/>
      <w:sz w:val="22"/>
      <w:szCs w:val="22"/>
      <w:lang w:val="en-US" w:eastAsia="en-US" w:bidi="en-US"/>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link w:val="Closing"/>
    <w:semiHidden/>
    <w:rsid w:val="00AB074C"/>
    <w:rPr>
      <w:rFonts w:cs="Times New Roman"/>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link w:val="Signature"/>
    <w:semiHidden/>
    <w:rsid w:val="00AB074C"/>
    <w:rPr>
      <w:rFonts w:cs="Times New Roman"/>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link w:val="BodyTextIndent"/>
    <w:semiHidden/>
    <w:rsid w:val="00AB074C"/>
    <w:rPr>
      <w:rFonts w:cs="Times New Roman"/>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link w:val="Salutation"/>
    <w:semiHidden/>
    <w:rsid w:val="00AB074C"/>
    <w:rPr>
      <w:rFonts w:cs="Times New Roman"/>
      <w:sz w:val="24"/>
      <w:szCs w:val="24"/>
    </w:rPr>
  </w:style>
  <w:style w:type="paragraph" w:styleId="Date">
    <w:name w:val="Date"/>
    <w:basedOn w:val="Normal"/>
    <w:next w:val="Normal"/>
    <w:link w:val="DateChar"/>
    <w:semiHidden/>
    <w:rsid w:val="00AB074C"/>
  </w:style>
  <w:style w:type="character" w:customStyle="1" w:styleId="DateChar">
    <w:name w:val="Date Char"/>
    <w:link w:val="Date"/>
    <w:semiHidden/>
    <w:rsid w:val="00AB074C"/>
    <w:rPr>
      <w:rFonts w:cs="Times New Roman"/>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link w:val="BodyTextFirstIndent"/>
    <w:semiHidden/>
    <w:rsid w:val="00AB074C"/>
    <w:rPr>
      <w:sz w:val="22"/>
      <w:szCs w:val="22"/>
      <w:lang w:val="en-US" w:eastAsia="en-US" w:bidi="en-US"/>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link w:val="BodyTextFirstIndent2"/>
    <w:semiHidden/>
    <w:rsid w:val="00AB074C"/>
    <w:rPr>
      <w:rFonts w:cs="Times New Roman"/>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link w:val="NoteHeading"/>
    <w:semiHidden/>
    <w:rsid w:val="00AB074C"/>
    <w:rPr>
      <w:rFonts w:cs="Times New Roman"/>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link w:val="BodyText2"/>
    <w:semiHidden/>
    <w:rsid w:val="00AB074C"/>
    <w:rPr>
      <w:rFonts w:cs="Times New Roman"/>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link w:val="BodyText3"/>
    <w:semiHidden/>
    <w:rsid w:val="00AB074C"/>
    <w:rPr>
      <w:rFonts w:cs="Times New Roman"/>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link w:val="BodyTextIndent2"/>
    <w:semiHidden/>
    <w:rsid w:val="00AB074C"/>
    <w:rPr>
      <w:rFonts w:cs="Times New Roman"/>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link w:val="BodyTextIndent3"/>
    <w:semiHidden/>
    <w:rsid w:val="00AB074C"/>
    <w:rPr>
      <w:rFonts w:cs="Times New Roman"/>
      <w:sz w:val="16"/>
      <w:szCs w:val="16"/>
    </w:rPr>
  </w:style>
  <w:style w:type="character" w:styleId="Hyperlink">
    <w:name w:val="Hyperlink"/>
    <w:qFormat/>
    <w:rsid w:val="00694CA0"/>
    <w:rPr>
      <w:b/>
      <w:color w:val="0000FF"/>
      <w:u w:val="single"/>
    </w:rPr>
  </w:style>
  <w:style w:type="character" w:styleId="FollowedHyperlink">
    <w:name w:val="FollowedHyperlink"/>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link w:val="E-mailSignature"/>
    <w:semiHidden/>
    <w:rsid w:val="00AB074C"/>
    <w:rPr>
      <w:rFonts w:cs="Times New Roman"/>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link w:val="HTMLAddress"/>
    <w:semiHidden/>
    <w:rsid w:val="00AB074C"/>
    <w:rPr>
      <w:rFonts w:cs="Times New Roman"/>
      <w:i/>
      <w:iCs/>
      <w:sz w:val="24"/>
      <w:szCs w:val="24"/>
    </w:rPr>
  </w:style>
  <w:style w:type="character" w:styleId="HTMLCite">
    <w:name w:val="HTML Cite"/>
    <w:semiHidden/>
    <w:rsid w:val="00AB074C"/>
    <w:rPr>
      <w:i/>
      <w:iCs/>
    </w:rPr>
  </w:style>
  <w:style w:type="character" w:styleId="HTMLCode">
    <w:name w:val="HTML Code"/>
    <w:semiHidden/>
    <w:rsid w:val="00AB074C"/>
    <w:rPr>
      <w:rFonts w:ascii="Courier New" w:hAnsi="Courier New" w:cs="Courier New"/>
      <w:sz w:val="20"/>
      <w:szCs w:val="20"/>
    </w:rPr>
  </w:style>
  <w:style w:type="character" w:styleId="HTMLDefinition">
    <w:name w:val="HTML Definition"/>
    <w:semiHidden/>
    <w:rsid w:val="00AB074C"/>
    <w:rPr>
      <w:i/>
      <w:iCs/>
    </w:rPr>
  </w:style>
  <w:style w:type="character" w:styleId="HTMLKeyboard">
    <w:name w:val="HTML Keyboard"/>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link w:val="HTMLPreformatted"/>
    <w:semiHidden/>
    <w:rsid w:val="00AB074C"/>
    <w:rPr>
      <w:rFonts w:ascii="Courier New" w:hAnsi="Courier New" w:cs="Courier New"/>
    </w:rPr>
  </w:style>
  <w:style w:type="character" w:styleId="HTMLSample">
    <w:name w:val="HTML Sample"/>
    <w:semiHidden/>
    <w:rsid w:val="00AB074C"/>
    <w:rPr>
      <w:rFonts w:ascii="Courier New" w:hAnsi="Courier New" w:cs="Courier New"/>
    </w:rPr>
  </w:style>
  <w:style w:type="character" w:styleId="HTMLTypewriter">
    <w:name w:val="HTML Typewriter"/>
    <w:semiHidden/>
    <w:rsid w:val="00AB074C"/>
    <w:rPr>
      <w:rFonts w:ascii="Courier New" w:hAnsi="Courier New" w:cs="Courier New"/>
      <w:sz w:val="20"/>
      <w:szCs w:val="20"/>
    </w:rPr>
  </w:style>
  <w:style w:type="character" w:styleId="HTMLVariable">
    <w:name w:val="HTML Variable"/>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link w:val="CommentSubject"/>
    <w:semiHidden/>
    <w:rsid w:val="00AB074C"/>
    <w:rPr>
      <w:rFonts w:ascii="Georgia" w:hAnsi="Georgia" w:cs="Times New Roman"/>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cPr>
    </w:tblStylePr>
  </w:style>
  <w:style w:type="paragraph" w:customStyle="1" w:styleId="APDHeading">
    <w:name w:val="APD Heading"/>
    <w:basedOn w:val="Normal"/>
    <w:uiPriority w:val="99"/>
    <w:rsid w:val="00702898"/>
    <w:pPr>
      <w:jc w:val="center"/>
      <w:outlineLvl w:val="0"/>
    </w:pPr>
    <w:rPr>
      <w:b/>
      <w:noProof/>
    </w:rPr>
  </w:style>
  <w:style w:type="paragraph" w:customStyle="1" w:styleId="APDTables">
    <w:name w:val="APD Tables"/>
    <w:basedOn w:val="BodyText"/>
    <w:uiPriority w:val="99"/>
    <w:rsid w:val="006D08C6"/>
    <w:pPr>
      <w:tabs>
        <w:tab w:val="left" w:pos="1440"/>
      </w:tabs>
      <w:spacing w:after="0"/>
      <w:ind w:left="1440" w:hanging="1440"/>
    </w:pPr>
    <w:rPr>
      <w:b/>
    </w:rPr>
  </w:style>
  <w:style w:type="paragraph" w:customStyle="1" w:styleId="APDSubparts">
    <w:name w:val="APD Subparts"/>
    <w:basedOn w:val="BodyText"/>
    <w:uiPriority w:val="99"/>
    <w:rsid w:val="006D08C6"/>
    <w:pPr>
      <w:tabs>
        <w:tab w:val="left" w:pos="1440"/>
      </w:tabs>
      <w:spacing w:after="0"/>
      <w:ind w:left="1440" w:firstLine="0"/>
    </w:pPr>
    <w:rPr>
      <w:b/>
    </w:rPr>
  </w:style>
  <w:style w:type="paragraph" w:customStyle="1" w:styleId="APDStrong">
    <w:name w:val="APD Strong"/>
    <w:basedOn w:val="BodyText"/>
    <w:uiPriority w:val="99"/>
    <w:qFormat/>
    <w:rsid w:val="00A94093"/>
    <w:pPr>
      <w:spacing w:after="0"/>
      <w:ind w:left="0" w:firstLine="0"/>
    </w:pPr>
    <w:rPr>
      <w:b/>
    </w:rPr>
  </w:style>
  <w:style w:type="paragraph" w:customStyle="1" w:styleId="APDStarComplete">
    <w:name w:val="APD Star Complete"/>
    <w:basedOn w:val="BodyText"/>
    <w:uiPriority w:val="99"/>
    <w:qFormat/>
    <w:rsid w:val="00642A8A"/>
    <w:pPr>
      <w:widowControl w:val="0"/>
      <w:tabs>
        <w:tab w:val="left" w:pos="547"/>
      </w:tabs>
      <w:ind w:left="547"/>
    </w:pPr>
    <w:rPr>
      <w:b/>
    </w:rPr>
  </w:style>
  <w:style w:type="paragraph" w:customStyle="1" w:styleId="APDUnitText">
    <w:name w:val="APD Unit Text"/>
    <w:basedOn w:val="BodyText"/>
    <w:uiPriority w:val="99"/>
    <w:rsid w:val="00991DEA"/>
    <w:pPr>
      <w:spacing w:after="0"/>
      <w:ind w:left="0" w:firstLine="0"/>
    </w:pPr>
    <w:rPr>
      <w:b/>
      <w:u w:val="single"/>
    </w:rPr>
  </w:style>
  <w:style w:type="paragraph" w:customStyle="1" w:styleId="APDCodeDescription">
    <w:name w:val="APD Code Description"/>
    <w:basedOn w:val="BodyText"/>
    <w:uiPriority w:val="99"/>
    <w:qFormat/>
    <w:rsid w:val="008762B9"/>
    <w:pPr>
      <w:tabs>
        <w:tab w:val="left" w:pos="720"/>
        <w:tab w:val="left" w:pos="2160"/>
      </w:tabs>
      <w:spacing w:after="0"/>
      <w:ind w:left="2160" w:hanging="1440"/>
    </w:pPr>
    <w:rPr>
      <w:b/>
    </w:rPr>
  </w:style>
  <w:style w:type="paragraph" w:customStyle="1" w:styleId="APDForindentation038">
    <w:name w:val="APD For indentation 0.38"/>
    <w:basedOn w:val="APDStarComplete"/>
    <w:uiPriority w:val="99"/>
    <w:rsid w:val="00D55009"/>
    <w:pPr>
      <w:ind w:firstLine="0"/>
    </w:pPr>
    <w:rPr>
      <w:b w:val="0"/>
    </w:rPr>
  </w:style>
  <w:style w:type="paragraph" w:customStyle="1" w:styleId="APDBulletList038076">
    <w:name w:val="APD Bullet List 0.38 0.76"/>
    <w:basedOn w:val="BodyText"/>
    <w:uiPriority w:val="99"/>
    <w:rsid w:val="00C5574C"/>
    <w:pPr>
      <w:numPr>
        <w:numId w:val="14"/>
      </w:numPr>
      <w:tabs>
        <w:tab w:val="left" w:pos="547"/>
        <w:tab w:val="left" w:pos="1094"/>
      </w:tabs>
      <w:spacing w:after="0"/>
      <w:ind w:left="1094" w:hanging="547"/>
    </w:pPr>
  </w:style>
  <w:style w:type="paragraph" w:customStyle="1" w:styleId="APDFooter">
    <w:name w:val="APD Footer"/>
    <w:basedOn w:val="Footer"/>
    <w:uiPriority w:val="99"/>
    <w:rsid w:val="00755958"/>
    <w:pPr>
      <w:tabs>
        <w:tab w:val="clear" w:pos="4320"/>
        <w:tab w:val="clear" w:pos="8640"/>
        <w:tab w:val="right" w:pos="10800"/>
      </w:tabs>
    </w:pPr>
    <w:rPr>
      <w:b/>
      <w:sz w:val="16"/>
      <w:szCs w:val="16"/>
    </w:rPr>
  </w:style>
  <w:style w:type="paragraph" w:customStyle="1" w:styleId="APDSubheading">
    <w:name w:val="APD Subheading"/>
    <w:basedOn w:val="Header"/>
    <w:autoRedefine/>
    <w:uiPriority w:val="99"/>
    <w:rsid w:val="006B3D87"/>
    <w:pPr>
      <w:tabs>
        <w:tab w:val="clear" w:pos="4320"/>
        <w:tab w:val="clear" w:pos="8640"/>
        <w:tab w:val="right" w:pos="10800"/>
      </w:tabs>
      <w:spacing w:after="120"/>
    </w:pPr>
    <w:rPr>
      <w:b/>
      <w:szCs w:val="24"/>
    </w:rPr>
  </w:style>
  <w:style w:type="paragraph" w:styleId="TOCHeading">
    <w:name w:val="TOC Heading"/>
    <w:basedOn w:val="Heading1"/>
    <w:next w:val="Normal"/>
    <w:uiPriority w:val="14"/>
    <w:unhideWhenUsed/>
    <w:qFormat/>
    <w:rsid w:val="006F00F4"/>
    <w:pPr>
      <w:spacing w:before="480"/>
      <w:jc w:val="left"/>
      <w:outlineLvl w:val="9"/>
    </w:pPr>
    <w:rPr>
      <w:rFonts w:ascii="Cambria" w:hAnsi="Cambria"/>
      <w:bCs/>
      <w:sz w:val="28"/>
      <w:szCs w:val="28"/>
    </w:rPr>
  </w:style>
  <w:style w:type="paragraph" w:customStyle="1" w:styleId="TCEQOP-UA">
    <w:name w:val="TCEQ_OP-UA"/>
    <w:basedOn w:val="Heading1"/>
    <w:next w:val="Normal"/>
    <w:link w:val="TCEQOP-UAChar"/>
    <w:qFormat/>
    <w:rsid w:val="006F00F4"/>
    <w:rPr>
      <w:bCs/>
    </w:rPr>
  </w:style>
  <w:style w:type="character" w:customStyle="1" w:styleId="TCEQOP-UAChar">
    <w:name w:val="TCEQ_OP-UA Char"/>
    <w:link w:val="TCEQOP-UA"/>
    <w:rsid w:val="006F00F4"/>
    <w:rPr>
      <w:rFonts w:eastAsia="Times New Roman" w:cs="Times New Roman"/>
      <w:b/>
      <w:bCs/>
      <w:noProof/>
      <w:sz w:val="24"/>
      <w:szCs w:val="24"/>
    </w:rPr>
  </w:style>
  <w:style w:type="paragraph" w:customStyle="1" w:styleId="OP-UAGenSpec">
    <w:name w:val="OP-UA_Gen_Spec"/>
    <w:basedOn w:val="TCEQOP-UA"/>
    <w:next w:val="Normal"/>
    <w:link w:val="OP-UAGenSpecChar"/>
    <w:qFormat/>
    <w:rsid w:val="006F00F4"/>
    <w:pPr>
      <w:jc w:val="left"/>
    </w:pPr>
    <w:rPr>
      <w:u w:val="single"/>
    </w:rPr>
  </w:style>
  <w:style w:type="character" w:customStyle="1" w:styleId="OP-UAGenSpecChar">
    <w:name w:val="OP-UA_Gen_Spec Char"/>
    <w:link w:val="OP-UAGenSpec"/>
    <w:rsid w:val="006F00F4"/>
    <w:rPr>
      <w:rFonts w:eastAsia="Times New Roman" w:cs="Times New Roman"/>
      <w:b/>
      <w:bCs/>
      <w:noProof/>
      <w:sz w:val="24"/>
      <w:szCs w:val="24"/>
      <w:u w:val="single"/>
    </w:rPr>
  </w:style>
  <w:style w:type="paragraph" w:customStyle="1" w:styleId="TableStyle">
    <w:name w:val="TableStyle"/>
    <w:basedOn w:val="Normal"/>
    <w:next w:val="Normal"/>
    <w:link w:val="TableStyleChar"/>
    <w:uiPriority w:val="1"/>
    <w:qFormat/>
    <w:rsid w:val="006F00F4"/>
    <w:pPr>
      <w:spacing w:before="100" w:beforeAutospacing="1"/>
      <w:outlineLvl w:val="1"/>
    </w:pPr>
    <w:rPr>
      <w:rFonts w:eastAsia="Calibri"/>
      <w:b/>
      <w:szCs w:val="20"/>
    </w:rPr>
  </w:style>
  <w:style w:type="character" w:customStyle="1" w:styleId="TableStyleChar">
    <w:name w:val="TableStyle Char"/>
    <w:link w:val="TableStyle"/>
    <w:uiPriority w:val="1"/>
    <w:rsid w:val="006F00F4"/>
    <w:rPr>
      <w:b/>
    </w:rPr>
  </w:style>
  <w:style w:type="paragraph" w:customStyle="1" w:styleId="Subpart">
    <w:name w:val="Subpart"/>
    <w:basedOn w:val="Normal"/>
    <w:next w:val="Normal"/>
    <w:link w:val="SubpartChar"/>
    <w:uiPriority w:val="1"/>
    <w:qFormat/>
    <w:rsid w:val="006F00F4"/>
    <w:pPr>
      <w:spacing w:after="100" w:afterAutospacing="1"/>
      <w:ind w:left="1440"/>
      <w:outlineLvl w:val="1"/>
    </w:pPr>
    <w:rPr>
      <w:rFonts w:eastAsia="Calibri"/>
      <w:b/>
      <w:szCs w:val="20"/>
    </w:rPr>
  </w:style>
  <w:style w:type="character" w:customStyle="1" w:styleId="SubpartChar">
    <w:name w:val="Subpart Char"/>
    <w:link w:val="Subpart"/>
    <w:uiPriority w:val="1"/>
    <w:rsid w:val="006F00F4"/>
    <w:rPr>
      <w:b/>
    </w:rPr>
  </w:style>
  <w:style w:type="paragraph" w:customStyle="1" w:styleId="StarComplete">
    <w:name w:val="Star_Complete"/>
    <w:basedOn w:val="ListParagraph"/>
    <w:next w:val="Normal"/>
    <w:link w:val="StarCompleteChar"/>
    <w:autoRedefine/>
    <w:uiPriority w:val="2"/>
    <w:qFormat/>
    <w:rsid w:val="00F21D0F"/>
    <w:pPr>
      <w:spacing w:after="0"/>
      <w:ind w:left="0" w:firstLine="0"/>
      <w:contextualSpacing w:val="0"/>
    </w:pPr>
    <w:rPr>
      <w:b/>
      <w:bCs/>
      <w:szCs w:val="20"/>
    </w:rPr>
  </w:style>
  <w:style w:type="character" w:customStyle="1" w:styleId="StarCompleteChar">
    <w:name w:val="Star_Complete Char"/>
    <w:link w:val="StarComplete"/>
    <w:uiPriority w:val="2"/>
    <w:rsid w:val="00F21D0F"/>
    <w:rPr>
      <w:rFonts w:ascii="Times New Roman" w:hAnsi="Times New Roman"/>
      <w:b/>
      <w:bCs/>
      <w:sz w:val="22"/>
      <w:lang w:bidi="en-US"/>
    </w:rPr>
  </w:style>
  <w:style w:type="character" w:customStyle="1" w:styleId="APDQuestion">
    <w:name w:val="APD_Question"/>
    <w:uiPriority w:val="2"/>
    <w:qFormat/>
    <w:rsid w:val="00BA25F8"/>
    <w:rPr>
      <w:rFonts w:ascii="Times New Roman" w:hAnsi="Times New Roman"/>
      <w:b/>
      <w:sz w:val="22"/>
      <w:u w:val="none"/>
    </w:rPr>
  </w:style>
  <w:style w:type="paragraph" w:customStyle="1" w:styleId="For">
    <w:name w:val="For"/>
    <w:basedOn w:val="Normal"/>
    <w:next w:val="Normal"/>
    <w:link w:val="ForChar"/>
    <w:uiPriority w:val="3"/>
    <w:qFormat/>
    <w:rsid w:val="006F00F4"/>
    <w:pPr>
      <w:spacing w:after="120"/>
      <w:ind w:left="720"/>
    </w:pPr>
  </w:style>
  <w:style w:type="character" w:customStyle="1" w:styleId="ForChar">
    <w:name w:val="For Char"/>
    <w:link w:val="For"/>
    <w:uiPriority w:val="3"/>
    <w:rsid w:val="006F00F4"/>
    <w:rPr>
      <w:rFonts w:eastAsia="Times New Roman"/>
      <w:szCs w:val="22"/>
    </w:rPr>
  </w:style>
  <w:style w:type="character" w:customStyle="1" w:styleId="APDCode">
    <w:name w:val="APD_Code"/>
    <w:uiPriority w:val="3"/>
    <w:qFormat/>
    <w:rsid w:val="006F00F4"/>
    <w:rPr>
      <w:rFonts w:ascii="Georgia" w:hAnsi="Georgia"/>
      <w:sz w:val="22"/>
      <w:u w:val="single"/>
    </w:rPr>
  </w:style>
  <w:style w:type="paragraph" w:customStyle="1" w:styleId="TriContinue">
    <w:name w:val="Tri_Continue"/>
    <w:basedOn w:val="ListParagraph"/>
    <w:next w:val="Normal"/>
    <w:link w:val="TriContinueChar"/>
    <w:autoRedefine/>
    <w:uiPriority w:val="2"/>
    <w:qFormat/>
    <w:rsid w:val="004C4365"/>
    <w:pPr>
      <w:tabs>
        <w:tab w:val="left" w:pos="547"/>
        <w:tab w:val="left" w:pos="720"/>
      </w:tabs>
      <w:spacing w:after="0"/>
      <w:ind w:left="720" w:firstLine="0"/>
      <w:contextualSpacing w:val="0"/>
    </w:pPr>
    <w:rPr>
      <w:b/>
      <w:szCs w:val="20"/>
    </w:rPr>
  </w:style>
  <w:style w:type="character" w:customStyle="1" w:styleId="TriContinueChar">
    <w:name w:val="Tri_Continue Char"/>
    <w:link w:val="TriContinue"/>
    <w:uiPriority w:val="2"/>
    <w:rsid w:val="004C4365"/>
    <w:rPr>
      <w:rFonts w:ascii="Times New Roman" w:hAnsi="Times New Roman"/>
      <w:b/>
      <w:sz w:val="22"/>
      <w:lang w:bidi="en-US"/>
    </w:rPr>
  </w:style>
  <w:style w:type="paragraph" w:customStyle="1" w:styleId="Note">
    <w:name w:val="Note"/>
    <w:basedOn w:val="Normal"/>
    <w:next w:val="Normal"/>
    <w:link w:val="NoteChar"/>
    <w:uiPriority w:val="2"/>
    <w:qFormat/>
    <w:rsid w:val="006F00F4"/>
    <w:pPr>
      <w:spacing w:after="120"/>
      <w:outlineLvl w:val="2"/>
    </w:pPr>
    <w:rPr>
      <w:rFonts w:eastAsia="Calibri"/>
      <w:b/>
      <w:i/>
      <w:szCs w:val="20"/>
    </w:rPr>
  </w:style>
  <w:style w:type="character" w:customStyle="1" w:styleId="NoteChar">
    <w:name w:val="Note Char"/>
    <w:link w:val="Note"/>
    <w:uiPriority w:val="2"/>
    <w:rsid w:val="006F00F4"/>
    <w:rPr>
      <w:b/>
      <w:i/>
    </w:rPr>
  </w:style>
  <w:style w:type="paragraph" w:customStyle="1" w:styleId="DotList">
    <w:name w:val="Dot_List"/>
    <w:basedOn w:val="ListParagraph"/>
    <w:next w:val="Normal"/>
    <w:link w:val="DotListChar"/>
    <w:qFormat/>
    <w:rsid w:val="006F00F4"/>
    <w:pPr>
      <w:numPr>
        <w:numId w:val="18"/>
      </w:numPr>
    </w:pPr>
    <w:rPr>
      <w:rFonts w:eastAsia="Times New Roman"/>
    </w:rPr>
  </w:style>
  <w:style w:type="character" w:customStyle="1" w:styleId="DotListChar">
    <w:name w:val="Dot_List Char"/>
    <w:link w:val="DotList"/>
    <w:rsid w:val="006F00F4"/>
    <w:rPr>
      <w:rFonts w:eastAsia="Times New Roman"/>
      <w:szCs w:val="22"/>
    </w:rPr>
  </w:style>
  <w:style w:type="paragraph" w:customStyle="1" w:styleId="APDAlphaList">
    <w:name w:val="APD Alpha_List"/>
    <w:basedOn w:val="ListParagraph"/>
    <w:next w:val="Normal"/>
    <w:link w:val="APDAlphaListChar"/>
    <w:qFormat/>
    <w:rsid w:val="002F5027"/>
    <w:pPr>
      <w:numPr>
        <w:numId w:val="19"/>
      </w:numPr>
      <w:tabs>
        <w:tab w:val="left" w:pos="547"/>
        <w:tab w:val="left" w:pos="1094"/>
      </w:tabs>
      <w:ind w:left="1094" w:hanging="547"/>
    </w:pPr>
    <w:rPr>
      <w:rFonts w:eastAsia="Times New Roman"/>
    </w:rPr>
  </w:style>
  <w:style w:type="character" w:customStyle="1" w:styleId="APDAlphaListChar">
    <w:name w:val="APD Alpha_List Char"/>
    <w:link w:val="APDAlphaList"/>
    <w:rsid w:val="002F5027"/>
    <w:rPr>
      <w:rFonts w:ascii="Times New Roman" w:eastAsia="Times New Roman" w:hAnsi="Times New Roman"/>
      <w:sz w:val="22"/>
      <w:szCs w:val="22"/>
      <w:lang w:bidi="en-US"/>
    </w:rPr>
  </w:style>
  <w:style w:type="paragraph" w:customStyle="1" w:styleId="Indention">
    <w:name w:val="Indention"/>
    <w:basedOn w:val="Normal"/>
    <w:next w:val="Normal"/>
    <w:uiPriority w:val="2"/>
    <w:qFormat/>
    <w:rsid w:val="006F00F4"/>
    <w:pPr>
      <w:ind w:left="720"/>
    </w:pPr>
  </w:style>
  <w:style w:type="paragraph" w:styleId="NoSpacing">
    <w:name w:val="No Spacing"/>
    <w:uiPriority w:val="99"/>
    <w:unhideWhenUsed/>
    <w:rsid w:val="00D05C2C"/>
    <w:rPr>
      <w:rFonts w:eastAsia="Times New Roman"/>
      <w:sz w:val="22"/>
      <w:szCs w:val="22"/>
      <w:lang w:bidi="en-US"/>
    </w:rPr>
  </w:style>
  <w:style w:type="paragraph" w:styleId="Revision">
    <w:name w:val="Revision"/>
    <w:hidden/>
    <w:uiPriority w:val="99"/>
    <w:semiHidden/>
    <w:rsid w:val="005B5AC0"/>
    <w:rPr>
      <w:rFonts w:ascii="Times New Roman" w:eastAsia="Times New Roman" w:hAnsi="Times New Roman"/>
      <w:sz w:val="22"/>
      <w:szCs w:val="22"/>
      <w:lang w:bidi="en-US"/>
    </w:rPr>
  </w:style>
  <w:style w:type="table" w:customStyle="1" w:styleId="TableSimple11">
    <w:name w:val="Table Simple 11"/>
    <w:basedOn w:val="TableNormal"/>
    <w:next w:val="TableSimple1"/>
    <w:semiHidden/>
    <w:rsid w:val="00F861CF"/>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F861CF"/>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F861CF"/>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rsid w:val="00F861CF"/>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F861CF"/>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F861CF"/>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F861CF"/>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F861CF"/>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F861CF"/>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F861CF"/>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F861CF"/>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F861CF"/>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F861CF"/>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F861CF"/>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F861CF"/>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semiHidden/>
    <w:rsid w:val="00F861C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F861CF"/>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F861CF"/>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F861CF"/>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F861CF"/>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F861CF"/>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F861CF"/>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F861CF"/>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F861CF"/>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F861CF"/>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F861CF"/>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F861CF"/>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F861C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F861CF"/>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F861CF"/>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F861CF"/>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rsid w:val="00F861CF"/>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F861CF"/>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F861CF"/>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rsid w:val="00F861CF"/>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F861CF"/>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rsid w:val="00F861C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F861CF"/>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F861CF"/>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semiHidden/>
    <w:rsid w:val="00F861CF"/>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F861CF"/>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F861CF"/>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F861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semiHidden/>
    <w:rsid w:val="00F861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1">
    <w:name w:val="TCEQ Table - Verdana1"/>
    <w:basedOn w:val="TableNormal"/>
    <w:uiPriority w:val="99"/>
    <w:rsid w:val="00F861CF"/>
    <w:pPr>
      <w:spacing w:line="288"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cPr>
    </w:tblStylePr>
  </w:style>
  <w:style w:type="table" w:customStyle="1" w:styleId="TCEQTable-Arial1">
    <w:name w:val="TCEQ Table - Arial1"/>
    <w:basedOn w:val="TCEQTable-Verdana"/>
    <w:uiPriority w:val="99"/>
    <w:rsid w:val="00F861CF"/>
    <w:rPr>
      <w:rFonts w:ascii="Arial" w:hAnsi="Arial"/>
    </w:rPr>
    <w:tblPr/>
    <w:tblStylePr w:type="firstRow">
      <w:pPr>
        <w:wordWrap/>
        <w:jc w:val="center"/>
      </w:pPr>
      <w:rPr>
        <w:b/>
      </w:rPr>
      <w:tblPr/>
      <w:tcPr>
        <w:shd w:val="clear" w:color="auto" w:fill="F2F2F2"/>
      </w:tcPr>
    </w:tblStylePr>
  </w:style>
  <w:style w:type="table" w:customStyle="1" w:styleId="TCEQTable-Calibri1">
    <w:name w:val="TCEQ Table - Calibri1"/>
    <w:basedOn w:val="TCEQTable-Verdana"/>
    <w:uiPriority w:val="99"/>
    <w:rsid w:val="00F861CF"/>
    <w:rPr>
      <w:rFonts w:ascii="Calibri" w:hAnsi="Calibri"/>
      <w:sz w:val="22"/>
    </w:rPr>
    <w:tblPr/>
    <w:tblStylePr w:type="firstRow">
      <w:pPr>
        <w:wordWrap/>
        <w:jc w:val="center"/>
      </w:pPr>
      <w:rPr>
        <w:b/>
        <w:sz w:val="22"/>
      </w:rPr>
      <w:tblPr/>
      <w:trPr>
        <w:tblHeader/>
      </w:trPr>
      <w:tcPr>
        <w:shd w:val="clear" w:color="auto" w:fill="F2F2F2"/>
      </w:tcPr>
    </w:tblStylePr>
  </w:style>
  <w:style w:type="table" w:customStyle="1" w:styleId="TCEQTable-Tahoma1">
    <w:name w:val="TCEQ Table - Tahoma1"/>
    <w:basedOn w:val="TCEQTable-Verdana"/>
    <w:uiPriority w:val="99"/>
    <w:rsid w:val="00F861CF"/>
    <w:rPr>
      <w:rFonts w:ascii="Tahoma" w:hAnsi="Tahoma"/>
    </w:rPr>
    <w:tblPr/>
    <w:tblStylePr w:type="firstRow">
      <w:pPr>
        <w:wordWrap/>
        <w:jc w:val="center"/>
      </w:pPr>
      <w:rPr>
        <w:b/>
      </w:rPr>
      <w:tblPr/>
      <w:tcPr>
        <w:shd w:val="clear" w:color="auto" w:fill="F2F2F2"/>
      </w:tcPr>
    </w:tblStylePr>
  </w:style>
  <w:style w:type="character" w:styleId="UnresolvedMention">
    <w:name w:val="Unresolved Mention"/>
    <w:basedOn w:val="DefaultParagraphFont"/>
    <w:uiPriority w:val="99"/>
    <w:semiHidden/>
    <w:unhideWhenUsed/>
    <w:rsid w:val="008C5380"/>
    <w:rPr>
      <w:color w:val="808080"/>
      <w:shd w:val="clear" w:color="auto" w:fill="E6E6E6"/>
    </w:rPr>
  </w:style>
  <w:style w:type="paragraph" w:customStyle="1" w:styleId="LineBetweenTables">
    <w:name w:val="Line Between Tables"/>
    <w:basedOn w:val="Normal"/>
    <w:uiPriority w:val="99"/>
    <w:rsid w:val="00F07090"/>
    <w:pPr>
      <w:pBdr>
        <w:bottom w:val="double" w:sz="4" w:space="1" w:color="auto"/>
      </w:pBdr>
    </w:pPr>
    <w:rPr>
      <w:rFonts w:eastAsiaTheme="minorHAnsi" w:cstheme="minorBidi"/>
      <w:noProof/>
      <w:color w:val="000000" w:themeColor="text1"/>
      <w:lang w:bidi="ar-SA"/>
    </w:rPr>
  </w:style>
  <w:style w:type="paragraph" w:customStyle="1" w:styleId="APDTableChapter">
    <w:name w:val="APD Table Chapter"/>
    <w:basedOn w:val="APDBodyTextBold"/>
    <w:link w:val="APDTableChapterChar"/>
    <w:autoRedefine/>
    <w:qFormat/>
    <w:rsid w:val="00256939"/>
    <w:pPr>
      <w:tabs>
        <w:tab w:val="left" w:pos="2160"/>
      </w:tabs>
      <w:spacing w:before="120"/>
      <w:ind w:left="2160" w:hanging="2160"/>
    </w:pPr>
    <w:rPr>
      <w:lang w:bidi="ar-SA"/>
    </w:rPr>
  </w:style>
  <w:style w:type="character" w:customStyle="1" w:styleId="APDTableChapterChar">
    <w:name w:val="APD Table Chapter Char"/>
    <w:basedOn w:val="DefaultParagraphFont"/>
    <w:link w:val="APDTableChapter"/>
    <w:rsid w:val="00256939"/>
    <w:rPr>
      <w:rFonts w:ascii="Times New Roman" w:hAnsi="Times New Roman"/>
      <w:b/>
      <w:sz w:val="22"/>
      <w:szCs w:val="22"/>
    </w:rPr>
  </w:style>
  <w:style w:type="paragraph" w:customStyle="1" w:styleId="APDCodeList">
    <w:name w:val="APD Code List"/>
    <w:basedOn w:val="Normal"/>
    <w:qFormat/>
    <w:rsid w:val="0053583F"/>
    <w:pPr>
      <w:tabs>
        <w:tab w:val="left" w:pos="720"/>
        <w:tab w:val="left" w:pos="2160"/>
      </w:tabs>
      <w:ind w:left="2160" w:hanging="1440"/>
    </w:pPr>
    <w:rPr>
      <w:rFonts w:eastAsiaTheme="minorHAnsi"/>
      <w:lang w:bidi="ar-SA"/>
    </w:rPr>
  </w:style>
  <w:style w:type="paragraph" w:customStyle="1" w:styleId="APDTABLE2Headerrow">
    <w:name w:val="APD TABLE 2 Header row"/>
    <w:qFormat/>
    <w:rsid w:val="00C265AE"/>
    <w:pPr>
      <w:jc w:val="center"/>
    </w:pPr>
    <w:rPr>
      <w:rFonts w:asciiTheme="majorHAnsi" w:eastAsiaTheme="minorHAnsi" w:hAnsiTheme="majorHAnsi" w:cstheme="majorHAnsi"/>
      <w:b/>
    </w:rPr>
  </w:style>
  <w:style w:type="paragraph" w:customStyle="1" w:styleId="APDTableLowerForm">
    <w:name w:val="APD Table Lower Form"/>
    <w:basedOn w:val="Normal"/>
    <w:qFormat/>
    <w:rsid w:val="00C265AE"/>
    <w:pPr>
      <w:spacing w:after="120"/>
    </w:pPr>
    <w:rPr>
      <w:rFonts w:asciiTheme="majorHAnsi" w:eastAsiaTheme="minorHAnsi" w:hAnsiTheme="majorHAnsi" w:cstheme="majorHAnsi"/>
      <w:sz w:val="20"/>
      <w:lang w:bidi="ar-SA"/>
    </w:rPr>
  </w:style>
  <w:style w:type="paragraph" w:customStyle="1" w:styleId="APDCompleteStar">
    <w:name w:val="APD Complete Star"/>
    <w:basedOn w:val="BodyText"/>
    <w:link w:val="APDCompleteStarChar"/>
    <w:autoRedefine/>
    <w:qFormat/>
    <w:rsid w:val="00390EE3"/>
    <w:pPr>
      <w:numPr>
        <w:numId w:val="48"/>
      </w:numPr>
      <w:spacing w:before="120"/>
      <w:ind w:left="547" w:hanging="547"/>
    </w:pPr>
    <w:rPr>
      <w:rFonts w:eastAsiaTheme="minorHAnsi"/>
      <w:b/>
    </w:rPr>
  </w:style>
  <w:style w:type="character" w:customStyle="1" w:styleId="APDCompleteStarChar">
    <w:name w:val="APD Complete Star Char"/>
    <w:basedOn w:val="BodyTextChar"/>
    <w:link w:val="APDCompleteStar"/>
    <w:rsid w:val="00390EE3"/>
    <w:rPr>
      <w:rFonts w:ascii="Times New Roman" w:eastAsiaTheme="minorHAnsi" w:hAnsi="Times New Roman"/>
      <w:b/>
      <w:sz w:val="22"/>
      <w:szCs w:val="22"/>
      <w:lang w:bidi="en-US"/>
    </w:rPr>
  </w:style>
  <w:style w:type="paragraph" w:customStyle="1" w:styleId="APDContinueTriangle">
    <w:name w:val="APD Continue Triangle"/>
    <w:basedOn w:val="BodyText"/>
    <w:link w:val="APDContinueTriangleChar"/>
    <w:autoRedefine/>
    <w:qFormat/>
    <w:rsid w:val="00FD7888"/>
    <w:pPr>
      <w:numPr>
        <w:numId w:val="58"/>
      </w:numPr>
      <w:tabs>
        <w:tab w:val="left" w:pos="547"/>
      </w:tabs>
      <w:spacing w:before="120"/>
      <w:ind w:left="547" w:right="720" w:hanging="547"/>
    </w:pPr>
    <w:rPr>
      <w:rFonts w:eastAsiaTheme="minorHAnsi"/>
      <w:b/>
    </w:rPr>
  </w:style>
  <w:style w:type="character" w:customStyle="1" w:styleId="APDContinueTriangleChar">
    <w:name w:val="APD Continue Triangle Char"/>
    <w:basedOn w:val="BodyTextChar"/>
    <w:link w:val="APDContinueTriangle"/>
    <w:rsid w:val="00FD7888"/>
    <w:rPr>
      <w:rFonts w:ascii="Times New Roman" w:eastAsiaTheme="minorHAnsi" w:hAnsi="Times New Roman"/>
      <w:b/>
      <w:sz w:val="22"/>
      <w:szCs w:val="22"/>
      <w:lang w:bidi="en-US"/>
    </w:rPr>
  </w:style>
  <w:style w:type="paragraph" w:customStyle="1" w:styleId="APDHeading2">
    <w:name w:val="APD Heading 2"/>
    <w:basedOn w:val="APDHeading"/>
    <w:uiPriority w:val="4"/>
    <w:qFormat/>
    <w:rsid w:val="000A0A48"/>
    <w:pPr>
      <w:spacing w:before="360" w:after="120"/>
      <w:jc w:val="left"/>
      <w:outlineLvl w:val="1"/>
    </w:pPr>
  </w:style>
  <w:style w:type="paragraph" w:customStyle="1" w:styleId="APDBodyText">
    <w:name w:val="APD Body Text"/>
    <w:basedOn w:val="BodyText"/>
    <w:uiPriority w:val="4"/>
    <w:qFormat/>
    <w:rsid w:val="00BE221C"/>
    <w:pPr>
      <w:ind w:left="0" w:firstLine="0"/>
    </w:pPr>
  </w:style>
  <w:style w:type="paragraph" w:customStyle="1" w:styleId="APDBodyTextItalics">
    <w:name w:val="APD Body Text Italics"/>
    <w:basedOn w:val="APDBodyText"/>
    <w:next w:val="APDBodyText"/>
    <w:uiPriority w:val="4"/>
    <w:qFormat/>
    <w:rsid w:val="004038CB"/>
    <w:rPr>
      <w:i/>
    </w:rPr>
  </w:style>
  <w:style w:type="paragraph" w:customStyle="1" w:styleId="APDBodyTextBold">
    <w:name w:val="APD Body Text Bold"/>
    <w:basedOn w:val="APDBodyText"/>
    <w:uiPriority w:val="4"/>
    <w:qFormat/>
    <w:rsid w:val="00441E26"/>
    <w:rPr>
      <w:b/>
    </w:rPr>
  </w:style>
  <w:style w:type="paragraph" w:customStyle="1" w:styleId="APDCodeIdentifiers">
    <w:name w:val="APD Code Identifiers"/>
    <w:basedOn w:val="APDBodyText"/>
    <w:uiPriority w:val="4"/>
    <w:qFormat/>
    <w:rsid w:val="00FB27CB"/>
    <w:pPr>
      <w:ind w:left="720"/>
    </w:pPr>
  </w:style>
  <w:style w:type="paragraph" w:customStyle="1" w:styleId="APDCodeDescription2">
    <w:name w:val="APD Code Description 2"/>
    <w:basedOn w:val="APDCodeDescription"/>
    <w:uiPriority w:val="4"/>
    <w:qFormat/>
    <w:rsid w:val="00C55C27"/>
    <w:pPr>
      <w:tabs>
        <w:tab w:val="left" w:pos="7920"/>
      </w:tabs>
      <w:ind w:left="0" w:firstLine="0"/>
    </w:pPr>
  </w:style>
  <w:style w:type="paragraph" w:customStyle="1" w:styleId="APDCodeList2">
    <w:name w:val="APD Code List 2"/>
    <w:basedOn w:val="APDCodeList"/>
    <w:uiPriority w:val="4"/>
    <w:qFormat/>
    <w:rsid w:val="00C55C27"/>
  </w:style>
  <w:style w:type="paragraph" w:customStyle="1" w:styleId="APDHeading3">
    <w:name w:val="APD Heading 3"/>
    <w:basedOn w:val="APDHeading2"/>
    <w:uiPriority w:val="4"/>
    <w:qFormat/>
    <w:rsid w:val="009B012B"/>
    <w:pPr>
      <w:spacing w:before="120"/>
      <w:outlineLvl w:val="2"/>
    </w:pPr>
  </w:style>
  <w:style w:type="paragraph" w:customStyle="1" w:styleId="APDBulletListBold">
    <w:name w:val="APD Bullet List Bold"/>
    <w:basedOn w:val="APDBulletList038076"/>
    <w:uiPriority w:val="4"/>
    <w:qFormat/>
    <w:rsid w:val="006F69A1"/>
    <w:rPr>
      <w:b/>
    </w:rPr>
  </w:style>
  <w:style w:type="paragraph" w:customStyle="1" w:styleId="APDSections">
    <w:name w:val="APD Sections"/>
    <w:basedOn w:val="APDStrong"/>
    <w:uiPriority w:val="4"/>
    <w:qFormat/>
    <w:rsid w:val="004B53E5"/>
  </w:style>
  <w:style w:type="paragraph" w:customStyle="1" w:styleId="APDChapterTitles">
    <w:name w:val="APD Chapter Titles"/>
    <w:basedOn w:val="APDHeading3"/>
    <w:uiPriority w:val="4"/>
    <w:qFormat/>
    <w:rsid w:val="0099721B"/>
    <w:pPr>
      <w:tabs>
        <w:tab w:val="left" w:pos="1440"/>
      </w:tabs>
      <w:ind w:left="1440" w:hanging="1440"/>
    </w:pPr>
    <w:rPr>
      <w:bCs/>
    </w:rPr>
  </w:style>
  <w:style w:type="table" w:customStyle="1" w:styleId="TCEQTable-Arial2">
    <w:name w:val="TCEQ Table - Arial2"/>
    <w:basedOn w:val="TCEQTable-Verdana"/>
    <w:uiPriority w:val="99"/>
    <w:rsid w:val="00DA702B"/>
    <w:rPr>
      <w:rFonts w:ascii="Arial" w:hAnsi="Arial"/>
    </w:rPr>
    <w:tblPr/>
    <w:tblStylePr w:type="firstRow">
      <w:pPr>
        <w:wordWrap/>
        <w:jc w:val="center"/>
      </w:pPr>
      <w:rPr>
        <w:b/>
      </w:rPr>
      <w:tblPr/>
      <w:tcPr>
        <w:shd w:val="clear" w:color="auto" w:fill="F2F2F2"/>
      </w:tcPr>
    </w:tblStylePr>
  </w:style>
  <w:style w:type="table" w:customStyle="1" w:styleId="TCEQTable-Calibri2">
    <w:name w:val="TCEQ Table - Calibri2"/>
    <w:basedOn w:val="TCEQTable-Verdana"/>
    <w:uiPriority w:val="99"/>
    <w:rsid w:val="00DA702B"/>
    <w:rPr>
      <w:rFonts w:ascii="Calibri" w:hAnsi="Calibri"/>
      <w:sz w:val="22"/>
    </w:rPr>
    <w:tblPr/>
    <w:tblStylePr w:type="firstRow">
      <w:pPr>
        <w:wordWrap/>
        <w:jc w:val="center"/>
      </w:pPr>
      <w:rPr>
        <w:b/>
        <w:sz w:val="22"/>
      </w:rPr>
      <w:tblPr/>
      <w:trPr>
        <w:tblHeader/>
      </w:trPr>
      <w:tcPr>
        <w:shd w:val="clear" w:color="auto" w:fill="F2F2F2"/>
      </w:tcPr>
    </w:tblStylePr>
  </w:style>
  <w:style w:type="table" w:customStyle="1" w:styleId="TCEQTable-Tahoma2">
    <w:name w:val="TCEQ Table - Tahoma2"/>
    <w:basedOn w:val="TCEQTable-Verdana"/>
    <w:uiPriority w:val="99"/>
    <w:rsid w:val="00DA702B"/>
    <w:rPr>
      <w:rFonts w:ascii="Tahoma" w:hAnsi="Tahoma"/>
    </w:rPr>
    <w:tblPr/>
    <w:tblStylePr w:type="firstRow">
      <w:pPr>
        <w:wordWrap/>
        <w:jc w:val="center"/>
      </w:pPr>
      <w:rPr>
        <w:b/>
      </w:rPr>
      <w:tblPr/>
      <w:tcPr>
        <w:shd w:val="clear" w:color="auto" w:fill="F2F2F2"/>
      </w:tcPr>
    </w:tblStylePr>
  </w:style>
  <w:style w:type="paragraph" w:customStyle="1" w:styleId="APDNote">
    <w:name w:val="APD Note"/>
    <w:basedOn w:val="BodyText"/>
    <w:uiPriority w:val="99"/>
    <w:rsid w:val="00DA702B"/>
    <w:pPr>
      <w:spacing w:after="0"/>
      <w:ind w:left="0" w:firstLine="0"/>
    </w:pPr>
    <w:rPr>
      <w:i/>
    </w:rPr>
  </w:style>
  <w:style w:type="paragraph" w:customStyle="1" w:styleId="APDStar">
    <w:name w:val="APD Star"/>
    <w:basedOn w:val="BodyText"/>
    <w:uiPriority w:val="99"/>
    <w:rsid w:val="00DA702B"/>
    <w:pPr>
      <w:tabs>
        <w:tab w:val="left" w:pos="547"/>
      </w:tabs>
      <w:spacing w:after="0"/>
      <w:ind w:left="547"/>
    </w:pPr>
    <w:rPr>
      <w:b/>
    </w:rPr>
  </w:style>
  <w:style w:type="paragraph" w:customStyle="1" w:styleId="AlphaList">
    <w:name w:val="Alpha_List"/>
    <w:basedOn w:val="ListParagraph"/>
    <w:next w:val="Normal"/>
    <w:link w:val="AlphaListChar"/>
    <w:qFormat/>
    <w:rsid w:val="00DA702B"/>
    <w:pPr>
      <w:ind w:left="720" w:hanging="360"/>
    </w:pPr>
    <w:rPr>
      <w:rFonts w:eastAsia="Times New Roman"/>
    </w:rPr>
  </w:style>
  <w:style w:type="character" w:customStyle="1" w:styleId="AlphaListChar">
    <w:name w:val="Alpha_List Char"/>
    <w:link w:val="AlphaList"/>
    <w:rsid w:val="00DA702B"/>
    <w:rPr>
      <w:rFonts w:ascii="Times New Roman" w:eastAsia="Times New Roman" w:hAnsi="Times New Roman"/>
      <w:sz w:val="22"/>
      <w:szCs w:val="22"/>
      <w:lang w:bidi="en-US"/>
    </w:rPr>
  </w:style>
  <w:style w:type="table" w:customStyle="1" w:styleId="TCEQTable-Arial11">
    <w:name w:val="TCEQ Table - Arial11"/>
    <w:basedOn w:val="TCEQTable-Verdana"/>
    <w:uiPriority w:val="99"/>
    <w:rsid w:val="00DA702B"/>
    <w:rPr>
      <w:rFonts w:ascii="Arial" w:hAnsi="Arial"/>
    </w:rPr>
    <w:tblPr/>
    <w:tblStylePr w:type="firstRow">
      <w:pPr>
        <w:wordWrap/>
        <w:jc w:val="center"/>
      </w:pPr>
      <w:rPr>
        <w:b/>
      </w:rPr>
      <w:tblPr/>
      <w:tcPr>
        <w:shd w:val="clear" w:color="auto" w:fill="F2F2F2"/>
      </w:tcPr>
    </w:tblStylePr>
  </w:style>
  <w:style w:type="table" w:customStyle="1" w:styleId="TCEQTable-Calibri11">
    <w:name w:val="TCEQ Table - Calibri11"/>
    <w:basedOn w:val="TCEQTable-Verdana"/>
    <w:uiPriority w:val="99"/>
    <w:rsid w:val="00DA702B"/>
    <w:rPr>
      <w:rFonts w:ascii="Calibri" w:hAnsi="Calibri"/>
      <w:sz w:val="22"/>
    </w:rPr>
    <w:tblPr/>
    <w:tblStylePr w:type="firstRow">
      <w:pPr>
        <w:wordWrap/>
        <w:jc w:val="center"/>
      </w:pPr>
      <w:rPr>
        <w:b/>
        <w:sz w:val="22"/>
      </w:rPr>
      <w:tblPr/>
      <w:trPr>
        <w:tblHeader/>
      </w:trPr>
      <w:tcPr>
        <w:shd w:val="clear" w:color="auto" w:fill="F2F2F2"/>
      </w:tcPr>
    </w:tblStylePr>
  </w:style>
  <w:style w:type="table" w:customStyle="1" w:styleId="TCEQTable-Tahoma11">
    <w:name w:val="TCEQ Table - Tahoma11"/>
    <w:basedOn w:val="TCEQTable-Verdana"/>
    <w:uiPriority w:val="99"/>
    <w:rsid w:val="00DA702B"/>
    <w:rPr>
      <w:rFonts w:ascii="Tahoma" w:hAnsi="Tahoma"/>
    </w:rPr>
    <w:tblPr/>
    <w:tblStylePr w:type="firstRow">
      <w:pPr>
        <w:wordWrap/>
        <w:jc w:val="center"/>
      </w:pPr>
      <w:rPr>
        <w:b/>
      </w:rPr>
      <w:tblPr/>
      <w:tcPr>
        <w:shd w:val="clear" w:color="auto" w:fill="F2F2F2"/>
      </w:tcPr>
    </w:tblStylePr>
  </w:style>
  <w:style w:type="paragraph" w:customStyle="1" w:styleId="APDTABLE1">
    <w:name w:val="APD TABLE 1"/>
    <w:basedOn w:val="Normal"/>
    <w:link w:val="APDTABLE1Char"/>
    <w:autoRedefine/>
    <w:qFormat/>
    <w:rsid w:val="00DA702B"/>
    <w:rPr>
      <w:b/>
      <w:lang w:bidi="ar-SA"/>
    </w:rPr>
  </w:style>
  <w:style w:type="character" w:customStyle="1" w:styleId="APDTABLE1Char">
    <w:name w:val="APD TABLE 1 Char"/>
    <w:basedOn w:val="DefaultParagraphFont"/>
    <w:link w:val="APDTABLE1"/>
    <w:rsid w:val="00DA702B"/>
    <w:rPr>
      <w:rFonts w:ascii="Times New Roman" w:eastAsia="Times New Roman" w:hAnsi="Times New Roman"/>
      <w:b/>
      <w:sz w:val="22"/>
      <w:szCs w:val="22"/>
    </w:rPr>
  </w:style>
  <w:style w:type="paragraph" w:customStyle="1" w:styleId="APDBOLDSTAR">
    <w:name w:val="APD BOLD STAR"/>
    <w:basedOn w:val="BodyText"/>
    <w:link w:val="APDBOLDSTARChar"/>
    <w:autoRedefine/>
    <w:qFormat/>
    <w:rsid w:val="00DA702B"/>
    <w:pPr>
      <w:tabs>
        <w:tab w:val="left" w:pos="547"/>
      </w:tabs>
      <w:ind w:left="547"/>
    </w:pPr>
    <w:rPr>
      <w:rFonts w:eastAsiaTheme="minorHAnsi"/>
      <w:b/>
    </w:rPr>
  </w:style>
  <w:style w:type="character" w:customStyle="1" w:styleId="APDBOLDSTARChar">
    <w:name w:val="APD BOLD STAR Char"/>
    <w:basedOn w:val="BodyTextChar"/>
    <w:link w:val="APDBOLDSTAR"/>
    <w:rsid w:val="00DA702B"/>
    <w:rPr>
      <w:rFonts w:ascii="Times New Roman" w:eastAsiaTheme="minorHAnsi" w:hAnsi="Times New Roman"/>
      <w:b/>
      <w:sz w:val="22"/>
      <w:szCs w:val="22"/>
      <w:lang w:bidi="en-US"/>
    </w:rPr>
  </w:style>
  <w:style w:type="paragraph" w:customStyle="1" w:styleId="APDUPSIDEDOWNTRIANGLE">
    <w:name w:val="APD UPSIDE DOWN TRIANGLE"/>
    <w:basedOn w:val="BodyText"/>
    <w:link w:val="APDUPSIDEDOWNTRIANGLEChar"/>
    <w:autoRedefine/>
    <w:qFormat/>
    <w:rsid w:val="00DA702B"/>
    <w:pPr>
      <w:tabs>
        <w:tab w:val="left" w:pos="547"/>
      </w:tabs>
      <w:ind w:left="547"/>
    </w:pPr>
    <w:rPr>
      <w:rFonts w:eastAsiaTheme="minorHAnsi"/>
      <w:b/>
    </w:rPr>
  </w:style>
  <w:style w:type="character" w:customStyle="1" w:styleId="APDUPSIDEDOWNTRIANGLEChar">
    <w:name w:val="APD UPSIDE DOWN TRIANGLE Char"/>
    <w:basedOn w:val="BodyTextChar"/>
    <w:link w:val="APDUPSIDEDOWNTRIANGLE"/>
    <w:rsid w:val="00DA702B"/>
    <w:rPr>
      <w:rFonts w:ascii="Times New Roman" w:eastAsiaTheme="minorHAnsi" w:hAnsi="Times New Roman"/>
      <w:b/>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3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ceq.texas.gov/permitting/air/guidance/titlev/tv_fop_guidance.html" TargetMode="External"/><Relationship Id="rId21" Type="http://schemas.openxmlformats.org/officeDocument/2006/relationships/hyperlink" Target="https://www.tceq.texas.gov/permitting/air/guidance/titlev/tv_fop_guidance.html" TargetMode="External"/><Relationship Id="rId42" Type="http://schemas.openxmlformats.org/officeDocument/2006/relationships/hyperlink" Target="https://www.tceq.texas.gov/permitting/air/guidance/titlev/tv_fop_guidance.html" TargetMode="External"/><Relationship Id="rId47" Type="http://schemas.openxmlformats.org/officeDocument/2006/relationships/hyperlink" Target="https://www.tceq.texas.gov/permitting/air/guidance/titlev/tv_fop_guidance.html" TargetMode="External"/><Relationship Id="rId63" Type="http://schemas.openxmlformats.org/officeDocument/2006/relationships/header" Target="header7.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ceq.texas.gov/permitting/air/guidance/titlev/tv_fop_guidance.html" TargetMode="External"/><Relationship Id="rId29" Type="http://schemas.openxmlformats.org/officeDocument/2006/relationships/hyperlink" Target="https://www.tceq.texas.gov/permitting/air/guidance/titlev/tv_fop_guidance.html" TargetMode="External"/><Relationship Id="rId11" Type="http://schemas.openxmlformats.org/officeDocument/2006/relationships/footer" Target="footer2.xml"/><Relationship Id="rId24" Type="http://schemas.openxmlformats.org/officeDocument/2006/relationships/hyperlink" Target="https://www.tceq.texas.gov/permitting/air/guidance/titlev/tv_fop_guidance.html" TargetMode="External"/><Relationship Id="rId32" Type="http://schemas.openxmlformats.org/officeDocument/2006/relationships/hyperlink" Target="https://www.tceq.texas.gov/permitting/air/guidance/titlev/tv_fop_guidance.html" TargetMode="External"/><Relationship Id="rId37" Type="http://schemas.openxmlformats.org/officeDocument/2006/relationships/hyperlink" Target="https://www.tceq.texas.gov/permitting/air/guidance/titlev/tv_fop_guidance.html" TargetMode="External"/><Relationship Id="rId40" Type="http://schemas.openxmlformats.org/officeDocument/2006/relationships/hyperlink" Target="https://www.tceq.texas.gov/permitting/air/guidance/titlev/tv_fop_guidance.html" TargetMode="External"/><Relationship Id="rId45" Type="http://schemas.openxmlformats.org/officeDocument/2006/relationships/hyperlink" Target="https://www.tceq.texas.gov/permitting/air/guidance/titlev/tv_fop_guidance.html" TargetMode="External"/><Relationship Id="rId53" Type="http://schemas.openxmlformats.org/officeDocument/2006/relationships/hyperlink" Target="https://www.tceq.texas.gov/permitting/air/guidance/titlev/tv_fop_guidance.html" TargetMode="External"/><Relationship Id="rId58" Type="http://schemas.openxmlformats.org/officeDocument/2006/relationships/hyperlink" Target="https://www.tceq.texas.gov/permitting/air/guidance/titlev/tv_fop_guidance.html" TargetMode="External"/><Relationship Id="rId66"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hyperlink" Target="https://www.tceq.texas.gov/permitting/air/guidance/titlev/tv_fop_guidance.html" TargetMode="External"/><Relationship Id="rId14" Type="http://schemas.openxmlformats.org/officeDocument/2006/relationships/header" Target="header3.xml"/><Relationship Id="rId22" Type="http://schemas.openxmlformats.org/officeDocument/2006/relationships/hyperlink" Target="https://www.tceq.texas.gov/permitting/air/guidance/titlev/tv_fop_guidance.html" TargetMode="External"/><Relationship Id="rId27" Type="http://schemas.openxmlformats.org/officeDocument/2006/relationships/hyperlink" Target="https://www.tceq.texas.gov/permitting/air/guidance/titlev/tv_fop_guidance.html" TargetMode="External"/><Relationship Id="rId30" Type="http://schemas.openxmlformats.org/officeDocument/2006/relationships/hyperlink" Target="https://www.tceq.texas.gov/permitting/air/guidance/titlev/tv_fop_guidance.html" TargetMode="External"/><Relationship Id="rId35" Type="http://schemas.openxmlformats.org/officeDocument/2006/relationships/hyperlink" Target="https://www.tceq.texas.gov/permitting/air/guidance/titlev/tv_fop_guidance.html" TargetMode="External"/><Relationship Id="rId43" Type="http://schemas.openxmlformats.org/officeDocument/2006/relationships/hyperlink" Target="https://www.tceq.texas.gov/permitting/air/guidance/titlev/tv_fop_guidance.html" TargetMode="External"/><Relationship Id="rId48" Type="http://schemas.openxmlformats.org/officeDocument/2006/relationships/hyperlink" Target="https://www.tceq.texas.gov/permitting/air/guidance/titlev/tv_fop_guidance.html" TargetMode="External"/><Relationship Id="rId56" Type="http://schemas.openxmlformats.org/officeDocument/2006/relationships/hyperlink" Target="https://www.tceq.texas.gov/permitting/air/guidance/titlev/tv_fop_guidance.html" TargetMode="External"/><Relationship Id="rId64" Type="http://schemas.openxmlformats.org/officeDocument/2006/relationships/header" Target="header8.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tceq.texas.gov/permitting/air/guidance/titlev/tv_fop_guidance.html" TargetMode="External"/><Relationship Id="rId3" Type="http://schemas.openxmlformats.org/officeDocument/2006/relationships/styles" Target="styles.xml"/><Relationship Id="rId12" Type="http://schemas.openxmlformats.org/officeDocument/2006/relationships/hyperlink" Target="http://www.tceq.texas.gov/permitting/central_registry/index.html" TargetMode="External"/><Relationship Id="rId17" Type="http://schemas.openxmlformats.org/officeDocument/2006/relationships/hyperlink" Target="https://www.tceq.texas.gov/permitting/air/guidance/titlev/tv_fop_guidance.html" TargetMode="External"/><Relationship Id="rId25" Type="http://schemas.openxmlformats.org/officeDocument/2006/relationships/hyperlink" Target="https://www.tceq.texas.gov/permitting/air/guidance/titlev/tv_fop_guidance.html" TargetMode="External"/><Relationship Id="rId33" Type="http://schemas.openxmlformats.org/officeDocument/2006/relationships/hyperlink" Target="https://www.tceq.texas.gov/permitting/air/guidance/titlev/tv_fop_guidance.html" TargetMode="External"/><Relationship Id="rId38" Type="http://schemas.openxmlformats.org/officeDocument/2006/relationships/hyperlink" Target="https://www.tceq.texas.gov/permitting/air/guidance/titlev/tv_fop_guidance.html" TargetMode="External"/><Relationship Id="rId46" Type="http://schemas.openxmlformats.org/officeDocument/2006/relationships/hyperlink" Target="https://www.tceq.texas.gov/permitting/air/guidance/titlev/tv_fop_guidance.html" TargetMode="External"/><Relationship Id="rId59" Type="http://schemas.openxmlformats.org/officeDocument/2006/relationships/header" Target="header4.xml"/><Relationship Id="rId67" Type="http://schemas.openxmlformats.org/officeDocument/2006/relationships/footer" Target="footer5.xml"/><Relationship Id="rId20" Type="http://schemas.openxmlformats.org/officeDocument/2006/relationships/hyperlink" Target="https://www.tceq.texas.gov/permitting/air/guidance/titlev/tv_fop_guidance.html" TargetMode="External"/><Relationship Id="rId41" Type="http://schemas.openxmlformats.org/officeDocument/2006/relationships/hyperlink" Target="https://www.tceq.texas.gov/permitting/air/guidance/titlev/tv_fop_guidance.html" TargetMode="External"/><Relationship Id="rId54" Type="http://schemas.openxmlformats.org/officeDocument/2006/relationships/hyperlink" Target="https://www.tceq.texas.gov/permitting/air/guidance/titlev/tv_fop_guidance.htm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eq.texas.gov/permitting/air/guidance/titlev/tv_fop_guidance.html" TargetMode="External"/><Relationship Id="rId23" Type="http://schemas.openxmlformats.org/officeDocument/2006/relationships/hyperlink" Target="https://www.tceq.texas.gov/permitting/air/guidance/titlev/tv_fop_guidance.html" TargetMode="External"/><Relationship Id="rId28" Type="http://schemas.openxmlformats.org/officeDocument/2006/relationships/hyperlink" Target="https://www.tceq.texas.gov/permitting/air/guidance/titlev/tv_fop_guidance.html" TargetMode="External"/><Relationship Id="rId36" Type="http://schemas.openxmlformats.org/officeDocument/2006/relationships/hyperlink" Target="https://www.tceq.texas.gov/permitting/air/guidance/titlev/tv_fop_guidance.html" TargetMode="External"/><Relationship Id="rId49" Type="http://schemas.openxmlformats.org/officeDocument/2006/relationships/hyperlink" Target="https://www.tceq.texas.gov/permitting/air/guidance/titlev/tv_fop_guidance.html" TargetMode="External"/><Relationship Id="rId57" Type="http://schemas.openxmlformats.org/officeDocument/2006/relationships/hyperlink" Target="https://www.tceq.texas.gov/permitting/air/guidance/titlev/tv_fop_guidance.html" TargetMode="External"/><Relationship Id="rId10" Type="http://schemas.openxmlformats.org/officeDocument/2006/relationships/header" Target="header2.xml"/><Relationship Id="rId31" Type="http://schemas.openxmlformats.org/officeDocument/2006/relationships/hyperlink" Target="https://www.tceq.texas.gov/permitting/air/guidance/titlev/tv_fop_guidance.html" TargetMode="External"/><Relationship Id="rId44" Type="http://schemas.openxmlformats.org/officeDocument/2006/relationships/hyperlink" Target="https://www.tceq.texas.gov/permitting/air/guidance/titlev/tv_fop_guidance.html" TargetMode="External"/><Relationship Id="rId52" Type="http://schemas.openxmlformats.org/officeDocument/2006/relationships/hyperlink" Target="https://www.tceq.texas.gov/permitting/air/guidance/titlev/tv_fop_guidance.html" TargetMode="External"/><Relationship Id="rId60" Type="http://schemas.openxmlformats.org/officeDocument/2006/relationships/header" Target="header5.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tceq.texas.gov/permitting/air/guidance/titlev/tv_fop_guidance.html" TargetMode="External"/><Relationship Id="rId18" Type="http://schemas.openxmlformats.org/officeDocument/2006/relationships/hyperlink" Target="https://www.tceq.texas.gov/permitting/air/guidance/titlev/tv_fop_guidance.html" TargetMode="External"/><Relationship Id="rId39" Type="http://schemas.openxmlformats.org/officeDocument/2006/relationships/hyperlink" Target="https://www.tceq.texas.gov/permitting/air/guidance/titlev/tv_fop_guidance.html" TargetMode="External"/><Relationship Id="rId34" Type="http://schemas.openxmlformats.org/officeDocument/2006/relationships/hyperlink" Target="https://www.tceq.texas.gov/permitting/air/guidance/titlev/tv_fop_guidance.html" TargetMode="External"/><Relationship Id="rId50" Type="http://schemas.openxmlformats.org/officeDocument/2006/relationships/hyperlink" Target="https://www.tceq.texas.gov/permitting/air/guidance/titlev/tv_fop_guidance.html" TargetMode="External"/><Relationship Id="rId55" Type="http://schemas.openxmlformats.org/officeDocument/2006/relationships/hyperlink" Target="https://www.tceq.texas.gov/permitting/air/guidance/titlev/tv_fop_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579C-62DF-4021-B19D-2F441AD3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33155</Words>
  <Characters>188987</Characters>
  <Application>Microsoft Office Word</Application>
  <DocSecurity>4</DocSecurity>
  <Lines>1574</Lines>
  <Paragraphs>443</Paragraphs>
  <ScaleCrop>false</ScaleCrop>
  <HeadingPairs>
    <vt:vector size="2" baseType="variant">
      <vt:variant>
        <vt:lpstr>Title</vt:lpstr>
      </vt:variant>
      <vt:variant>
        <vt:i4>1</vt:i4>
      </vt:variant>
    </vt:vector>
  </HeadingPairs>
  <TitlesOfParts>
    <vt:vector size="1" baseType="lpstr">
      <vt:lpstr>TCEQ Form 10026 - OP-UA6 Form and Instructions, Boiler/Steam Generator/Steam Generating Unit Attributes</vt:lpstr>
    </vt:vector>
  </TitlesOfParts>
  <Company>TCEQ</Company>
  <LinksUpToDate>false</LinksUpToDate>
  <CharactersWithSpaces>221699</CharactersWithSpaces>
  <SharedDoc>false</SharedDoc>
  <HLinks>
    <vt:vector size="168" baseType="variant">
      <vt:variant>
        <vt:i4>5111924</vt:i4>
      </vt:variant>
      <vt:variant>
        <vt:i4>81</vt:i4>
      </vt:variant>
      <vt:variant>
        <vt:i4>0</vt:i4>
      </vt:variant>
      <vt:variant>
        <vt:i4>5</vt:i4>
      </vt:variant>
      <vt:variant>
        <vt:lpwstr>http://www.tceq.texas.gov/assets/public/permitting/air/Guidance/Title_V/additional_fop_guidance.pdf</vt:lpwstr>
      </vt:variant>
      <vt:variant>
        <vt:lpwstr/>
      </vt:variant>
      <vt:variant>
        <vt:i4>5111924</vt:i4>
      </vt:variant>
      <vt:variant>
        <vt:i4>78</vt:i4>
      </vt:variant>
      <vt:variant>
        <vt:i4>0</vt:i4>
      </vt:variant>
      <vt:variant>
        <vt:i4>5</vt:i4>
      </vt:variant>
      <vt:variant>
        <vt:lpwstr>http://www.tceq.texas.gov/assets/public/permitting/air/Guidance/Title_V/additional_fop_guidance.pdf</vt:lpwstr>
      </vt:variant>
      <vt:variant>
        <vt:lpwstr/>
      </vt:variant>
      <vt:variant>
        <vt:i4>5111924</vt:i4>
      </vt:variant>
      <vt:variant>
        <vt:i4>75</vt:i4>
      </vt:variant>
      <vt:variant>
        <vt:i4>0</vt:i4>
      </vt:variant>
      <vt:variant>
        <vt:i4>5</vt:i4>
      </vt:variant>
      <vt:variant>
        <vt:lpwstr>http://www.tceq.texas.gov/assets/public/permitting/air/Guidance/Title_V/additional_fop_guidance.pdf</vt:lpwstr>
      </vt:variant>
      <vt:variant>
        <vt:lpwstr/>
      </vt:variant>
      <vt:variant>
        <vt:i4>5111924</vt:i4>
      </vt:variant>
      <vt:variant>
        <vt:i4>72</vt:i4>
      </vt:variant>
      <vt:variant>
        <vt:i4>0</vt:i4>
      </vt:variant>
      <vt:variant>
        <vt:i4>5</vt:i4>
      </vt:variant>
      <vt:variant>
        <vt:lpwstr>http://www.tceq.texas.gov/assets/public/permitting/air/Guidance/Title_V/additional_fop_guidance.pdf</vt:lpwstr>
      </vt:variant>
      <vt:variant>
        <vt:lpwstr/>
      </vt:variant>
      <vt:variant>
        <vt:i4>5111924</vt:i4>
      </vt:variant>
      <vt:variant>
        <vt:i4>69</vt:i4>
      </vt:variant>
      <vt:variant>
        <vt:i4>0</vt:i4>
      </vt:variant>
      <vt:variant>
        <vt:i4>5</vt:i4>
      </vt:variant>
      <vt:variant>
        <vt:lpwstr>http://www.tceq.texas.gov/assets/public/permitting/air/Guidance/Title_V/additional_fop_guidance.pdf</vt:lpwstr>
      </vt:variant>
      <vt:variant>
        <vt:lpwstr/>
      </vt:variant>
      <vt:variant>
        <vt:i4>5111924</vt:i4>
      </vt:variant>
      <vt:variant>
        <vt:i4>66</vt:i4>
      </vt:variant>
      <vt:variant>
        <vt:i4>0</vt:i4>
      </vt:variant>
      <vt:variant>
        <vt:i4>5</vt:i4>
      </vt:variant>
      <vt:variant>
        <vt:lpwstr>http://www.tceq.texas.gov/assets/public/permitting/air/Guidance/Title_V/additional_fop_guidance.pdf</vt:lpwstr>
      </vt:variant>
      <vt:variant>
        <vt:lpwstr/>
      </vt:variant>
      <vt:variant>
        <vt:i4>5111924</vt:i4>
      </vt:variant>
      <vt:variant>
        <vt:i4>63</vt:i4>
      </vt:variant>
      <vt:variant>
        <vt:i4>0</vt:i4>
      </vt:variant>
      <vt:variant>
        <vt:i4>5</vt:i4>
      </vt:variant>
      <vt:variant>
        <vt:lpwstr>http://www.tceq.texas.gov/assets/public/permitting/air/Guidance/Title_V/additional_fop_guidance.pdf</vt:lpwstr>
      </vt:variant>
      <vt:variant>
        <vt:lpwstr/>
      </vt:variant>
      <vt:variant>
        <vt:i4>5111924</vt:i4>
      </vt:variant>
      <vt:variant>
        <vt:i4>60</vt:i4>
      </vt:variant>
      <vt:variant>
        <vt:i4>0</vt:i4>
      </vt:variant>
      <vt:variant>
        <vt:i4>5</vt:i4>
      </vt:variant>
      <vt:variant>
        <vt:lpwstr>http://www.tceq.texas.gov/assets/public/permitting/air/Guidance/Title_V/additional_fop_guidance.pdf</vt:lpwstr>
      </vt:variant>
      <vt:variant>
        <vt:lpwstr/>
      </vt:variant>
      <vt:variant>
        <vt:i4>5111924</vt:i4>
      </vt:variant>
      <vt:variant>
        <vt:i4>57</vt:i4>
      </vt:variant>
      <vt:variant>
        <vt:i4>0</vt:i4>
      </vt:variant>
      <vt:variant>
        <vt:i4>5</vt:i4>
      </vt:variant>
      <vt:variant>
        <vt:lpwstr>http://www.tceq.texas.gov/assets/public/permitting/air/Guidance/Title_V/additional_fop_guidance.pdf</vt:lpwstr>
      </vt:variant>
      <vt:variant>
        <vt:lpwstr/>
      </vt:variant>
      <vt:variant>
        <vt:i4>5111924</vt:i4>
      </vt:variant>
      <vt:variant>
        <vt:i4>54</vt:i4>
      </vt:variant>
      <vt:variant>
        <vt:i4>0</vt:i4>
      </vt:variant>
      <vt:variant>
        <vt:i4>5</vt:i4>
      </vt:variant>
      <vt:variant>
        <vt:lpwstr>http://www.tceq.texas.gov/assets/public/permitting/air/Guidance/Title_V/additional_fop_guidance.pdf</vt:lpwstr>
      </vt:variant>
      <vt:variant>
        <vt:lpwstr/>
      </vt:variant>
      <vt:variant>
        <vt:i4>5111924</vt:i4>
      </vt:variant>
      <vt:variant>
        <vt:i4>51</vt:i4>
      </vt:variant>
      <vt:variant>
        <vt:i4>0</vt:i4>
      </vt:variant>
      <vt:variant>
        <vt:i4>5</vt:i4>
      </vt:variant>
      <vt:variant>
        <vt:lpwstr>http://www.tceq.texas.gov/assets/public/permitting/air/Guidance/Title_V/additional_fop_guidance.pdf</vt:lpwstr>
      </vt:variant>
      <vt:variant>
        <vt:lpwstr/>
      </vt:variant>
      <vt:variant>
        <vt:i4>5111924</vt:i4>
      </vt:variant>
      <vt:variant>
        <vt:i4>48</vt:i4>
      </vt:variant>
      <vt:variant>
        <vt:i4>0</vt:i4>
      </vt:variant>
      <vt:variant>
        <vt:i4>5</vt:i4>
      </vt:variant>
      <vt:variant>
        <vt:lpwstr>http://www.tceq.texas.gov/assets/public/permitting/air/Guidance/Title_V/additional_fop_guidance.pdf</vt:lpwstr>
      </vt:variant>
      <vt:variant>
        <vt:lpwstr/>
      </vt:variant>
      <vt:variant>
        <vt:i4>5111924</vt:i4>
      </vt:variant>
      <vt:variant>
        <vt:i4>45</vt:i4>
      </vt:variant>
      <vt:variant>
        <vt:i4>0</vt:i4>
      </vt:variant>
      <vt:variant>
        <vt:i4>5</vt:i4>
      </vt:variant>
      <vt:variant>
        <vt:lpwstr>http://www.tceq.texas.gov/assets/public/permitting/air/Guidance/Title_V/additional_fop_guidance.pdf</vt:lpwstr>
      </vt:variant>
      <vt:variant>
        <vt:lpwstr/>
      </vt:variant>
      <vt:variant>
        <vt:i4>5111924</vt:i4>
      </vt:variant>
      <vt:variant>
        <vt:i4>42</vt:i4>
      </vt:variant>
      <vt:variant>
        <vt:i4>0</vt:i4>
      </vt:variant>
      <vt:variant>
        <vt:i4>5</vt:i4>
      </vt:variant>
      <vt:variant>
        <vt:lpwstr>http://www.tceq.texas.gov/assets/public/permitting/air/Guidance/Title_V/additional_fop_guidance.pdf</vt:lpwstr>
      </vt:variant>
      <vt:variant>
        <vt:lpwstr/>
      </vt:variant>
      <vt:variant>
        <vt:i4>5111924</vt:i4>
      </vt:variant>
      <vt:variant>
        <vt:i4>39</vt:i4>
      </vt:variant>
      <vt:variant>
        <vt:i4>0</vt:i4>
      </vt:variant>
      <vt:variant>
        <vt:i4>5</vt:i4>
      </vt:variant>
      <vt:variant>
        <vt:lpwstr>http://www.tceq.texas.gov/assets/public/permitting/air/Guidance/Title_V/additional_fop_guidance.pdf</vt:lpwstr>
      </vt:variant>
      <vt:variant>
        <vt:lpwstr/>
      </vt:variant>
      <vt:variant>
        <vt:i4>5111924</vt:i4>
      </vt:variant>
      <vt:variant>
        <vt:i4>36</vt:i4>
      </vt:variant>
      <vt:variant>
        <vt:i4>0</vt:i4>
      </vt:variant>
      <vt:variant>
        <vt:i4>5</vt:i4>
      </vt:variant>
      <vt:variant>
        <vt:lpwstr>http://www.tceq.texas.gov/assets/public/permitting/air/Guidance/Title_V/additional_fop_guidance.pdf</vt:lpwstr>
      </vt:variant>
      <vt:variant>
        <vt:lpwstr/>
      </vt:variant>
      <vt:variant>
        <vt:i4>5111924</vt:i4>
      </vt:variant>
      <vt:variant>
        <vt:i4>33</vt:i4>
      </vt:variant>
      <vt:variant>
        <vt:i4>0</vt:i4>
      </vt:variant>
      <vt:variant>
        <vt:i4>5</vt:i4>
      </vt:variant>
      <vt:variant>
        <vt:lpwstr>http://www.tceq.texas.gov/assets/public/permitting/air/Guidance/Title_V/additional_fop_guidance.pdf</vt:lpwstr>
      </vt:variant>
      <vt:variant>
        <vt:lpwstr/>
      </vt:variant>
      <vt:variant>
        <vt:i4>5111924</vt:i4>
      </vt:variant>
      <vt:variant>
        <vt:i4>30</vt:i4>
      </vt:variant>
      <vt:variant>
        <vt:i4>0</vt:i4>
      </vt:variant>
      <vt:variant>
        <vt:i4>5</vt:i4>
      </vt:variant>
      <vt:variant>
        <vt:lpwstr>http://www.tceq.texas.gov/assets/public/permitting/air/Guidance/Title_V/additional_fop_guidance.pdf</vt:lpwstr>
      </vt:variant>
      <vt:variant>
        <vt:lpwstr/>
      </vt:variant>
      <vt:variant>
        <vt:i4>5111924</vt:i4>
      </vt:variant>
      <vt:variant>
        <vt:i4>27</vt:i4>
      </vt:variant>
      <vt:variant>
        <vt:i4>0</vt:i4>
      </vt:variant>
      <vt:variant>
        <vt:i4>5</vt:i4>
      </vt:variant>
      <vt:variant>
        <vt:lpwstr>http://www.tceq.texas.gov/assets/public/permitting/air/Guidance/Title_V/additional_fop_guidance.pdf</vt:lpwstr>
      </vt:variant>
      <vt:variant>
        <vt:lpwstr/>
      </vt:variant>
      <vt:variant>
        <vt:i4>5111924</vt:i4>
      </vt:variant>
      <vt:variant>
        <vt:i4>24</vt:i4>
      </vt:variant>
      <vt:variant>
        <vt:i4>0</vt:i4>
      </vt:variant>
      <vt:variant>
        <vt:i4>5</vt:i4>
      </vt:variant>
      <vt:variant>
        <vt:lpwstr>http://www.tceq.texas.gov/assets/public/permitting/air/Guidance/Title_V/additional_fop_guidance.pdf</vt:lpwstr>
      </vt:variant>
      <vt:variant>
        <vt:lpwstr/>
      </vt:variant>
      <vt:variant>
        <vt:i4>5111924</vt:i4>
      </vt:variant>
      <vt:variant>
        <vt:i4>21</vt:i4>
      </vt:variant>
      <vt:variant>
        <vt:i4>0</vt:i4>
      </vt:variant>
      <vt:variant>
        <vt:i4>5</vt:i4>
      </vt:variant>
      <vt:variant>
        <vt:lpwstr>http://www.tceq.texas.gov/assets/public/permitting/air/Guidance/Title_V/additional_fop_guidance.pdf</vt:lpwstr>
      </vt:variant>
      <vt:variant>
        <vt:lpwstr/>
      </vt:variant>
      <vt:variant>
        <vt:i4>5111924</vt:i4>
      </vt:variant>
      <vt:variant>
        <vt:i4>18</vt:i4>
      </vt:variant>
      <vt:variant>
        <vt:i4>0</vt:i4>
      </vt:variant>
      <vt:variant>
        <vt:i4>5</vt:i4>
      </vt:variant>
      <vt:variant>
        <vt:lpwstr>http://www.tceq.texas.gov/assets/public/permitting/air/Guidance/Title_V/additional_fop_guidance.pdf</vt:lpwstr>
      </vt:variant>
      <vt:variant>
        <vt:lpwstr/>
      </vt:variant>
      <vt:variant>
        <vt:i4>5111924</vt:i4>
      </vt:variant>
      <vt:variant>
        <vt:i4>15</vt:i4>
      </vt:variant>
      <vt:variant>
        <vt:i4>0</vt:i4>
      </vt:variant>
      <vt:variant>
        <vt:i4>5</vt:i4>
      </vt:variant>
      <vt:variant>
        <vt:lpwstr>http://www.tceq.texas.gov/assets/public/permitting/air/Guidance/Title_V/additional_fop_guidance.pdf</vt:lpwstr>
      </vt:variant>
      <vt:variant>
        <vt:lpwstr/>
      </vt:variant>
      <vt:variant>
        <vt:i4>5111924</vt:i4>
      </vt:variant>
      <vt:variant>
        <vt:i4>12</vt:i4>
      </vt:variant>
      <vt:variant>
        <vt:i4>0</vt:i4>
      </vt:variant>
      <vt:variant>
        <vt:i4>5</vt:i4>
      </vt:variant>
      <vt:variant>
        <vt:lpwstr>http://www.tceq.texas.gov/assets/public/permitting/air/Guidance/Title_V/additional_fop_guidance.pdf</vt:lpwstr>
      </vt:variant>
      <vt:variant>
        <vt:lpwstr/>
      </vt:variant>
      <vt:variant>
        <vt:i4>5111924</vt:i4>
      </vt:variant>
      <vt:variant>
        <vt:i4>9</vt:i4>
      </vt:variant>
      <vt:variant>
        <vt:i4>0</vt:i4>
      </vt:variant>
      <vt:variant>
        <vt:i4>5</vt:i4>
      </vt:variant>
      <vt:variant>
        <vt:lpwstr>http://www.tceq.texas.gov/assets/public/permitting/air/Guidance/Title_V/additional_fop_guidance.pdf</vt:lpwstr>
      </vt:variant>
      <vt:variant>
        <vt:lpwstr/>
      </vt:variant>
      <vt:variant>
        <vt:i4>5111924</vt:i4>
      </vt:variant>
      <vt:variant>
        <vt:i4>6</vt:i4>
      </vt:variant>
      <vt:variant>
        <vt:i4>0</vt:i4>
      </vt:variant>
      <vt:variant>
        <vt:i4>5</vt:i4>
      </vt:variant>
      <vt:variant>
        <vt:lpwstr>http://www.tceq.texas.gov/assets/public/permitting/air/Guidance/Title_V/additional_fop_guidance.pdf</vt:lpwstr>
      </vt:variant>
      <vt:variant>
        <vt:lpwstr/>
      </vt:variant>
      <vt:variant>
        <vt:i4>5111924</vt:i4>
      </vt:variant>
      <vt:variant>
        <vt:i4>3</vt:i4>
      </vt:variant>
      <vt:variant>
        <vt:i4>0</vt:i4>
      </vt:variant>
      <vt:variant>
        <vt:i4>5</vt:i4>
      </vt:variant>
      <vt:variant>
        <vt:lpwstr>http://www.tceq.texas.gov/assets/public/permitting/air/Guidance/Title_V/additional_fop_guidance.pdf</vt:lpwstr>
      </vt:variant>
      <vt:variant>
        <vt:lpwstr/>
      </vt:variant>
      <vt:variant>
        <vt:i4>1638444</vt:i4>
      </vt:variant>
      <vt:variant>
        <vt:i4>0</vt:i4>
      </vt:variant>
      <vt:variant>
        <vt:i4>0</vt:i4>
      </vt:variant>
      <vt:variant>
        <vt:i4>5</vt:i4>
      </vt:variant>
      <vt:variant>
        <vt:lpwstr>http://www.tceq.texas.gov/permitting/central_registry/index.html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10026 - OP-UA6 Form and Instructions, Boiler/Steam Generator/Steam Generating Unit Attributes</dc:title>
  <dc:subject>TCEQ Form 10026 - OP-UA6 Form and Instructions, Boiler/Steam Generator/Steam Generating Unit Attributes</dc:subject>
  <dc:creator>TCEQ</dc:creator>
  <cp:keywords>regulations, fossil, fuel-fired, steam, gnerator, electric, utility, tables, codes, source, d-series, ozone, waste, incinerator, infectious, hazardous</cp:keywords>
  <cp:lastModifiedBy>Traci Spencer</cp:lastModifiedBy>
  <cp:revision>2</cp:revision>
  <cp:lastPrinted>2020-02-07T14:16:00Z</cp:lastPrinted>
  <dcterms:created xsi:type="dcterms:W3CDTF">2024-12-06T12:45:00Z</dcterms:created>
  <dcterms:modified xsi:type="dcterms:W3CDTF">2024-12-06T12:45:00Z</dcterms:modified>
</cp:coreProperties>
</file>